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郭少轻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女士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郭少轻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女士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2017.11.10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2017.12.10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52,291.67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0013105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年丰盈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2017.07.10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0013105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437.00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437.00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50,458.33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437.00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440.82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440.82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50,916.67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440.82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444.67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444.67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51,375.00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444.67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448.56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448.56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51,833.33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448.56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452.48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452.48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52,291.67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452.48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50,440.82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50,440.82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440.85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11.00%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童志强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420104195302261000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881.67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881.67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2017/10/15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7.71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11.00%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51,322.49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448.56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0013105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年丰盈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郭少轻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女士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2017/12/15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郭少轻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130431198707140325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童志强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420104195302261000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881.67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京（2015）朝阳区不动产证明第0018431号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2017/10/15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11.00%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881.67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2017/12/15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881.67T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881.67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2017/12/15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2017/12/15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