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感谢您选择中润公司的咨询服务，参考中润公司的推荐进行资金的出借增值，您目前出借的款项所产生的收益情况如下：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感谢您选购中润公司理财产品，中润公司竭诚为您提供最优质高效的服务，有任何问题联系我们为您专门指定的客服经理。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北京中润天下企业管理中心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中润公司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R3BORROWER_MNYT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北京中润天下企业管理中心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北京中润天下企业管理中心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