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4C12B459" w14:textId="7084CC57" w:rsidR="007B2F8D" w:rsidRDefault="00260FF7" w:rsidP="00F93029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0FB44ABC" w14:textId="0520AB37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FF285F">
        <w:rPr>
          <w:rFonts w:ascii="Arial" w:hAnsi="Arial" w:cs="Arial"/>
        </w:rPr>
        <w:t>Probléma meghatározása</w:t>
      </w:r>
    </w:p>
    <w:p w14:paraId="7248D038" w14:textId="0059C053" w:rsidR="00991844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 xml:space="preserve">adatsort fogunk használni. 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>és versenyeket tartalmazz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 xml:space="preserve">. </w:t>
      </w:r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  <w:bookmarkStart w:id="0" w:name="_GoBack"/>
      <w:bookmarkEnd w:id="0"/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9E4C99">
      <w:pPr>
        <w:jc w:val="both"/>
      </w:pPr>
      <w:r>
        <w:t>Mik lehetnek az adat</w:t>
      </w:r>
    </w:p>
    <w:p w14:paraId="32D01AA4" w14:textId="718957B1" w:rsidR="002A018A" w:rsidRDefault="002A018A" w:rsidP="009E4C99">
      <w:pPr>
        <w:jc w:val="both"/>
      </w:pPr>
      <w:r>
        <w:t>Honnan szerezhető</w:t>
      </w:r>
    </w:p>
    <w:p w14:paraId="3CF6125E" w14:textId="473EE81E" w:rsidR="002A018A" w:rsidRDefault="00C11EDD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BD3B2" w14:textId="77777777" w:rsidR="002D5167" w:rsidRDefault="002D5167" w:rsidP="009B32E7">
      <w:pPr>
        <w:spacing w:after="0" w:line="240" w:lineRule="auto"/>
      </w:pPr>
      <w:r>
        <w:separator/>
      </w:r>
    </w:p>
  </w:endnote>
  <w:endnote w:type="continuationSeparator" w:id="0">
    <w:p w14:paraId="3E5F0768" w14:textId="77777777" w:rsidR="002D5167" w:rsidRDefault="002D5167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A678" w14:textId="77777777" w:rsidR="002D5167" w:rsidRDefault="002D5167" w:rsidP="009B32E7">
      <w:pPr>
        <w:spacing w:after="0" w:line="240" w:lineRule="auto"/>
      </w:pPr>
      <w:r>
        <w:separator/>
      </w:r>
    </w:p>
  </w:footnote>
  <w:footnote w:type="continuationSeparator" w:id="0">
    <w:p w14:paraId="1ADA8A4C" w14:textId="77777777" w:rsidR="002D5167" w:rsidRDefault="002D5167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6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9"/>
  </w:num>
  <w:num w:numId="4">
    <w:abstractNumId w:val="7"/>
  </w:num>
  <w:num w:numId="5">
    <w:abstractNumId w:val="21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4"/>
  </w:num>
  <w:num w:numId="11">
    <w:abstractNumId w:val="16"/>
  </w:num>
  <w:num w:numId="12">
    <w:abstractNumId w:val="18"/>
  </w:num>
  <w:num w:numId="13">
    <w:abstractNumId w:val="26"/>
  </w:num>
  <w:num w:numId="14">
    <w:abstractNumId w:val="25"/>
  </w:num>
  <w:num w:numId="15">
    <w:abstractNumId w:val="2"/>
  </w:num>
  <w:num w:numId="16">
    <w:abstractNumId w:val="1"/>
  </w:num>
  <w:num w:numId="17">
    <w:abstractNumId w:val="22"/>
  </w:num>
  <w:num w:numId="18">
    <w:abstractNumId w:val="4"/>
  </w:num>
  <w:num w:numId="19">
    <w:abstractNumId w:val="14"/>
  </w:num>
  <w:num w:numId="20">
    <w:abstractNumId w:val="12"/>
  </w:num>
  <w:num w:numId="21">
    <w:abstractNumId w:val="3"/>
  </w:num>
  <w:num w:numId="22">
    <w:abstractNumId w:val="0"/>
  </w:num>
  <w:num w:numId="23">
    <w:abstractNumId w:val="15"/>
  </w:num>
  <w:num w:numId="24">
    <w:abstractNumId w:val="8"/>
  </w:num>
  <w:num w:numId="25">
    <w:abstractNumId w:val="20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40BF5"/>
    <w:rsid w:val="001743F9"/>
    <w:rsid w:val="001A0283"/>
    <w:rsid w:val="001B2101"/>
    <w:rsid w:val="001D0DD7"/>
    <w:rsid w:val="001F61B4"/>
    <w:rsid w:val="00212C09"/>
    <w:rsid w:val="0021596D"/>
    <w:rsid w:val="00232E5A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3771"/>
    <w:rsid w:val="0029418D"/>
    <w:rsid w:val="002A018A"/>
    <w:rsid w:val="002C2281"/>
    <w:rsid w:val="002C7664"/>
    <w:rsid w:val="002D2361"/>
    <w:rsid w:val="002D49D7"/>
    <w:rsid w:val="002D4DD8"/>
    <w:rsid w:val="002D5167"/>
    <w:rsid w:val="002E7741"/>
    <w:rsid w:val="002F6B55"/>
    <w:rsid w:val="003159D8"/>
    <w:rsid w:val="00333EBF"/>
    <w:rsid w:val="00350C7E"/>
    <w:rsid w:val="00395295"/>
    <w:rsid w:val="003B1FC4"/>
    <w:rsid w:val="003C1D22"/>
    <w:rsid w:val="003F29BD"/>
    <w:rsid w:val="00403C37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52515E"/>
    <w:rsid w:val="005465EE"/>
    <w:rsid w:val="005540E7"/>
    <w:rsid w:val="0056025F"/>
    <w:rsid w:val="005B2F24"/>
    <w:rsid w:val="005C260D"/>
    <w:rsid w:val="005E45D8"/>
    <w:rsid w:val="005F06A4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8060B2"/>
    <w:rsid w:val="00816BB6"/>
    <w:rsid w:val="00841B91"/>
    <w:rsid w:val="00855C49"/>
    <w:rsid w:val="008615C7"/>
    <w:rsid w:val="00861707"/>
    <w:rsid w:val="00867933"/>
    <w:rsid w:val="0088428E"/>
    <w:rsid w:val="00886DAD"/>
    <w:rsid w:val="009039C3"/>
    <w:rsid w:val="00916AEB"/>
    <w:rsid w:val="00921DF3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0995"/>
    <w:rsid w:val="00C11EDD"/>
    <w:rsid w:val="00C12739"/>
    <w:rsid w:val="00C413E2"/>
    <w:rsid w:val="00C4418A"/>
    <w:rsid w:val="00C44BF9"/>
    <w:rsid w:val="00C9417C"/>
    <w:rsid w:val="00C972AD"/>
    <w:rsid w:val="00CA35B4"/>
    <w:rsid w:val="00CC117C"/>
    <w:rsid w:val="00CE16A6"/>
    <w:rsid w:val="00CE7378"/>
    <w:rsid w:val="00CF326A"/>
    <w:rsid w:val="00D11ED0"/>
    <w:rsid w:val="00D308AE"/>
    <w:rsid w:val="00D311A3"/>
    <w:rsid w:val="00D90CBF"/>
    <w:rsid w:val="00DA1D7F"/>
    <w:rsid w:val="00DB2A37"/>
    <w:rsid w:val="00DC2BF7"/>
    <w:rsid w:val="00DF798F"/>
    <w:rsid w:val="00E03CEB"/>
    <w:rsid w:val="00E15E6E"/>
    <w:rsid w:val="00E40C97"/>
    <w:rsid w:val="00E809B3"/>
    <w:rsid w:val="00E86A06"/>
    <w:rsid w:val="00EA4954"/>
    <w:rsid w:val="00EB7E03"/>
    <w:rsid w:val="00EC1D37"/>
    <w:rsid w:val="00ED0FFD"/>
    <w:rsid w:val="00F10DCA"/>
    <w:rsid w:val="00F40147"/>
    <w:rsid w:val="00F50D69"/>
    <w:rsid w:val="00F61C6E"/>
    <w:rsid w:val="00F93029"/>
    <w:rsid w:val="00FD0A5F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04EA-D88B-4AD5-A80D-095ED4BB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3571</Words>
  <Characters>24642</Characters>
  <Application>Microsoft Office Word</Application>
  <DocSecurity>0</DocSecurity>
  <Lines>205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28157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60</cp:revision>
  <dcterms:created xsi:type="dcterms:W3CDTF">2020-10-07T06:54:00Z</dcterms:created>
  <dcterms:modified xsi:type="dcterms:W3CDTF">2020-11-12T09:40:00Z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2020-11-12T09:40:25Z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