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046A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4284F421" w14:textId="3F4A63B9" w:rsidR="007D12F0" w:rsidRDefault="00D21123" w:rsidP="00A1582B">
      <w:r>
        <w:t>placeholder</w:t>
      </w:r>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C274B1" w:rsidP="00342D58">
      <w:pPr>
        <w:pStyle w:val="Caption"/>
        <w:jc w:val="center"/>
      </w:pPr>
      <w:fldSimple w:instr=" SEQ ábra \* ARABIC ">
        <w:r w:rsidR="00512CA0">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C274B1" w:rsidP="007529B1">
      <w:pPr>
        <w:pStyle w:val="Caption"/>
        <w:jc w:val="center"/>
      </w:pPr>
      <w:fldSimple w:instr=" SEQ ábra \* ARABIC ">
        <w:r w:rsidR="00512CA0">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C274B1" w:rsidP="003B6B44">
      <w:pPr>
        <w:pStyle w:val="Caption"/>
        <w:jc w:val="center"/>
      </w:pPr>
      <w:fldSimple w:instr=" SEQ ábra \* ARABIC ">
        <w:r w:rsidR="00512CA0">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a tf.keras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r w:rsidRPr="00D226D5">
        <w:rPr>
          <w:b/>
          <w:bCs/>
        </w:rPr>
        <w:t>Normalizáció</w:t>
      </w:r>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r w:rsidRPr="00D226D5">
        <w:rPr>
          <w:b/>
          <w:bCs/>
          <w:i/>
          <w:iCs/>
        </w:rPr>
        <w:t>preprocessing.Normalization</w:t>
      </w:r>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r w:rsidR="007D6056" w:rsidRPr="007D6056">
        <w:rPr>
          <w:b/>
          <w:bCs/>
          <w:i/>
          <w:iCs/>
        </w:rPr>
        <w:t>keras.Sequential</w:t>
      </w:r>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r w:rsidR="00F36485" w:rsidRPr="00F36485">
        <w:t>studytime</w:t>
      </w:r>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r w:rsidRPr="00F36485">
        <w:rPr>
          <w:b/>
          <w:bCs/>
          <w:i/>
          <w:iCs/>
        </w:rPr>
        <w:t>layers.Dense</w:t>
      </w:r>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r>
        <w:t>complie()</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Model.fit()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(Type)</w:t>
            </w:r>
          </w:p>
        </w:tc>
        <w:tc>
          <w:tcPr>
            <w:tcW w:w="2922" w:type="dxa"/>
          </w:tcPr>
          <w:p w14:paraId="34A5C881" w14:textId="7ADEED1C" w:rsidR="004D30F5" w:rsidRDefault="004D30F5" w:rsidP="005D0C3E">
            <w:pPr>
              <w:ind w:left="0" w:firstLine="0"/>
            </w:pPr>
            <w:r>
              <w:t>Kimeneti alak (Shape)</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hyper paraméterekkel való kísérletezéseket a bal oszlopba említem meg. </w:t>
      </w:r>
      <w:r w:rsidR="004E1731">
        <w:t>A cellákban a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DNN hyper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5%-al.</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elterjedtek és számos probléma körre megoldást nyújtanak. Ezzel szemben fekete dobozok az ember számára, mivel nehéz megérteni a belső világának működését (SGD, dropout,</w:t>
      </w:r>
      <w:r w:rsidR="001212C3">
        <w:t xml:space="preserve"> regulazitation, activation)</w:t>
      </w:r>
      <w:r>
        <w:t>.</w:t>
      </w:r>
      <w:r w:rsidR="001212C3">
        <w:t xml:space="preserve"> A megmagyarázhatóságot előtérbe kell helyezni (explainable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„We need the ability to not only have high-performance models, but also to understands when we cannot trust those models.”</w:t>
      </w:r>
      <w:r>
        <w:t xml:space="preserve"> – Alexander Amini</w:t>
      </w:r>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33842A2A"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23AE736C" w:rsidR="00490D30" w:rsidRP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agyunk, ami egyenlő közel 20 watt fogyasztásra. Lenyűgöző teljesítményre képes az emberi agy összehasonlítva egy szuperszámítógéphez, ami </w:t>
      </w:r>
      <w:r w:rsidR="003A6032" w:rsidRPr="003A6032">
        <w:t>4 040 000 watt</w:t>
      </w:r>
      <w:r w:rsidR="003A6032">
        <w:t xml:space="preserve"> fogyaszt.  </w:t>
      </w:r>
      <w:sdt>
        <w:sdtPr>
          <w:id w:val="1746379463"/>
          <w:citation/>
        </w:sdtPr>
        <w:sdtContent>
          <w:r w:rsidR="003A6032">
            <w:fldChar w:fldCharType="begin"/>
          </w:r>
          <w:r w:rsidR="003A6032">
            <w:rPr>
              <w:lang w:val="en-US"/>
            </w:rPr>
            <w:instrText xml:space="preserve"> CITATION Kin20 \l 1033 </w:instrText>
          </w:r>
          <w:r w:rsidR="003A6032">
            <w:fldChar w:fldCharType="separate"/>
          </w:r>
          <w:r w:rsidR="003A6032" w:rsidRPr="003A6032">
            <w:rPr>
              <w:noProof/>
              <w:lang w:val="en-US"/>
            </w:rPr>
            <w:t>[36]</w:t>
          </w:r>
          <w:r w:rsidR="003A6032">
            <w:fldChar w:fldCharType="end"/>
          </w:r>
        </w:sdtContent>
      </w:sdt>
    </w:p>
    <w:p w14:paraId="066259B1" w14:textId="6FA73CDD" w:rsidR="000658C4" w:rsidRDefault="002046A3" w:rsidP="000658C4">
      <w:hyperlink r:id="rId65" w:history="1">
        <w:r w:rsidR="000658C4" w:rsidRPr="0017525F">
          <w:rPr>
            <w:rStyle w:val="Hyperlink"/>
          </w:rPr>
          <w:t>https://medium.com/huggingface/is-the-future-of-neural-networks-sparse-an-introduction-1-n-d03923ecbd70</w:t>
        </w:r>
      </w:hyperlink>
    </w:p>
    <w:p w14:paraId="1EDFEE6F" w14:textId="03983ED8" w:rsidR="000658C4" w:rsidRDefault="002046A3" w:rsidP="00487F05">
      <w:hyperlink r:id="rId66" w:history="1">
        <w:r w:rsidR="00487F05" w:rsidRPr="0017525F">
          <w:rPr>
            <w:rStyle w:val="Hyperlink"/>
          </w:rPr>
          <w:t>https://towardsdatascience.com/pre-defined-sparsity-for-reducing-complexity-in-neural-networks-55b0e85a1b54</w:t>
        </w:r>
      </w:hyperlink>
    </w:p>
    <w:p w14:paraId="3253D854" w14:textId="57BA7F46" w:rsidR="00487F05" w:rsidRDefault="002046A3" w:rsidP="00487F05">
      <w:hyperlink r:id="rId67" w:history="1">
        <w:r w:rsidR="00A33539" w:rsidRPr="0017525F">
          <w:rPr>
            <w:rStyle w:val="Hyperlink"/>
          </w:rPr>
          <w:t>https://numenta.com/blog/2019/08/30/case-for-sparsity-in-neural-networks-part-1-pruning</w:t>
        </w:r>
      </w:hyperlink>
    </w:p>
    <w:p w14:paraId="5111CDEA" w14:textId="088B1845" w:rsidR="00A33539" w:rsidRDefault="002046A3" w:rsidP="00487F05">
      <w:hyperlink r:id="rId68" w:history="1">
        <w:r w:rsidR="00A33539" w:rsidRPr="0017525F">
          <w:rPr>
            <w:rStyle w:val="Hyperlink"/>
          </w:rPr>
          <w:t>https://numenta.com/blog/2020/10/30/case-for-sparsity-in-neural-networks-part-2-dynamic-sparsity</w:t>
        </w:r>
      </w:hyperlink>
    </w:p>
    <w:p w14:paraId="7CA82E75" w14:textId="012E38A7" w:rsidR="00A33539" w:rsidRDefault="002046A3" w:rsidP="00487F05">
      <w:hyperlink r:id="rId69"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r>
        <w:t xml:space="preserve">papers: </w:t>
      </w:r>
      <w:r w:rsidRPr="000658C4">
        <w:t>LearningSparseNeuralNetwork.pdf</w:t>
      </w:r>
    </w:p>
    <w:p w14:paraId="1BAD69E2" w14:textId="1C32EA89" w:rsidR="00487F05" w:rsidRDefault="002046A3" w:rsidP="000658C4">
      <w:hyperlink r:id="rId70"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r>
        <w:t>code:</w:t>
      </w:r>
    </w:p>
    <w:p w14:paraId="02317752" w14:textId="241C238C" w:rsidR="00487F05" w:rsidRDefault="002046A3" w:rsidP="000658C4">
      <w:hyperlink r:id="rId71" w:history="1">
        <w:r w:rsidR="00487F05" w:rsidRPr="0017525F">
          <w:rPr>
            <w:rStyle w:val="Hyperlink"/>
          </w:rPr>
          <w:t>https://github.com/dcmocanu/sparse-evolutionary-artificial-neural-networks</w:t>
        </w:r>
      </w:hyperlink>
    </w:p>
    <w:p w14:paraId="4F8AFB3E" w14:textId="77777777" w:rsidR="00487F05" w:rsidRDefault="002046A3" w:rsidP="00487F05">
      <w:hyperlink r:id="rId72" w:history="1">
        <w:r w:rsidR="00487F05" w:rsidRPr="0017525F">
          <w:rPr>
            <w:rStyle w:val="Hyperlink"/>
          </w:rPr>
          <w:t>https://github.com/Lyken17/SparseNet</w:t>
        </w:r>
      </w:hyperlink>
    </w:p>
    <w:p w14:paraId="21D55F81" w14:textId="77777777" w:rsidR="00487F05" w:rsidRDefault="002046A3" w:rsidP="00487F05">
      <w:hyperlink r:id="rId73"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C274B1" w:rsidP="00A07B72">
      <w:pPr>
        <w:pStyle w:val="Caption"/>
        <w:jc w:val="center"/>
      </w:pPr>
      <w:fldSimple w:instr=" SEQ ábra \* ARABIC ">
        <w:r w:rsidR="00512CA0">
          <w:rPr>
            <w:noProof/>
          </w:rPr>
          <w:t>5</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4AC31B95"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26178994" w:rsidR="000C618E" w:rsidRDefault="000C618E" w:rsidP="00DA14F0">
      <w:r w:rsidRPr="000C618E">
        <w:t>A Luhn-összefoglaló algoritmus megközelítése a TF-IDF-en (Term Frequency-Inverse Document Frequency) alapul. Ez akkor hasznos, ha a nagyon ritkán 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17111168"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4152BF99" w14:textId="67FB5932" w:rsidR="00CF4DF8" w:rsidRDefault="00CF4DF8" w:rsidP="00E91241">
      <w:pPr>
        <w:rPr>
          <w:b/>
          <w:bCs/>
        </w:rPr>
      </w:pPr>
      <w:r w:rsidRPr="00CF4DF8">
        <w:rPr>
          <w:b/>
          <w:bCs/>
        </w:rPr>
        <w:t>Reinforcement learning summarization</w:t>
      </w:r>
      <w:r w:rsidR="00467C78">
        <w:rPr>
          <w:b/>
          <w:bCs/>
        </w:rPr>
        <w:t xml:space="preserve"> (optional)</w:t>
      </w:r>
    </w:p>
    <w:p w14:paraId="7CC3D887" w14:textId="7349F6B1" w:rsidR="00CF4DF8" w:rsidRPr="00CF4DF8" w:rsidRDefault="002046A3" w:rsidP="00E91241">
      <w:hyperlink r:id="rId82" w:history="1">
        <w:r w:rsidR="00CF4DF8" w:rsidRPr="00CF4DF8">
          <w:rPr>
            <w:rStyle w:val="Hyperlink"/>
          </w:rPr>
          <w:t>https://openai.com/blog/learning-to-summarize-with-human-feedback/</w:t>
        </w:r>
      </w:hyperlink>
    </w:p>
    <w:p w14:paraId="666795DE" w14:textId="129251EE" w:rsidR="00B12580" w:rsidRDefault="002046A3" w:rsidP="00A07B72">
      <w:pPr>
        <w:rPr>
          <w:rStyle w:val="Hyperlink"/>
        </w:rPr>
      </w:pPr>
      <w:hyperlink r:id="rId83"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r>
        <w:t>placeholder</w:t>
      </w:r>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r w:rsidR="00A07B72">
        <w:rPr>
          <w:rFonts w:ascii="Arial" w:hAnsi="Arial" w:cs="Arial"/>
          <w:color w:val="404040"/>
        </w:rPr>
        <w:t>Extractive Question Answering</w:t>
      </w:r>
      <w:r w:rsidR="00A07B72">
        <w:rPr>
          <w:rFonts w:ascii="Arial" w:eastAsia="Times New Roman" w:hAnsi="Arial" w:cs="Arial"/>
          <w:color w:val="404040"/>
          <w:sz w:val="36"/>
        </w:rPr>
        <w:t>)</w:t>
      </w:r>
    </w:p>
    <w:p w14:paraId="126EA46D" w14:textId="1D10DA15" w:rsidR="003A597E" w:rsidRDefault="00A07B72" w:rsidP="003A597E">
      <w:r>
        <w:t>placeholder</w:t>
      </w:r>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046A3" w:rsidRPr="00D7568A" w:rsidRDefault="002046A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046A3" w:rsidRDefault="002046A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046A3" w:rsidRDefault="002046A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2046A3" w:rsidRDefault="002046A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258C3" w14:textId="77777777" w:rsidR="00861F55" w:rsidRDefault="00861F55" w:rsidP="009B32E7">
      <w:pPr>
        <w:spacing w:after="0" w:line="240" w:lineRule="auto"/>
      </w:pPr>
      <w:r>
        <w:separator/>
      </w:r>
    </w:p>
  </w:endnote>
  <w:endnote w:type="continuationSeparator" w:id="0">
    <w:p w14:paraId="14B67232" w14:textId="77777777" w:rsidR="00861F55" w:rsidRDefault="00861F55"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D379D" w14:textId="77777777" w:rsidR="00861F55" w:rsidRDefault="00861F55" w:rsidP="009B32E7">
      <w:pPr>
        <w:spacing w:after="0" w:line="240" w:lineRule="auto"/>
      </w:pPr>
      <w:r>
        <w:separator/>
      </w:r>
    </w:p>
  </w:footnote>
  <w:footnote w:type="continuationSeparator" w:id="0">
    <w:p w14:paraId="51C42551" w14:textId="77777777" w:rsidR="00861F55" w:rsidRDefault="00861F55"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5"/>
  </w:num>
  <w:num w:numId="4">
    <w:abstractNumId w:val="11"/>
  </w:num>
  <w:num w:numId="5">
    <w:abstractNumId w:val="23"/>
  </w:num>
  <w:num w:numId="6">
    <w:abstractNumId w:val="22"/>
  </w:num>
  <w:num w:numId="7">
    <w:abstractNumId w:val="10"/>
  </w:num>
  <w:num w:numId="8">
    <w:abstractNumId w:val="16"/>
  </w:num>
  <w:num w:numId="9">
    <w:abstractNumId w:val="30"/>
  </w:num>
  <w:num w:numId="10">
    <w:abstractNumId w:val="12"/>
  </w:num>
  <w:num w:numId="11">
    <w:abstractNumId w:val="9"/>
  </w:num>
  <w:num w:numId="12">
    <w:abstractNumId w:val="3"/>
  </w:num>
  <w:num w:numId="13">
    <w:abstractNumId w:val="20"/>
  </w:num>
  <w:num w:numId="14">
    <w:abstractNumId w:val="35"/>
  </w:num>
  <w:num w:numId="15">
    <w:abstractNumId w:val="14"/>
  </w:num>
  <w:num w:numId="16">
    <w:abstractNumId w:val="13"/>
  </w:num>
  <w:num w:numId="17">
    <w:abstractNumId w:val="7"/>
  </w:num>
  <w:num w:numId="18">
    <w:abstractNumId w:val="0"/>
  </w:num>
  <w:num w:numId="19">
    <w:abstractNumId w:val="2"/>
  </w:num>
  <w:num w:numId="20">
    <w:abstractNumId w:val="19"/>
  </w:num>
  <w:num w:numId="21">
    <w:abstractNumId w:val="21"/>
  </w:num>
  <w:num w:numId="22">
    <w:abstractNumId w:val="34"/>
  </w:num>
  <w:num w:numId="23">
    <w:abstractNumId w:val="15"/>
  </w:num>
  <w:num w:numId="24">
    <w:abstractNumId w:val="6"/>
  </w:num>
  <w:num w:numId="25">
    <w:abstractNumId w:val="33"/>
  </w:num>
  <w:num w:numId="26">
    <w:abstractNumId w:val="17"/>
  </w:num>
  <w:num w:numId="27">
    <w:abstractNumId w:val="36"/>
  </w:num>
  <w:num w:numId="28">
    <w:abstractNumId w:val="29"/>
  </w:num>
  <w:num w:numId="29">
    <w:abstractNumId w:val="4"/>
  </w:num>
  <w:num w:numId="30">
    <w:abstractNumId w:val="31"/>
  </w:num>
  <w:num w:numId="31">
    <w:abstractNumId w:val="26"/>
  </w:num>
  <w:num w:numId="32">
    <w:abstractNumId w:val="24"/>
  </w:num>
  <w:num w:numId="33">
    <w:abstractNumId w:val="18"/>
  </w:num>
  <w:num w:numId="34">
    <w:abstractNumId w:val="32"/>
  </w:num>
  <w:num w:numId="35">
    <w:abstractNumId w:val="8"/>
  </w:num>
  <w:num w:numId="36">
    <w:abstractNumId w:val="27"/>
  </w:num>
  <w:num w:numId="37">
    <w:abstractNumId w:val="2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6056"/>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1F55"/>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3B42"/>
    <w:rsid w:val="00977E80"/>
    <w:rsid w:val="0098226D"/>
    <w:rsid w:val="009849DC"/>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36485"/>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numenta.com/blog/2020/10/30/case-for-sparsity-in-neural-networks-part-2-dynamic-sparsity" TargetMode="External"/><Relationship Id="rId76" Type="http://schemas.openxmlformats.org/officeDocument/2006/relationships/image" Target="media/image5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dcmocanu/sparse-evolutionary-artificial-neural-network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towardsdatascience.com/pre-defined-sparsity-for-reducing-complexity-in-neural-networks-55b0e85a1b54"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openai.com/blog/learning-to-summarize-with-human-feedbac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towardsdatascience.com/the-sparse-future-of-deep-learning-bce05e8e094a" TargetMode="External"/><Relationship Id="rId77" Type="http://schemas.openxmlformats.org/officeDocument/2006/relationships/image" Target="media/image53.PNG"/><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hyperlink" Target="https://github.com/Lyken17/SparseNet" TargetMode="External"/><Relationship Id="rId80" Type="http://schemas.openxmlformats.org/officeDocument/2006/relationships/image" Target="media/image56.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numenta.com/blog/2019/08/30/case-for-sparsity-in-neural-networks-part-1-pruning"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link.springer.com/article/10.1007/s00521-020-05136-7" TargetMode="External"/><Relationship Id="rId75" Type="http://schemas.openxmlformats.org/officeDocument/2006/relationships/image" Target="media/image51.PNG"/><Relationship Id="rId83" Type="http://schemas.openxmlformats.org/officeDocument/2006/relationships/hyperlink" Target="https://arxiv.org/abs/2009.013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medium.com/huggingface/is-the-future-of-neural-networks-sparse-an-introduction-1-n-d03923ecbd70" TargetMode="External"/><Relationship Id="rId73" Type="http://schemas.openxmlformats.org/officeDocument/2006/relationships/hyperlink" Target="https://www.kaggle.com/arpandhatt/dense-sparse-dense-convolutional-neural-network" TargetMode="External"/><Relationship Id="rId78" Type="http://schemas.openxmlformats.org/officeDocument/2006/relationships/image" Target="media/image54.PNG"/><Relationship Id="rId81" Type="http://schemas.openxmlformats.org/officeDocument/2006/relationships/hyperlink" Target="https://transformer.huggingface.co/doc/gpt2-large"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44</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38</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39</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40</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37</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41</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43</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42</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s>
</file>

<file path=customXml/itemProps1.xml><?xml version="1.0" encoding="utf-8"?>
<ds:datastoreItem xmlns:ds="http://schemas.openxmlformats.org/officeDocument/2006/customXml" ds:itemID="{B3720B4B-684A-46D6-B724-0E9A49D4E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16734</Words>
  <Characters>115468</Characters>
  <Application>Microsoft Office Word</Application>
  <DocSecurity>0</DocSecurity>
  <Lines>962</Lines>
  <Paragraphs>263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131939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342</cp:revision>
  <dcterms:created xsi:type="dcterms:W3CDTF">2020-10-07T06:54:00Z</dcterms:created>
  <dcterms:modified xsi:type="dcterms:W3CDTF">2021-04-24T08:10:00Z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2021-04-24T08:10:54Z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