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0DCB" w14:textId="2DA2F53B" w:rsidR="007863F6" w:rsidRPr="00290E06" w:rsidRDefault="00F64FB5" w:rsidP="00A16856">
      <w:pPr>
        <w:jc w:val="center"/>
        <w:rPr>
          <w:rFonts w:ascii="Times New Roman" w:hAnsi="Times New Roman" w:cs="Times New Roman"/>
          <w:caps/>
          <w:color w:val="333333"/>
          <w:sz w:val="24"/>
          <w:szCs w:val="24"/>
          <w:bdr w:val="single" w:sz="24" w:space="0" w:color="D9D9D9" w:themeColor="background1" w:themeShade="D9"/>
          <w:shd w:val="clear" w:color="auto" w:fill="FFFFFF"/>
        </w:rPr>
        <w:sectPr w:rsidR="007863F6" w:rsidRPr="00290E06" w:rsidSect="00942AF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290E06">
        <w:rPr>
          <w:rFonts w:ascii="Times New Roman" w:hAnsi="Times New Roman" w:cs="Times New Roman"/>
          <w:caps/>
          <w:color w:val="333333"/>
          <w:sz w:val="24"/>
          <w:szCs w:val="24"/>
          <w:bdr w:val="single" w:sz="24" w:space="0" w:color="D9D9D9" w:themeColor="background1" w:themeShade="D9"/>
          <w:shd w:val="clear" w:color="auto" w:fill="FFFFFF"/>
        </w:rPr>
        <w:t>Comenius Logo</w:t>
      </w:r>
    </w:p>
    <w:p w14:paraId="0264F69C" w14:textId="41E2EE44" w:rsidR="007863F6" w:rsidRPr="007863F6" w:rsidRDefault="007863F6" w:rsidP="007863F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kisgyermek nem úgy gondolkodik, mint a felnőtt: a körülötte levő világ modelljét tapasztalataiból építi fel. Szinte „szomjazik" a tudásra. A felnőtt feladata ezért olyan interaktív környezet biztosítása, amelyben a gyermek tanulási vágya kibontakozhat, amelyben felfedezéseket tehet, mégpedig saját tempójában, mindenfajta erőltetés és siettetés nélkül.</w:t>
      </w: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420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Logo</w:t>
      </w:r>
      <w:proofErr w:type="spellEnd"/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</w:t>
      </w: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ulajdonképpen egy olyan pedagógiai környezetet, „mikrovilágot" jelent, amelyben a gyermekek </w:t>
      </w:r>
      <w:r w:rsidRPr="00786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maguk tehetnek felfedezéseket, miközben minden kényszer és „magolás" nélkül számos új ismeret birtokába jutnak. A teknőc a számítógép billentyűzetén keresztül utasítható a számára „érthető" feladatok elvégzésére: tud adott távolsággal előre vagy hátra menni, adott szöggel jobbra vagy balra elfordulni, tollat (ami a hasára van erősítve) felemelni, leereszteni, más színűre cserélni, ezáltal mozgásával érdekes nyomokat hagyni a képernyőn. </w:t>
      </w:r>
    </w:p>
    <w:p w14:paraId="19B62B8B" w14:textId="77777777" w:rsidR="00542049" w:rsidRPr="007863F6" w:rsidRDefault="00542049" w:rsidP="007863F6">
      <w:pPr>
        <w:pStyle w:val="NormlWeb"/>
        <w:shd w:val="clear" w:color="auto" w:fill="FFFFFF"/>
        <w:jc w:val="both"/>
        <w:rPr>
          <w:color w:val="333333"/>
        </w:rPr>
        <w:sectPr w:rsidR="00542049" w:rsidRPr="007863F6" w:rsidSect="007863F6">
          <w:type w:val="continuous"/>
          <w:pgSz w:w="12240" w:h="15840"/>
          <w:pgMar w:top="1417" w:right="1417" w:bottom="1417" w:left="1417" w:header="720" w:footer="720" w:gutter="0"/>
          <w:cols w:num="2" w:sep="1" w:space="720"/>
          <w:docGrid w:linePitch="360"/>
        </w:sectPr>
      </w:pPr>
    </w:p>
    <w:p w14:paraId="0A6E3F42" w14:textId="77777777" w:rsidR="00542049" w:rsidRDefault="00542049" w:rsidP="007863F6">
      <w:pPr>
        <w:pStyle w:val="NormlWeb"/>
        <w:shd w:val="clear" w:color="auto" w:fill="FFFFFF"/>
        <w:jc w:val="both"/>
        <w:rPr>
          <w:color w:val="333333"/>
        </w:rPr>
      </w:pPr>
    </w:p>
    <w:p w14:paraId="0EC981C3" w14:textId="77777777" w:rsidR="00542049" w:rsidRDefault="00542049" w:rsidP="007863F6">
      <w:pPr>
        <w:pStyle w:val="NormlWeb"/>
        <w:shd w:val="clear" w:color="auto" w:fill="FFFFFF"/>
        <w:jc w:val="both"/>
        <w:rPr>
          <w:color w:val="333333"/>
        </w:rPr>
        <w:sectPr w:rsidR="00542049" w:rsidSect="007863F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1ADC18A" w14:textId="1E373BB4" w:rsidR="007863F6" w:rsidRPr="007863F6" w:rsidRDefault="007863F6" w:rsidP="00A16856">
      <w:pPr>
        <w:pStyle w:val="NormlWeb"/>
        <w:shd w:val="clear" w:color="auto" w:fill="D9D9D9" w:themeFill="background1" w:themeFillShade="D9"/>
        <w:ind w:firstLine="708"/>
        <w:jc w:val="both"/>
        <w:rPr>
          <w:color w:val="333333"/>
        </w:rPr>
      </w:pPr>
      <w:r w:rsidRPr="00542049">
        <w:rPr>
          <w:color w:val="333333"/>
        </w:rPr>
        <w:t>A diák azáltal, hogy parancsot ad a képernyőteknőcnek, rögtön ellenőrizheti</w:t>
      </w:r>
      <w:r w:rsidR="00542049" w:rsidRPr="00542049">
        <w:rPr>
          <w:color w:val="333333"/>
        </w:rPr>
        <w:t xml:space="preserve"> </w:t>
      </w:r>
      <w:r w:rsidRPr="00542049">
        <w:rPr>
          <w:color w:val="333333"/>
        </w:rPr>
        <w:t xml:space="preserve">gondolkodásának és cselekedeteinek következményeit. Megfigyeli utasításainak hatását, majd módosíthatja azokat céljának tökéletesebb megvalósítása érdekében. A kipróbálások és módosítások sorozata egybecseng a </w:t>
      </w:r>
      <w:proofErr w:type="spellStart"/>
      <w:r w:rsidRPr="00542049">
        <w:rPr>
          <w:color w:val="333333"/>
        </w:rPr>
        <w:t>piaget</w:t>
      </w:r>
      <w:proofErr w:type="spellEnd"/>
      <w:r w:rsidRPr="00542049">
        <w:rPr>
          <w:color w:val="333333"/>
        </w:rPr>
        <w:t xml:space="preserve">-i értelmi fejlődés sémájával. A pedagógus és a tanuló </w:t>
      </w:r>
      <w:r w:rsidRPr="00542049">
        <w:rPr>
          <w:color w:val="333333"/>
        </w:rPr>
        <w:t>kapcsolata sem hagyományos tanár-diák viszony, hiszen a kreatív gondolatok születésében és realizálásában a felnőtt együtt dolgozik a gyermekkel, de nem irányítóként, hanem munkatársként.</w:t>
      </w:r>
      <w:r w:rsidR="00542049" w:rsidRPr="00542049">
        <w:rPr>
          <w:color w:val="333333"/>
        </w:rPr>
        <w:t xml:space="preserve"> </w:t>
      </w:r>
      <w:r w:rsidRPr="00542049">
        <w:rPr>
          <w:color w:val="333333"/>
        </w:rPr>
        <w:t xml:space="preserve">A </w:t>
      </w:r>
      <w:proofErr w:type="spellStart"/>
      <w:r w:rsidRPr="00542049">
        <w:rPr>
          <w:color w:val="333333"/>
        </w:rPr>
        <w:t>Logo</w:t>
      </w:r>
      <w:proofErr w:type="spellEnd"/>
      <w:r w:rsidRPr="00542049">
        <w:rPr>
          <w:color w:val="333333"/>
        </w:rPr>
        <w:t xml:space="preserve"> filozófiája a </w:t>
      </w:r>
      <w:proofErr w:type="spellStart"/>
      <w:r w:rsidRPr="00542049">
        <w:rPr>
          <w:color w:val="333333"/>
        </w:rPr>
        <w:t>modulszerűen</w:t>
      </w:r>
      <w:proofErr w:type="spellEnd"/>
      <w:r w:rsidRPr="00542049">
        <w:rPr>
          <w:color w:val="333333"/>
        </w:rPr>
        <w:t xml:space="preserve"> felépített programozás: az egyes elemekből „épül fel" a végső program. A programírás és -építés tehát logikai egységekre bontható, tisztán </w:t>
      </w:r>
      <w:r w:rsidRPr="00542049">
        <w:rPr>
          <w:color w:val="333333"/>
        </w:rPr>
        <w:t xml:space="preserve">alkalmazható az alulról felfelé, illetve a </w:t>
      </w:r>
      <w:proofErr w:type="spellStart"/>
      <w:r w:rsidRPr="00542049">
        <w:rPr>
          <w:color w:val="333333"/>
        </w:rPr>
        <w:t>felülről</w:t>
      </w:r>
      <w:proofErr w:type="spellEnd"/>
      <w:r w:rsidRPr="00542049">
        <w:rPr>
          <w:color w:val="333333"/>
        </w:rPr>
        <w:t xml:space="preserve"> lefelé való programtervezési stratégia. A Comenius </w:t>
      </w:r>
      <w:proofErr w:type="spellStart"/>
      <w:r w:rsidRPr="00542049">
        <w:rPr>
          <w:color w:val="333333"/>
        </w:rPr>
        <w:t>Logo</w:t>
      </w:r>
      <w:proofErr w:type="spellEnd"/>
      <w:r w:rsidRPr="00542049">
        <w:rPr>
          <w:color w:val="333333"/>
        </w:rPr>
        <w:t xml:space="preserve"> segítségével, Windows környezetben, az eredeti </w:t>
      </w:r>
      <w:proofErr w:type="spellStart"/>
      <w:r w:rsidRPr="00542049">
        <w:rPr>
          <w:color w:val="333333"/>
        </w:rPr>
        <w:t>Logo</w:t>
      </w:r>
      <w:proofErr w:type="spellEnd"/>
      <w:r w:rsidRPr="00542049">
        <w:rPr>
          <w:color w:val="333333"/>
        </w:rPr>
        <w:t xml:space="preserve"> lehetőségei megsokszorozódnak: a képernyőn megjelenő alkotás varázslat, amelynek megálmodója és létrehozója a gyermek, és ez az, ami oktatási alkalmazását feltétlenül indokolja.</w:t>
      </w:r>
    </w:p>
    <w:p w14:paraId="6383D274" w14:textId="77777777" w:rsidR="00542049" w:rsidRDefault="00542049" w:rsidP="00A16856">
      <w:pPr>
        <w:pStyle w:val="Cmsor1"/>
        <w:shd w:val="clear" w:color="auto" w:fill="D9D9D9" w:themeFill="background1" w:themeFillShade="D9"/>
        <w:rPr>
          <w:shd w:val="clear" w:color="auto" w:fill="FFFFFF"/>
        </w:rPr>
        <w:sectPr w:rsidR="00542049" w:rsidSect="00542049">
          <w:type w:val="continuous"/>
          <w:pgSz w:w="12240" w:h="15840"/>
          <w:pgMar w:top="1417" w:right="1417" w:bottom="1417" w:left="1417" w:header="720" w:footer="720" w:gutter="0"/>
          <w:cols w:num="3" w:space="720"/>
          <w:docGrid w:linePitch="360"/>
        </w:sectPr>
      </w:pPr>
    </w:p>
    <w:p w14:paraId="6CE163E6" w14:textId="77777777" w:rsidR="00542049" w:rsidRPr="00542049" w:rsidRDefault="00542049" w:rsidP="007863F6">
      <w:pPr>
        <w:pStyle w:val="NormlWeb"/>
        <w:shd w:val="clear" w:color="auto" w:fill="FFFFFF"/>
        <w:jc w:val="both"/>
        <w:rPr>
          <w:b/>
          <w:bCs/>
          <w:color w:val="333333"/>
          <w:shd w:val="clear" w:color="auto" w:fill="FFFFFF"/>
        </w:rPr>
      </w:pPr>
    </w:p>
    <w:p w14:paraId="43D135B2" w14:textId="74AC2432" w:rsidR="000C4DA9" w:rsidRPr="000C4DA9" w:rsidRDefault="000C4DA9" w:rsidP="000C4DA9">
      <w:pPr>
        <w:keepNext/>
        <w:framePr w:dropCap="drop" w:lines="3" w:wrap="around" w:vAnchor="text" w:hAnchor="text"/>
        <w:spacing w:after="0" w:line="827" w:lineRule="exact"/>
        <w:jc w:val="both"/>
        <w:textAlignment w:val="baseline"/>
        <w:rPr>
          <w:rFonts w:ascii="Times New Roman" w:hAnsi="Times New Roman" w:cs="Times New Roman"/>
          <w:position w:val="-11"/>
          <w:sz w:val="102"/>
          <w:szCs w:val="56"/>
        </w:rPr>
      </w:pPr>
      <w:r w:rsidRPr="000C4DA9">
        <w:rPr>
          <w:rFonts w:ascii="Times New Roman" w:hAnsi="Times New Roman" w:cs="Times New Roman"/>
          <w:position w:val="-11"/>
          <w:sz w:val="102"/>
          <w:szCs w:val="56"/>
        </w:rPr>
        <w:t>A</w:t>
      </w:r>
    </w:p>
    <w:p w14:paraId="24A87513" w14:textId="25DA8D52" w:rsidR="007863F6" w:rsidRPr="00A16856" w:rsidRDefault="00A16856" w:rsidP="000C4D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856">
        <w:rPr>
          <w:rFonts w:ascii="Times New Roman" w:hAnsi="Times New Roman" w:cs="Times New Roman"/>
          <w:sz w:val="24"/>
          <w:szCs w:val="24"/>
        </w:rPr>
        <w:t xml:space="preserve">Logo régen áhított eszköz a magyar közoktatásban. Az érdeklődés legfőbb oka, hogy a </w:t>
      </w:r>
      <w:proofErr w:type="spellStart"/>
      <w:r w:rsidRPr="00A16856">
        <w:rPr>
          <w:rFonts w:ascii="Times New Roman" w:hAnsi="Times New Roman" w:cs="Times New Roman"/>
          <w:sz w:val="24"/>
          <w:szCs w:val="24"/>
        </w:rPr>
        <w:t>Logo</w:t>
      </w:r>
      <w:proofErr w:type="spellEnd"/>
      <w:r w:rsidRPr="00A16856">
        <w:rPr>
          <w:rFonts w:ascii="Times New Roman" w:hAnsi="Times New Roman" w:cs="Times New Roman"/>
          <w:sz w:val="24"/>
          <w:szCs w:val="24"/>
        </w:rPr>
        <w:t xml:space="preserve"> programnyelvi szinten „gyermekközpontú", vagyis a gyermekek nemcsak mint felhasználók találkozhatnak programokkal, hanem könnyen megtanulhatják a </w:t>
      </w:r>
      <w:proofErr w:type="spellStart"/>
      <w:r w:rsidRPr="00A16856">
        <w:rPr>
          <w:rFonts w:ascii="Times New Roman" w:hAnsi="Times New Roman" w:cs="Times New Roman"/>
          <w:sz w:val="24"/>
          <w:szCs w:val="24"/>
        </w:rPr>
        <w:t>Logo</w:t>
      </w:r>
      <w:proofErr w:type="spellEnd"/>
      <w:r w:rsidRPr="00A16856">
        <w:rPr>
          <w:rFonts w:ascii="Times New Roman" w:hAnsi="Times New Roman" w:cs="Times New Roman"/>
          <w:sz w:val="24"/>
          <w:szCs w:val="24"/>
        </w:rPr>
        <w:t xml:space="preserve"> programozási nyelvet is - hiszen nekik alkották meg. Emiatt kifejlesztettek már grafikákat, hangokat, animációt és multimédiát kezelő nyelvi elemeket. A Comenius </w:t>
      </w:r>
      <w:proofErr w:type="spellStart"/>
      <w:r w:rsidRPr="00A16856">
        <w:rPr>
          <w:rFonts w:ascii="Times New Roman" w:hAnsi="Times New Roman" w:cs="Times New Roman"/>
          <w:sz w:val="24"/>
          <w:szCs w:val="24"/>
        </w:rPr>
        <w:t>Logo</w:t>
      </w:r>
      <w:proofErr w:type="spellEnd"/>
      <w:r w:rsidRPr="00A16856">
        <w:rPr>
          <w:rFonts w:ascii="Times New Roman" w:hAnsi="Times New Roman" w:cs="Times New Roman"/>
          <w:sz w:val="24"/>
          <w:szCs w:val="24"/>
        </w:rPr>
        <w:t xml:space="preserve"> Windows környezetben fut, ami megkönnyíti elterjesztését és felhasználását.</w:t>
      </w:r>
    </w:p>
    <w:sectPr w:rsidR="007863F6" w:rsidRPr="00A16856" w:rsidSect="007863F6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6"/>
    <w:rsid w:val="000C4DA9"/>
    <w:rsid w:val="001D3D84"/>
    <w:rsid w:val="00290E06"/>
    <w:rsid w:val="00542049"/>
    <w:rsid w:val="007863F6"/>
    <w:rsid w:val="00942AFD"/>
    <w:rsid w:val="00A16856"/>
    <w:rsid w:val="00B0272A"/>
    <w:rsid w:val="00D47B9D"/>
    <w:rsid w:val="00DE6F60"/>
    <w:rsid w:val="00F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6D06"/>
  <w15:chartTrackingRefBased/>
  <w15:docId w15:val="{79381FAE-63BA-4370-BB40-224358D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6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6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63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63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63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63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63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63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63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63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63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63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63F6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78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F6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8200-3F63-461C-AE53-85A40D45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3</cp:revision>
  <dcterms:created xsi:type="dcterms:W3CDTF">2024-05-13T20:44:00Z</dcterms:created>
  <dcterms:modified xsi:type="dcterms:W3CDTF">2024-05-13T20:45:00Z</dcterms:modified>
</cp:coreProperties>
</file>