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435B8D">
      <w:pPr>
        <w:pStyle w:val="2"/>
        <w:spacing w:before="0" w:after="0"/>
        <w:jc w:val="center"/>
        <w:rPr>
          <w:rFonts w:ascii="黑体" w:hAnsi="黑体" w:eastAsia="黑体"/>
          <w:color w:val="000000" w:themeColor="text1"/>
          <w:sz w:val="30"/>
          <w:szCs w:val="30"/>
          <w14:textFill>
            <w14:solidFill>
              <w14:schemeClr w14:val="tx1"/>
            </w14:solidFill>
          </w14:textFill>
        </w:rPr>
      </w:pPr>
      <w:r>
        <w:t>融合微信云开发的语言学习平台构建</w:t>
      </w:r>
    </w:p>
    <w:p w14:paraId="3108A357">
      <w:pPr>
        <w:jc w:val="center"/>
        <w:rPr>
          <w:rFonts w:ascii="黑体" w:hAnsi="黑体" w:eastAsia="黑体"/>
        </w:rPr>
      </w:pPr>
      <w:r>
        <w:rPr>
          <w:rFonts w:hint="eastAsia" w:ascii="黑体" w:hAnsi="黑体" w:eastAsia="黑体"/>
        </w:rPr>
        <w:t>崔子霖</w:t>
      </w:r>
      <w:r>
        <w:rPr>
          <w:rFonts w:hint="default" w:ascii="Times New Roman Regular" w:hAnsi="Times New Roman Regular" w:eastAsia="黑体" w:cs="Times New Roman Regular"/>
          <w:vertAlign w:val="superscript"/>
        </w:rPr>
        <w:t>1</w:t>
      </w:r>
      <w:r>
        <w:rPr>
          <w:rFonts w:hint="eastAsia" w:ascii="黑体" w:hAnsi="黑体" w:eastAsia="黑体"/>
        </w:rPr>
        <w:t>，任凯</w:t>
      </w:r>
      <w:r>
        <w:rPr>
          <w:rFonts w:hint="default" w:ascii="Times New Roman Regular" w:hAnsi="Times New Roman Regular" w:eastAsia="黑体" w:cs="Times New Roman Regular"/>
          <w:vertAlign w:val="superscript"/>
        </w:rPr>
        <w:t>1</w:t>
      </w:r>
      <w:r>
        <w:rPr>
          <w:rFonts w:hint="eastAsia" w:ascii="Times New Roman Regular" w:hAnsi="Times New Roman Regular" w:eastAsia="黑体" w:cs="Times New Roman Regular"/>
          <w:vertAlign w:val="superscript"/>
          <w:lang w:val="en-US" w:eastAsia="zh-CN"/>
        </w:rPr>
        <w:t>,</w:t>
      </w:r>
      <w:r>
        <w:rPr>
          <w:rFonts w:hint="default" w:ascii="Times New Roman Regular" w:hAnsi="Times New Roman Regular" w:eastAsia="黑体" w:cs="Times New Roman Regular"/>
          <w:vertAlign w:val="superscript"/>
        </w:rPr>
        <w:t>*</w:t>
      </w:r>
      <w:r>
        <w:rPr>
          <w:rFonts w:hint="eastAsia" w:ascii="黑体" w:hAnsi="黑体" w:eastAsia="黑体"/>
        </w:rPr>
        <w:t>，应毅</w:t>
      </w:r>
      <w:r>
        <w:rPr>
          <w:rFonts w:hint="default" w:ascii="Times New Roman Regular" w:hAnsi="Times New Roman Regular" w:eastAsia="黑体" w:cs="Times New Roman Regular"/>
          <w:vertAlign w:val="superscript"/>
        </w:rPr>
        <w:t>2</w:t>
      </w:r>
    </w:p>
    <w:p w14:paraId="557F6D23">
      <w:pPr>
        <w:jc w:val="center"/>
        <w:rPr>
          <w:rFonts w:ascii="黑体" w:hAnsi="黑体" w:eastAsia="黑体"/>
          <w:sz w:val="15"/>
          <w:szCs w:val="15"/>
        </w:rPr>
      </w:pPr>
      <w:r>
        <w:rPr>
          <w:rFonts w:hint="eastAsia" w:ascii="黑体" w:hAnsi="黑体" w:eastAsia="黑体"/>
          <w:sz w:val="15"/>
          <w:szCs w:val="15"/>
        </w:rPr>
        <w:t>（1 南京理工大学紫金学院 计算机与数据辅助学院，南京210023;2 三江学院 计算机科学与工程学院，南京210012）</w:t>
      </w:r>
    </w:p>
    <w:p w14:paraId="7087619C">
      <w:pPr>
        <w:pStyle w:val="51"/>
        <w:spacing w:before="0" w:beforeAutospacing="0" w:after="0" w:afterAutospacing="0"/>
        <w:rPr>
          <w:sz w:val="20"/>
          <w:szCs w:val="20"/>
        </w:rPr>
      </w:pPr>
      <w:r>
        <w:t>摘要：数据化学习方法为英语学习软件的个性化提供了新方向，但在微信小程序场景下在小程序中稳定接入学习反馈能力仍存在技术挑战。本文设计并实现面向泛英语学习的“学习+对战”微信小程序“词魂”。系统基于微信小程序与CloudBase云开发实现前后端一体化部署，提出对战驱动调度机制（Combat-Driven Scheduler，CDS），量化单词掌握程度，动态生成自适应学习计划。同时引入学习闭环辅助机制，提供对话式学习建议与对战复盘，形成可解释的自适应学习闭环。系统通过云函数控制器与学习助手服务层，实现安全、低耦合的外部对话服务集成。</w:t>
      </w:r>
    </w:p>
    <w:p w14:paraId="6692B7CE">
      <w:pPr>
        <w:pStyle w:val="51"/>
        <w:spacing w:before="0" w:beforeAutospacing="0" w:after="0" w:afterAutospacing="0"/>
        <w:rPr>
          <w:color w:val="000000" w:themeColor="text1"/>
          <w:sz w:val="20"/>
          <w:szCs w:val="20"/>
          <w14:textFill>
            <w14:solidFill>
              <w14:schemeClr w14:val="tx1"/>
            </w14:solidFill>
          </w14:textFill>
        </w:rPr>
      </w:pPr>
      <w:r>
        <w:t>关键词：自适应调度机制；学习行为量化；词汇学习；单词对战</w:t>
      </w:r>
    </w:p>
    <w:p w14:paraId="77F5D632">
      <w:pPr>
        <w:spacing w:line="300" w:lineRule="exact"/>
        <w:ind w:right="374"/>
        <w:rPr>
          <w:rFonts w:eastAsia="黑体"/>
          <w:b/>
          <w:szCs w:val="21"/>
        </w:rPr>
      </w:pPr>
      <w:r>
        <w:rPr>
          <w:rFonts w:hint="eastAsia" w:eastAsia="黑体"/>
          <w:bCs/>
          <w:szCs w:val="21"/>
        </w:rPr>
        <w:t xml:space="preserve">中图分类号  </w:t>
      </w:r>
      <w:r>
        <w:rPr>
          <w:rFonts w:ascii="Times New Roman" w:hAnsi="Times New Roman" w:eastAsia="黑体" w:cs="Times New Roman"/>
          <w:szCs w:val="21"/>
        </w:rPr>
        <w:t xml:space="preserve">TP391  </w:t>
      </w:r>
      <w:r>
        <w:rPr>
          <w:rFonts w:hint="eastAsia" w:eastAsia="楷体_GB2312"/>
          <w:szCs w:val="21"/>
        </w:rPr>
        <w:t xml:space="preserve">      </w:t>
      </w:r>
      <w:r>
        <w:rPr>
          <w:rFonts w:hint="eastAsia" w:eastAsia="黑体"/>
          <w:bCs/>
          <w:szCs w:val="21"/>
        </w:rPr>
        <w:t xml:space="preserve">文献标识码  </w:t>
      </w:r>
      <w:r>
        <w:rPr>
          <w:rFonts w:ascii="Times New Roman" w:hAnsi="Times New Roman" w:eastAsia="黑体" w:cs="Times New Roman"/>
          <w:szCs w:val="21"/>
        </w:rPr>
        <w:t xml:space="preserve">A </w:t>
      </w:r>
      <w:r>
        <w:rPr>
          <w:rFonts w:ascii="Times New Roman" w:hAnsi="Times New Roman" w:eastAsia="楷体_GB2312" w:cs="Times New Roman"/>
          <w:szCs w:val="21"/>
        </w:rPr>
        <w:t xml:space="preserve"> </w:t>
      </w:r>
      <w:r>
        <w:rPr>
          <w:rFonts w:eastAsia="楷体_GB2312"/>
          <w:szCs w:val="21"/>
        </w:rPr>
        <w:t xml:space="preserve">     </w:t>
      </w:r>
    </w:p>
    <w:p w14:paraId="1081A096">
      <w:pPr>
        <w:pStyle w:val="11"/>
        <w:spacing w:before="0" w:beforeAutospacing="0" w:after="0" w:afterAutospacing="0"/>
        <w:ind w:left="374" w:right="374"/>
        <w:jc w:val="center"/>
        <w:rPr>
          <w:rFonts w:ascii="Times New Roman" w:hAnsi="Times New Roman" w:cs="Times New Roman" w:eastAsiaTheme="majorEastAsia"/>
          <w:b/>
          <w:bCs/>
          <w:color w:val="000000" w:themeColor="text1"/>
          <w:kern w:val="2"/>
          <w:sz w:val="32"/>
          <w:szCs w:val="32"/>
          <w14:textFill>
            <w14:solidFill>
              <w14:schemeClr w14:val="tx1"/>
            </w14:solidFill>
          </w14:textFill>
          <w14:ligatures w14:val="standardContextual"/>
        </w:rPr>
      </w:pPr>
      <w:r>
        <w:t>Construction of a Vocabulary Learning Platform Integrated with WeChat Cloud Development</w:t>
      </w:r>
    </w:p>
    <w:p w14:paraId="2B3501AA">
      <w:pPr>
        <w:pStyle w:val="11"/>
        <w:spacing w:before="0" w:beforeAutospacing="0" w:after="0" w:afterAutospacing="0"/>
        <w:ind w:left="374" w:right="374"/>
        <w:jc w:val="center"/>
        <w:rPr>
          <w:rFonts w:ascii="Times New Roman" w:hAnsi="Times New Roman" w:cs="Times New Roman"/>
        </w:rPr>
      </w:pPr>
      <w:r>
        <w:rPr>
          <w:rFonts w:ascii="Times New Roman" w:hAnsi="Times New Roman" w:cs="Times New Roman"/>
        </w:rPr>
        <w:t>CUI Zilin</w:t>
      </w:r>
      <w:r>
        <w:rPr>
          <w:rFonts w:hint="default" w:ascii="Times New Roman Regular" w:hAnsi="Times New Roman Regular" w:eastAsia="黑体" w:cs="Times New Roman Regular"/>
          <w:vertAlign w:val="superscript"/>
        </w:rPr>
        <w:t>1</w:t>
      </w:r>
      <w:r>
        <w:rPr>
          <w:rFonts w:hint="eastAsia" w:ascii="Times New Roman" w:hAnsi="Times New Roman" w:cs="Times New Roman"/>
        </w:rPr>
        <w:t xml:space="preserve">, </w:t>
      </w:r>
      <w:r>
        <w:rPr>
          <w:rFonts w:ascii="Times New Roman" w:hAnsi="Times New Roman" w:cs="Times New Roman"/>
        </w:rPr>
        <w:t>REN Kai</w:t>
      </w:r>
      <w:r>
        <w:rPr>
          <w:rFonts w:hint="default" w:ascii="Times New Roman Regular" w:hAnsi="Times New Roman Regular" w:eastAsia="黑体" w:cs="Times New Roman Regular"/>
          <w:vertAlign w:val="superscript"/>
        </w:rPr>
        <w:t>1</w:t>
      </w:r>
      <w:r>
        <w:rPr>
          <w:rFonts w:hint="eastAsia" w:ascii="Times New Roman Regular" w:hAnsi="Times New Roman Regular" w:eastAsia="黑体" w:cs="Times New Roman Regular"/>
          <w:vertAlign w:val="superscript"/>
          <w:lang w:val="en-US" w:eastAsia="zh-CN"/>
        </w:rPr>
        <w:t>,</w:t>
      </w:r>
      <w:r>
        <w:rPr>
          <w:rFonts w:hint="default" w:ascii="Times New Roman Regular" w:hAnsi="Times New Roman Regular" w:eastAsia="黑体" w:cs="Times New Roman Regular"/>
          <w:vertAlign w:val="superscript"/>
        </w:rPr>
        <w:t>*</w:t>
      </w:r>
      <w:r>
        <w:rPr>
          <w:rFonts w:hint="eastAsia" w:ascii="Times New Roman" w:hAnsi="Times New Roman" w:cs="Times New Roman"/>
        </w:rPr>
        <w:t>, YING Yi</w:t>
      </w:r>
      <w:r>
        <w:rPr>
          <w:rFonts w:hint="default" w:ascii="Times New Roman Regular" w:hAnsi="Times New Roman Regular" w:eastAsia="黑体" w:cs="Times New Roman Regular"/>
          <w:vertAlign w:val="superscript"/>
        </w:rPr>
        <w:t>2</w:t>
      </w:r>
    </w:p>
    <w:p w14:paraId="408DE178">
      <w:pPr>
        <w:pStyle w:val="11"/>
        <w:keepNext w:val="0"/>
        <w:keepLines w:val="0"/>
        <w:pageBreakBefore w:val="0"/>
        <w:widowControl/>
        <w:kinsoku/>
        <w:wordWrap/>
        <w:overflowPunct/>
        <w:topLinePunct w:val="0"/>
        <w:autoSpaceDE/>
        <w:autoSpaceDN/>
        <w:bidi w:val="0"/>
        <w:adjustRightInd/>
        <w:snapToGrid/>
        <w:spacing w:before="0" w:beforeAutospacing="0" w:after="0" w:afterAutospacing="0"/>
        <w:ind w:left="0" w:leftChars="0" w:right="0" w:firstLine="0" w:firstLineChars="0"/>
        <w:jc w:val="center"/>
        <w:textAlignment w:val="auto"/>
        <w:rPr>
          <w:color w:val="FF0000"/>
          <w:sz w:val="20"/>
          <w:szCs w:val="20"/>
        </w:rPr>
      </w:pPr>
      <w:r>
        <w:rPr>
          <w:rFonts w:ascii="Times New Roman" w:hAnsi="Times New Roman" w:cs="Times New Roman"/>
          <w:sz w:val="21"/>
          <w:szCs w:val="32"/>
        </w:rPr>
        <w:t>(</w:t>
      </w:r>
      <w:r>
        <w:rPr>
          <w:rFonts w:hint="eastAsia" w:ascii="Times New Roman" w:hAnsi="Times New Roman" w:cs="Times New Roman"/>
          <w:sz w:val="21"/>
          <w:szCs w:val="32"/>
        </w:rPr>
        <w:t>1 School of Computer and Artificial Intelligence, Nanjing University of Science and Technology Zijin College</w:t>
      </w:r>
      <w:r>
        <w:rPr>
          <w:rFonts w:ascii="Times New Roman" w:hAnsi="Times New Roman" w:cs="Times New Roman"/>
          <w:sz w:val="21"/>
          <w:szCs w:val="32"/>
        </w:rPr>
        <w:t>, Nanjing 210023, China</w:t>
      </w:r>
      <w:r>
        <w:rPr>
          <w:rFonts w:hint="eastAsia" w:ascii="Times New Roman" w:hAnsi="Times New Roman" w:cs="Times New Roman"/>
          <w:sz w:val="21"/>
          <w:szCs w:val="32"/>
        </w:rPr>
        <w:t xml:space="preserve">; 2 School of Computer Science and Engineering, Sanjiang University, </w:t>
      </w:r>
      <w:r>
        <w:rPr>
          <w:rFonts w:ascii="Times New Roman" w:hAnsi="Times New Roman" w:cs="Times New Roman"/>
          <w:sz w:val="21"/>
          <w:szCs w:val="32"/>
        </w:rPr>
        <w:t>Nanjing 2100</w:t>
      </w:r>
      <w:r>
        <w:rPr>
          <w:rFonts w:hint="eastAsia" w:ascii="Times New Roman" w:hAnsi="Times New Roman" w:cs="Times New Roman"/>
          <w:sz w:val="21"/>
          <w:szCs w:val="32"/>
        </w:rPr>
        <w:t>12</w:t>
      </w:r>
      <w:r>
        <w:rPr>
          <w:rFonts w:ascii="Times New Roman" w:hAnsi="Times New Roman" w:cs="Times New Roman"/>
          <w:sz w:val="21"/>
          <w:szCs w:val="32"/>
        </w:rPr>
        <w:t>, China)</w:t>
      </w:r>
    </w:p>
    <w:p w14:paraId="7A98425F">
      <w:pPr>
        <w:pStyle w:val="51"/>
        <w:spacing w:before="0" w:beforeAutospacing="0" w:after="0" w:afterAutospacing="0"/>
        <w:rPr>
          <w:sz w:val="20"/>
          <w:szCs w:val="20"/>
        </w:rPr>
      </w:pPr>
      <w:r>
        <w:t>Abstract: 学习辅助 offers new opportunities for intelligent and personalized English learning software, but integrating large model APIs into WeChat Mini Programs remains technically challenging. This paper designs and implements "CiHun," a learning-and-battle WeChat Mini Program for general English learning. Built with WeChat Mini Program and CloudBase, the system adopts the Combat-Driven Scheduler (CDS) to evaluate word mastery and generate adaptive learning plans dynamically. It also introduces the Adaptive Learning Loop (学习闭环) mechanism to provide conversational suggestions and battle reviews, forming an interpretable adaptive learning loop. Secure, low-coupling large model integration is achieved via cloud function controllers and assistant service layers.</w:t>
      </w:r>
    </w:p>
    <w:p w14:paraId="0DB6C70C">
      <w:pPr>
        <w:rPr>
          <w:rFonts w:ascii="Times New Roman" w:hAnsi="Times New Roman" w:eastAsia="宋体"/>
          <w:color w:val="000000" w:themeColor="text1"/>
          <w14:textFill>
            <w14:solidFill>
              <w14:schemeClr w14:val="tx1"/>
            </w14:solidFill>
          </w14:textFill>
        </w:rPr>
      </w:pPr>
      <w:r>
        <w:rPr>
          <w:rFonts w:ascii="Times New Roman" w:hAnsi="Times New Roman" w:eastAsia="宋体"/>
          <w:b/>
          <w:bCs/>
          <w:color w:val="000000" w:themeColor="text1"/>
          <w14:textFill>
            <w14:solidFill>
              <w14:schemeClr w14:val="tx1"/>
            </w14:solidFill>
          </w14:textFill>
        </w:rPr>
        <w:t>Keywords</w:t>
      </w:r>
      <w:r>
        <w:rPr>
          <w:rFonts w:ascii="宋体" w:hAnsi="宋体" w:eastAsia="宋体"/>
          <w:b/>
          <w:bCs/>
          <w:color w:val="000000" w:themeColor="text1"/>
          <w14:textFill>
            <w14:solidFill>
              <w14:schemeClr w14:val="tx1"/>
            </w14:solidFill>
          </w14:textFill>
        </w:rPr>
        <w:t>:</w:t>
      </w:r>
      <w:r>
        <w:rPr>
          <w:rFonts w:ascii="宋体" w:hAnsi="宋体" w:eastAsia="宋体"/>
          <w:color w:val="000000" w:themeColor="text1"/>
          <w:szCs w:val="2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t>学习辅助</w:t>
      </w:r>
      <w:r>
        <w:rPr>
          <w:rFonts w:hint="eastAsia" w:ascii="宋体" w:hAnsi="宋体"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intelligent assistant; adaptive scheduling mechanism; learning behavior quantification</w:t>
      </w:r>
    </w:p>
    <w:p w14:paraId="73237015">
      <w:pPr>
        <w:pStyle w:val="3"/>
        <w:spacing w:before="0" w:after="0"/>
        <w:rPr>
          <w:rFonts w:ascii="宋体" w:hAnsi="宋体" w:eastAsia="宋体"/>
          <w:sz w:val="20"/>
          <w:szCs w:val="20"/>
        </w:rPr>
      </w:pPr>
    </w:p>
    <w:p w14:paraId="55D7B3C4">
      <w:pPr>
        <w:sectPr>
          <w:footerReference r:id="rId3" w:type="first"/>
          <w:headerReference w:type="default" r:id="rId16"/>
          <w:footerReference w:type="default" r:id="rId17"/>
          <w:headerReference w:type="first" r:id="rId18"/>
          <w:headerReference w:type="even" r:id="rId19"/>
          <w:footerReference w:type="even" r:id="rId20"/>
          <w:pgSz w:w="11906" w:h="16838"/>
          <w:pgMar w:top="2268" w:right="1418" w:bottom="2268" w:left="1418" w:header="851" w:footer="992" w:gutter="0"/>
          <w:cols w:space="425" w:num="1"/>
          <w:titlePg/>
          <w:docGrid w:type="lines" w:linePitch="312" w:charSpace="0"/>
        </w:sectPr>
      </w:pPr>
    </w:p>
    <w:p w14:paraId="3FE194CC">
      <w:pPr>
        <w:spacing w:before="120" w:after="120"/>
        <w:outlineLvl w:val="0"/>
        <w:rPr>
          <w:rFonts w:ascii="Times New Roman" w:hAnsi="Times New Roman" w:eastAsia="宋体" w:cs="Times New Roman"/>
          <w:sz w:val="24"/>
          <w:szCs w:val="24"/>
          <w14:ligatures w14:val="none"/>
        </w:rPr>
      </w:pPr>
      <w:r>
        <w:rPr>
          <w:rFonts w:hint="eastAsia" w:ascii="Times New Roman" w:hAnsi="Times New Roman" w:eastAsia="宋体" w:cs="Times New Roman"/>
          <w:sz w:val="24"/>
          <w:szCs w:val="24"/>
          <w14:ligatures w14:val="none"/>
        </w:rPr>
        <w:t>0</w:t>
      </w:r>
      <w:r>
        <w:rPr>
          <w:rFonts w:ascii="Times New Roman" w:hAnsi="Times New Roman" w:eastAsia="宋体" w:cs="Times New Roman"/>
          <w:sz w:val="24"/>
          <w:szCs w:val="24"/>
          <w14:ligatures w14:val="none"/>
        </w:rPr>
        <w:t xml:space="preserve"> </w:t>
      </w:r>
      <w:r>
        <w:rPr>
          <w:rFonts w:ascii="黑体" w:hAnsi="黑体" w:eastAsia="黑体" w:cs="Times New Roman"/>
          <w:sz w:val="24"/>
          <w:szCs w:val="24"/>
          <w14:ligatures w14:val="none"/>
        </w:rPr>
        <w:t>引言</w:t>
      </w:r>
    </w:p>
    <w:p w14:paraId="4D09BBCC">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0"/>
        <w:rPr>
          <w:rFonts w:hint="default" w:ascii="Times New Roman Regular" w:hAnsi="Times New Roman Regular" w:eastAsia="宋体" w:cs="Times New Roman Regular"/>
          <w:sz w:val="21"/>
          <w:szCs w:val="21"/>
        </w:rPr>
      </w:pPr>
      <w:r>
        <w:t>随着教育信息化不断深入，利用数据辅助提升学习个性化与交互性已成为重要趋势[1]。大型预训练生成模型的出现，为一对一对话式学习辅导提供了可能，融合外部对话服务的教学系统能够有效提升学习参与度与效果，国内外高校也积极开展数据辅助辅助教学相关研究[2,3]。国内研究多关注应用与自适应学习技术的结合[4]，但现有英语学习平台大多仅依靠错题率量化学习行为，未实现外部对话服务与对战场景的深度融合。国外研究侧重外部对话服务与游戏化学习的适配[5]，却难以适配国内微信生态，对中文用户英语学习特征的建模不够充分。此外，直接将外部对话服务接入应用还存在接口鉴权、内容不可控等技术与安全问题。</w:t>
      </w:r>
    </w:p>
    <w:p w14:paraId="66C1AD93">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0"/>
        <w:rPr>
          <w:rFonts w:hint="default" w:ascii="Times New Roman Regular" w:hAnsi="Times New Roman Regular" w:cs="Times New Roman Regular"/>
          <w:sz w:val="21"/>
          <w:szCs w:val="21"/>
        </w:rPr>
      </w:pPr>
      <w:r>
        <w:t>针对现有研究在场景适配、个性化建模与技术落地三方面的不足，本文以微信小程序为载体，面向国内高校学生碎片化泛英语单词学习需求，设计并实现“词魂”英语学习与对战小程序。主要贡献如下：（1）构建学习与对战的数据闭环，整合对战、学习及统计数据，在小程序端完成学习行为数据的采集、存储与分析，为个性化学习提供数据支撑；（2）提出CDS自适应调度机制，将错词率、提示次数等指标统一建模为单词掌握度，动态调整学习内容并生成每日计划，实现学习路径实时优化；（3）设计学习闭环学习助手融合机制，接入外部对话服务驱动的学习助手服务，基于学习计划、薄弱词汇、阶段报告等结构化数据，整理个性化学习建议与对战复盘。</w:t>
      </w:r>
    </w:p>
    <w:p w14:paraId="35A19299">
      <w:pPr>
        <w:outlineLvl w:val="0"/>
        <w:rPr>
          <w:rFonts w:ascii="Times New Roman" w:hAnsi="Times New Roman" w:eastAsia="宋体" w:cs="Times New Roman"/>
          <w:sz w:val="24"/>
          <w:szCs w:val="24"/>
          <w14:ligatures w14:val="none"/>
        </w:rPr>
      </w:pPr>
      <w:r>
        <w:rPr>
          <w:rFonts w:hint="eastAsia" w:ascii="Times New Roman" w:hAnsi="Times New Roman" w:eastAsia="宋体" w:cs="Times New Roman"/>
          <w:sz w:val="24"/>
          <w:szCs w:val="24"/>
          <w14:ligatures w14:val="none"/>
        </w:rPr>
        <w:t>1</w:t>
      </w:r>
      <w:r>
        <w:rPr>
          <w:rFonts w:ascii="Times New Roman" w:hAnsi="Times New Roman" w:eastAsia="宋体" w:cs="Times New Roman"/>
          <w:sz w:val="24"/>
          <w:szCs w:val="24"/>
          <w14:ligatures w14:val="none"/>
        </w:rPr>
        <w:t xml:space="preserve"> </w:t>
      </w:r>
      <w:r>
        <w:rPr>
          <w:rFonts w:ascii="黑体" w:hAnsi="黑体" w:eastAsia="黑体" w:cs="Times New Roman"/>
          <w:sz w:val="24"/>
          <w:szCs w:val="24"/>
          <w14:ligatures w14:val="none"/>
        </w:rPr>
        <w:t>系统总体架构</w:t>
      </w:r>
    </w:p>
    <w:p w14:paraId="3014FE2E">
      <w:pPr>
        <w:pStyle w:val="12"/>
        <w:spacing w:before="0" w:beforeAutospacing="0" w:after="0" w:afterAutospacing="0"/>
        <w:outlineLvl w:val="1"/>
        <w:rPr>
          <w:rFonts w:ascii="Times New Roman" w:hAnsi="Times New Roman" w:cs="Times New Roman"/>
          <w:sz w:val="21"/>
        </w:rPr>
      </w:pPr>
      <w:r>
        <w:rPr>
          <w:rFonts w:hint="eastAsia" w:ascii="Times New Roman" w:hAnsi="Times New Roman" w:cs="Times New Roman"/>
          <w:sz w:val="21"/>
        </w:rPr>
        <w:t>1</w:t>
      </w:r>
      <w:r>
        <w:rPr>
          <w:rFonts w:ascii="Times New Roman" w:hAnsi="Times New Roman" w:cs="Times New Roman"/>
          <w:sz w:val="21"/>
        </w:rPr>
        <w:t xml:space="preserve">.1 </w:t>
      </w:r>
      <w:r>
        <w:rPr>
          <w:rFonts w:ascii="黑体" w:hAnsi="黑体" w:eastAsia="黑体" w:cs="Times New Roman"/>
          <w:sz w:val="21"/>
        </w:rPr>
        <w:t>架构分层</w:t>
      </w:r>
    </w:p>
    <w:p w14:paraId="21F4F488">
      <w:pPr>
        <w:pStyle w:val="51"/>
        <w:spacing w:before="0" w:beforeAutospacing="0" w:after="0" w:afterAutospacing="0"/>
        <w:ind w:firstLine="420" w:firstLineChars="200"/>
        <w:rPr>
          <w:sz w:val="21"/>
          <w:szCs w:val="21"/>
        </w:rPr>
      </w:pPr>
      <w:r>
        <w:t>系统具有轻量化、可扩展性与安全性等特性，整体采用四层架构设计，分别为小程序前端、云函数服务层、云数据库和学习助手服务层。</w:t>
      </w:r>
    </w:p>
    <w:p w14:paraId="2289140B">
      <w:pPr>
        <w:pStyle w:val="51"/>
        <w:spacing w:before="0" w:beforeAutospacing="0" w:after="0" w:afterAutospacing="0"/>
        <w:ind w:left="0" w:leftChars="0" w:firstLine="0" w:firstLineChars="0"/>
        <w:jc w:val="center"/>
        <w:rPr>
          <w:sz w:val="21"/>
          <w:szCs w:val="21"/>
        </w:rPr>
      </w:pPr>
      <w:r>
        <w:rPr>
          <w:rFonts w:hint="eastAsia"/>
          <w:sz w:val="21"/>
          <w:szCs w:val="21"/>
        </w:rPr>
        <w:object>
          <v:shape id="_x0000_i1025" o:spt="75" type="#_x0000_t75" style="height:169.5pt;width:217.8pt;" o:ole="t" filled="f" o:preferrelative="t" stroked="f" coordsize="21600,21600">
            <v:path/>
            <v:fill on="f" focussize="0,0"/>
            <v:stroke on="f" joinstyle="miter"/>
            <v:imagedata r:id="rId6" o:title=""/>
            <o:lock v:ext="edit" aspectratio="t"/>
            <w10:wrap type="none"/>
            <w10:anchorlock/>
          </v:shape>
          <o:OLEObject Type="Embed" ProgID="Visio.Drawing.15" ShapeID="_x0000_i1025" DrawAspect="Content" ObjectID="_1468075725" r:id="rId5">
            <o:LockedField>false</o:LockedField>
          </o:OLEObject>
        </w:object>
      </w:r>
      <w:r>
        <w:rPr>
          <w:rFonts w:ascii="黑体" w:hAnsi="黑体" w:eastAsia="黑体" w:cs="Times New Roman"/>
          <w:color w:val="000000" w:themeColor="text1"/>
          <w:sz w:val="18"/>
          <w:szCs w:val="18"/>
          <w14:textFill>
            <w14:solidFill>
              <w14:schemeClr w14:val="tx1"/>
            </w14:solidFill>
          </w14:textFill>
        </w:rPr>
        <w:t>图</w:t>
      </w:r>
      <w:r>
        <w:rPr>
          <w:rFonts w:ascii="Times New Roman" w:hAnsi="Times New Roman" w:eastAsia="黑体" w:cs="Times New Roman"/>
          <w:color w:val="000000" w:themeColor="text1"/>
          <w:sz w:val="18"/>
          <w:szCs w:val="18"/>
          <w14:textFill>
            <w14:solidFill>
              <w14:schemeClr w14:val="tx1"/>
            </w14:solidFill>
          </w14:textFill>
        </w:rPr>
        <w:t>1</w:t>
      </w:r>
      <w:r>
        <w:rPr>
          <w:rFonts w:hint="eastAsia" w:ascii="Times New Roman" w:hAnsi="Times New Roman" w:eastAsia="黑体" w:cs="Times New Roman"/>
          <w:color w:val="000000" w:themeColor="text1"/>
          <w:sz w:val="18"/>
          <w:szCs w:val="18"/>
          <w14:textFill>
            <w14:solidFill>
              <w14:schemeClr w14:val="tx1"/>
            </w14:solidFill>
          </w14:textFill>
        </w:rPr>
        <w:t xml:space="preserve"> </w:t>
      </w:r>
      <w:r>
        <w:rPr>
          <w:rFonts w:ascii="黑体" w:hAnsi="黑体" w:eastAsia="黑体" w:cs="Times New Roman"/>
          <w:color w:val="000000" w:themeColor="text1"/>
          <w:sz w:val="18"/>
          <w:szCs w:val="18"/>
          <w14:textFill>
            <w14:solidFill>
              <w14:schemeClr w14:val="tx1"/>
            </w14:solidFill>
          </w14:textFill>
        </w:rPr>
        <w:t>系统总体架构</w:t>
      </w:r>
      <w:r>
        <w:rPr>
          <w:rFonts w:hint="eastAsia" w:ascii="黑体" w:hAnsi="黑体" w:eastAsia="黑体" w:cs="Times New Roman"/>
          <w:color w:val="000000" w:themeColor="text1"/>
          <w:sz w:val="18"/>
          <w:szCs w:val="18"/>
          <w14:textFill>
            <w14:solidFill>
              <w14:schemeClr w14:val="tx1"/>
            </w14:solidFill>
          </w14:textFill>
        </w:rPr>
        <w:t>图</w:t>
      </w:r>
    </w:p>
    <w:p w14:paraId="1B9B933B">
      <w:pPr>
        <w:pStyle w:val="51"/>
        <w:spacing w:before="0" w:beforeAutospacing="0" w:after="0" w:afterAutospacing="0"/>
        <w:rPr>
          <w:sz w:val="21"/>
          <w:szCs w:val="21"/>
        </w:rPr>
      </w:pPr>
      <w:r>
        <w:t>（1）小程序前端：基于微信小程序原生框架实现页面交互与组件逻辑，负责收集用户答题、对战等操作，并呈现数据反馈和学习助手对话界面，主要页面包括对战、每日学习、生词本、数据看板和学习辅助学习助手等。</w:t>
      </w:r>
    </w:p>
    <w:p w14:paraId="7955D57A">
      <w:pPr>
        <w:pStyle w:val="51"/>
        <w:spacing w:before="0" w:beforeAutospacing="0" w:after="0" w:afterAutospacing="0"/>
        <w:rPr>
          <w:sz w:val="21"/>
          <w:szCs w:val="21"/>
        </w:rPr>
      </w:pPr>
      <w:r>
        <w:rPr>
          <w:sz w:val="21"/>
          <w:szCs w:val="21"/>
        </w:rPr>
        <w:t>（</w:t>
      </w:r>
      <w:r>
        <w:rPr>
          <w:rFonts w:ascii="Times New Roman" w:hAnsi="Times New Roman"/>
          <w:sz w:val="21"/>
          <w:szCs w:val="21"/>
        </w:rPr>
        <w:t>2</w:t>
      </w:r>
      <w:r>
        <w:rPr>
          <w:sz w:val="21"/>
          <w:szCs w:val="21"/>
        </w:rPr>
        <w:t>）</w:t>
      </w:r>
      <w:r>
        <w:rPr>
          <w:rStyle w:val="52"/>
          <w:sz w:val="21"/>
          <w:szCs w:val="21"/>
        </w:rPr>
        <w:t>云函数服务层</w:t>
      </w:r>
      <w:r>
        <w:rPr>
          <w:sz w:val="21"/>
          <w:szCs w:val="21"/>
        </w:rPr>
        <w:t>：基于</w:t>
      </w:r>
      <w:r>
        <w:rPr>
          <w:rFonts w:ascii="Times New Roman" w:hAnsi="Times New Roman"/>
          <w:sz w:val="21"/>
          <w:szCs w:val="21"/>
        </w:rPr>
        <w:t>CloudBase</w:t>
      </w:r>
      <w:r>
        <w:rPr>
          <w:sz w:val="21"/>
          <w:szCs w:val="21"/>
        </w:rPr>
        <w:t>云开发提供云函数，实现统一的</w:t>
      </w:r>
      <w:r>
        <w:rPr>
          <w:rFonts w:ascii="Times New Roman" w:hAnsi="Times New Roman"/>
          <w:sz w:val="21"/>
          <w:szCs w:val="21"/>
        </w:rPr>
        <w:t>API</w:t>
      </w:r>
      <w:r>
        <w:rPr>
          <w:sz w:val="21"/>
          <w:szCs w:val="21"/>
        </w:rPr>
        <w:t>路由和业务控制器架构。该层承担业务逻辑处理，包括记录写入、统计汇总、掌握度计算、学习计划生成等功能，由于运行在云端，可确保多终端访问的一致性和安全性</w:t>
      </w:r>
      <w:r>
        <w:rPr>
          <w:rFonts w:hint="eastAsia"/>
          <w:sz w:val="21"/>
          <w:szCs w:val="21"/>
        </w:rPr>
        <w:t>。</w:t>
      </w:r>
    </w:p>
    <w:p w14:paraId="65D18FA5">
      <w:pPr>
        <w:pStyle w:val="51"/>
        <w:spacing w:before="0" w:beforeAutospacing="0" w:after="0" w:afterAutospacing="0"/>
        <w:rPr>
          <w:sz w:val="21"/>
          <w:szCs w:val="21"/>
        </w:rPr>
      </w:pPr>
      <w:r>
        <w:rPr>
          <w:sz w:val="21"/>
          <w:szCs w:val="21"/>
        </w:rPr>
        <w:t>（</w:t>
      </w:r>
      <w:r>
        <w:rPr>
          <w:rFonts w:ascii="Times New Roman" w:hAnsi="Times New Roman"/>
          <w:sz w:val="21"/>
          <w:szCs w:val="21"/>
        </w:rPr>
        <w:t>3</w:t>
      </w:r>
      <w:r>
        <w:rPr>
          <w:sz w:val="21"/>
          <w:szCs w:val="21"/>
        </w:rPr>
        <w:t>）</w:t>
      </w:r>
      <w:r>
        <w:rPr>
          <w:rFonts w:hint="eastAsia"/>
          <w:sz w:val="21"/>
          <w:szCs w:val="21"/>
        </w:rPr>
        <w:t>云</w:t>
      </w:r>
      <w:r>
        <w:rPr>
          <w:rStyle w:val="52"/>
          <w:sz w:val="21"/>
          <w:szCs w:val="21"/>
        </w:rPr>
        <w:t>数据</w:t>
      </w:r>
      <w:r>
        <w:rPr>
          <w:rStyle w:val="52"/>
          <w:rFonts w:hint="eastAsia"/>
          <w:sz w:val="21"/>
          <w:szCs w:val="21"/>
        </w:rPr>
        <w:t>库</w:t>
      </w:r>
      <w:r>
        <w:rPr>
          <w:sz w:val="21"/>
          <w:szCs w:val="21"/>
        </w:rPr>
        <w:t>：采用</w:t>
      </w:r>
      <w:r>
        <w:rPr>
          <w:rFonts w:ascii="Times New Roman" w:hAnsi="Times New Roman"/>
          <w:sz w:val="21"/>
          <w:szCs w:val="21"/>
        </w:rPr>
        <w:t>CloudBase</w:t>
      </w:r>
      <w:r>
        <w:rPr>
          <w:sz w:val="21"/>
          <w:szCs w:val="21"/>
        </w:rPr>
        <w:t>云数据库存储业务数据，包括对战记录、学习记录、统计数据等，为上层业务提供可追溯的数据支持</w:t>
      </w:r>
      <w:r>
        <w:rPr>
          <w:rFonts w:hint="eastAsia"/>
          <w:sz w:val="21"/>
          <w:szCs w:val="21"/>
        </w:rPr>
        <w:t>。</w:t>
      </w:r>
    </w:p>
    <w:p w14:paraId="1BDC263B">
      <w:pPr>
        <w:pStyle w:val="51"/>
        <w:spacing w:before="0" w:beforeAutospacing="0" w:after="0" w:afterAutospacing="0"/>
        <w:rPr>
          <w:sz w:val="21"/>
          <w:szCs w:val="21"/>
        </w:rPr>
      </w:pPr>
      <w:r>
        <w:t>（4）学习助手服务层：通过平台化的学习助手接入实现，负责生成对话式的学习建议与对战复盘解释。在服务端完成外部对话服务接口的鉴权、请求封装和状态管理，避免前端直接调用服务接口带来的安全和性能问题。</w:t>
      </w:r>
    </w:p>
    <w:p w14:paraId="3A4B62EF">
      <w:pPr>
        <w:pStyle w:val="12"/>
        <w:spacing w:before="0" w:beforeAutospacing="0" w:after="0" w:afterAutospacing="0"/>
        <w:outlineLvl w:val="1"/>
        <w:rPr>
          <w:rFonts w:ascii="黑体" w:hAnsi="黑体" w:eastAsia="黑体"/>
          <w:color w:val="000000" w:themeColor="text1"/>
          <w:sz w:val="20"/>
          <w:szCs w:val="20"/>
          <w14:textFill>
            <w14:solidFill>
              <w14:schemeClr w14:val="tx1"/>
            </w14:solidFill>
          </w14:textFill>
        </w:rPr>
      </w:pPr>
      <w:r>
        <w:rPr>
          <w:rFonts w:hint="eastAsia" w:ascii="Times New Roman" w:hAnsi="Times New Roman" w:cs="Times New Roman"/>
          <w:sz w:val="21"/>
        </w:rPr>
        <w:t>1</w:t>
      </w:r>
      <w:r>
        <w:rPr>
          <w:rFonts w:ascii="Times New Roman" w:hAnsi="Times New Roman" w:cs="Times New Roman"/>
          <w:sz w:val="21"/>
        </w:rPr>
        <w:t xml:space="preserve">.2 </w:t>
      </w:r>
      <w:r>
        <w:rPr>
          <w:rFonts w:ascii="黑体" w:hAnsi="黑体" w:eastAsia="黑体" w:cs="Times New Roman"/>
          <w:sz w:val="21"/>
        </w:rPr>
        <w:t>核心数据模型</w:t>
      </w:r>
    </w:p>
    <w:p w14:paraId="72591B21">
      <w:pPr>
        <w:pStyle w:val="51"/>
        <w:spacing w:before="0" w:beforeAutospacing="0" w:after="0" w:afterAutospacing="0"/>
        <w:ind w:firstLine="420" w:firstLineChars="200"/>
        <w:rPr>
          <w:sz w:val="21"/>
          <w:szCs w:val="21"/>
        </w:rPr>
      </w:pPr>
      <w:r>
        <w:t>系统围绕学习与对战模块，设计了5类核心数据集合，为学习行为分析、个性化调度与学习助手反馈提供数据支撑。</w:t>
      </w:r>
    </w:p>
    <w:p w14:paraId="25A85E94">
      <w:pPr>
        <w:pStyle w:val="48"/>
        <w:spacing w:before="0" w:beforeAutospacing="0" w:after="0" w:afterAutospacing="0"/>
        <w:rPr>
          <w:sz w:val="21"/>
          <w:szCs w:val="21"/>
        </w:rPr>
      </w:pPr>
      <w:r>
        <w:rPr>
          <w:rFonts w:hint="eastAsia"/>
          <w:sz w:val="21"/>
          <w:szCs w:val="21"/>
        </w:rPr>
        <w:t>（</w:t>
      </w:r>
      <w:r>
        <w:rPr>
          <w:rFonts w:hint="eastAsia" w:ascii="Times New Roman" w:hAnsi="Times New Roman" w:cs="Times New Roman"/>
          <w:color w:val="000000" w:themeColor="text1"/>
          <w:kern w:val="2"/>
          <w:sz w:val="21"/>
          <w:szCs w:val="21"/>
          <w14:textFill>
            <w14:solidFill>
              <w14:schemeClr w14:val="tx1"/>
            </w14:solidFill>
          </w14:textFill>
          <w14:ligatures w14:val="standardContextual"/>
        </w:rPr>
        <w:t>1</w:t>
      </w:r>
      <w:r>
        <w:rPr>
          <w:rFonts w:hint="eastAsia"/>
          <w:sz w:val="21"/>
          <w:szCs w:val="21"/>
        </w:rPr>
        <w:t>）</w:t>
      </w:r>
      <w:r>
        <w:rPr>
          <w:sz w:val="21"/>
          <w:szCs w:val="21"/>
        </w:rPr>
        <w:t>对战明细记录</w:t>
      </w:r>
      <w:r>
        <w:rPr>
          <w:rFonts w:hint="eastAsia"/>
          <w:sz w:val="21"/>
          <w:szCs w:val="21"/>
        </w:rPr>
        <w:t>（</w:t>
      </w:r>
      <w:r>
        <w:rPr>
          <w:rFonts w:ascii="Times New Roman" w:hAnsi="Times New Roman" w:cs="Times New Roman"/>
          <w:sz w:val="21"/>
          <w:szCs w:val="21"/>
        </w:rPr>
        <w:t>C</w:t>
      </w:r>
      <w:r>
        <w:rPr>
          <w:rStyle w:val="49"/>
          <w:rFonts w:ascii="Times New Roman" w:hAnsi="Times New Roman"/>
          <w:sz w:val="21"/>
          <w:szCs w:val="21"/>
        </w:rPr>
        <w:t>ombat</w:t>
      </w:r>
      <w:r>
        <w:rPr>
          <w:rStyle w:val="49"/>
          <w:rFonts w:hint="eastAsia" w:ascii="Times New Roman" w:hAnsi="Times New Roman"/>
          <w:sz w:val="21"/>
          <w:szCs w:val="21"/>
        </w:rPr>
        <w:t xml:space="preserve"> </w:t>
      </w:r>
      <w:r>
        <w:rPr>
          <w:rStyle w:val="49"/>
          <w:rFonts w:ascii="Times New Roman" w:hAnsi="Times New Roman"/>
          <w:sz w:val="21"/>
          <w:szCs w:val="21"/>
        </w:rPr>
        <w:t>Record</w:t>
      </w:r>
      <w:r>
        <w:rPr>
          <w:rStyle w:val="49"/>
          <w:rFonts w:hint="eastAsia" w:ascii="Times New Roman" w:hAnsi="Times New Roman"/>
          <w:sz w:val="21"/>
          <w:szCs w:val="21"/>
        </w:rPr>
        <w:t>）</w:t>
      </w:r>
      <w:r>
        <w:rPr>
          <w:sz w:val="21"/>
          <w:szCs w:val="21"/>
        </w:rPr>
        <w:t>：存储每次对战的模式（随机匹配/好友对战/人机对战）、胜负结果、得分、平均反应时间、错词列表、提示次数等，用于刻画对战表现。</w:t>
      </w:r>
    </w:p>
    <w:p w14:paraId="0ACDEC29">
      <w:pPr>
        <w:pStyle w:val="48"/>
        <w:spacing w:before="0" w:beforeAutospacing="0" w:after="0" w:afterAutospacing="0"/>
        <w:rPr>
          <w:sz w:val="21"/>
          <w:szCs w:val="21"/>
        </w:rPr>
      </w:pPr>
      <w:r>
        <w:rPr>
          <w:rFonts w:hint="eastAsia"/>
          <w:sz w:val="21"/>
          <w:szCs w:val="21"/>
        </w:rPr>
        <w:t>（</w:t>
      </w:r>
      <w:r>
        <w:rPr>
          <w:rFonts w:hint="eastAsia" w:ascii="Times New Roman" w:hAnsi="Times New Roman" w:cs="Times New Roman"/>
          <w:color w:val="000000" w:themeColor="text1"/>
          <w:kern w:val="2"/>
          <w:sz w:val="21"/>
          <w:szCs w:val="21"/>
          <w14:textFill>
            <w14:solidFill>
              <w14:schemeClr w14:val="tx1"/>
            </w14:solidFill>
          </w14:textFill>
          <w14:ligatures w14:val="standardContextual"/>
        </w:rPr>
        <w:t>2</w:t>
      </w:r>
      <w:r>
        <w:rPr>
          <w:rFonts w:hint="eastAsia"/>
          <w:sz w:val="21"/>
          <w:szCs w:val="21"/>
        </w:rPr>
        <w:t>）</w:t>
      </w:r>
      <w:r>
        <w:rPr>
          <w:sz w:val="21"/>
          <w:szCs w:val="21"/>
        </w:rPr>
        <w:t>学习明细记录</w:t>
      </w:r>
      <w:r>
        <w:rPr>
          <w:rFonts w:hint="eastAsia"/>
          <w:sz w:val="21"/>
          <w:szCs w:val="21"/>
        </w:rPr>
        <w:t>（</w:t>
      </w:r>
      <w:r>
        <w:rPr>
          <w:rStyle w:val="49"/>
          <w:rFonts w:hint="eastAsia" w:ascii="Times New Roman" w:hAnsi="Times New Roman"/>
          <w:sz w:val="21"/>
          <w:szCs w:val="21"/>
        </w:rPr>
        <w:t>L</w:t>
      </w:r>
      <w:r>
        <w:rPr>
          <w:rStyle w:val="49"/>
          <w:rFonts w:ascii="Times New Roman" w:hAnsi="Times New Roman"/>
          <w:sz w:val="21"/>
          <w:szCs w:val="21"/>
        </w:rPr>
        <w:t>earning</w:t>
      </w:r>
      <w:r>
        <w:rPr>
          <w:rStyle w:val="49"/>
          <w:rFonts w:hint="eastAsia" w:ascii="Times New Roman" w:hAnsi="Times New Roman"/>
          <w:sz w:val="21"/>
          <w:szCs w:val="21"/>
        </w:rPr>
        <w:t xml:space="preserve"> </w:t>
      </w:r>
      <w:r>
        <w:rPr>
          <w:rStyle w:val="49"/>
          <w:rFonts w:ascii="Times New Roman" w:hAnsi="Times New Roman"/>
          <w:sz w:val="21"/>
          <w:szCs w:val="21"/>
        </w:rPr>
        <w:t>Record</w:t>
      </w:r>
      <w:r>
        <w:rPr>
          <w:rStyle w:val="49"/>
          <w:rFonts w:hint="eastAsia" w:ascii="Times New Roman" w:hAnsi="Times New Roman"/>
          <w:sz w:val="21"/>
          <w:szCs w:val="21"/>
        </w:rPr>
        <w:t>）</w:t>
      </w:r>
      <w:r>
        <w:rPr>
          <w:sz w:val="21"/>
          <w:szCs w:val="21"/>
        </w:rPr>
        <w:t>：记录每日学习的练习情况，包括练习单词数量、答对/答错数量、提示使用次数、总用时等，</w:t>
      </w:r>
      <w:r>
        <w:rPr>
          <w:rFonts w:hint="eastAsia"/>
          <w:sz w:val="21"/>
          <w:szCs w:val="21"/>
        </w:rPr>
        <w:t>实现对日常学习行为的细粒度跟踪</w:t>
      </w:r>
      <w:r>
        <w:rPr>
          <w:sz w:val="21"/>
          <w:szCs w:val="21"/>
        </w:rPr>
        <w:t>。</w:t>
      </w:r>
    </w:p>
    <w:p w14:paraId="333E1DF5">
      <w:pPr>
        <w:pStyle w:val="48"/>
        <w:spacing w:before="0" w:beforeAutospacing="0" w:after="0" w:afterAutospacing="0"/>
        <w:rPr>
          <w:sz w:val="21"/>
          <w:szCs w:val="21"/>
        </w:rPr>
      </w:pPr>
      <w:r>
        <w:rPr>
          <w:rFonts w:hint="eastAsia"/>
          <w:sz w:val="21"/>
          <w:szCs w:val="21"/>
        </w:rPr>
        <w:t>（</w:t>
      </w:r>
      <w:r>
        <w:rPr>
          <w:rFonts w:hint="eastAsia" w:ascii="Times New Roman" w:hAnsi="Times New Roman" w:cs="Times New Roman"/>
          <w:color w:val="000000" w:themeColor="text1"/>
          <w:kern w:val="2"/>
          <w:sz w:val="21"/>
          <w:szCs w:val="21"/>
          <w14:textFill>
            <w14:solidFill>
              <w14:schemeClr w14:val="tx1"/>
            </w14:solidFill>
          </w14:textFill>
          <w14:ligatures w14:val="standardContextual"/>
        </w:rPr>
        <w:t>3</w:t>
      </w:r>
      <w:r>
        <w:rPr>
          <w:rFonts w:hint="eastAsia"/>
          <w:sz w:val="21"/>
          <w:szCs w:val="21"/>
        </w:rPr>
        <w:t>）</w:t>
      </w:r>
      <w:r>
        <w:rPr>
          <w:sz w:val="21"/>
          <w:szCs w:val="21"/>
        </w:rPr>
        <w:t>日统计汇总数据</w:t>
      </w:r>
      <w:r>
        <w:rPr>
          <w:rFonts w:hint="eastAsia"/>
          <w:sz w:val="21"/>
          <w:szCs w:val="21"/>
        </w:rPr>
        <w:t>（</w:t>
      </w:r>
      <w:r>
        <w:rPr>
          <w:rStyle w:val="49"/>
          <w:rFonts w:hint="eastAsia" w:ascii="Times New Roman" w:hAnsi="Times New Roman"/>
          <w:sz w:val="21"/>
          <w:szCs w:val="21"/>
        </w:rPr>
        <w:t>L</w:t>
      </w:r>
      <w:r>
        <w:rPr>
          <w:rStyle w:val="49"/>
          <w:rFonts w:ascii="Times New Roman" w:hAnsi="Times New Roman"/>
          <w:sz w:val="21"/>
          <w:szCs w:val="21"/>
        </w:rPr>
        <w:t>earning</w:t>
      </w:r>
      <w:r>
        <w:rPr>
          <w:rStyle w:val="49"/>
          <w:rFonts w:hint="eastAsia" w:ascii="Times New Roman" w:hAnsi="Times New Roman"/>
          <w:sz w:val="21"/>
          <w:szCs w:val="21"/>
        </w:rPr>
        <w:t xml:space="preserve"> </w:t>
      </w:r>
      <w:r>
        <w:rPr>
          <w:rStyle w:val="49"/>
          <w:rFonts w:ascii="Times New Roman" w:hAnsi="Times New Roman"/>
          <w:sz w:val="21"/>
          <w:szCs w:val="21"/>
        </w:rPr>
        <w:t>Data</w:t>
      </w:r>
      <w:r>
        <w:rPr>
          <w:rStyle w:val="49"/>
          <w:rFonts w:hint="eastAsia" w:ascii="Times New Roman" w:hAnsi="Times New Roman"/>
          <w:sz w:val="21"/>
          <w:szCs w:val="21"/>
        </w:rPr>
        <w:t>）</w:t>
      </w:r>
      <w:r>
        <w:rPr>
          <w:sz w:val="21"/>
          <w:szCs w:val="21"/>
        </w:rPr>
        <w:t>：通过云函数将每日学习与对战数据汇总生成当天的统计</w:t>
      </w:r>
      <w:r>
        <w:rPr>
          <w:rFonts w:hint="eastAsia"/>
          <w:sz w:val="21"/>
          <w:szCs w:val="21"/>
        </w:rPr>
        <w:t>,</w:t>
      </w:r>
      <w:r>
        <w:rPr>
          <w:sz w:val="21"/>
          <w:szCs w:val="21"/>
        </w:rPr>
        <w:t>如学习时长、对战场次等，并支持按周/月的趋势查询，用于数据看板展示和后续分析。</w:t>
      </w:r>
    </w:p>
    <w:p w14:paraId="052AC694">
      <w:pPr>
        <w:pStyle w:val="48"/>
        <w:spacing w:before="0" w:beforeAutospacing="0" w:after="0" w:afterAutospacing="0"/>
        <w:rPr>
          <w:sz w:val="21"/>
          <w:szCs w:val="21"/>
        </w:rPr>
      </w:pPr>
      <w:r>
        <w:rPr>
          <w:rFonts w:hint="eastAsia"/>
          <w:sz w:val="21"/>
          <w:szCs w:val="21"/>
        </w:rPr>
        <w:t>（</w:t>
      </w:r>
      <w:r>
        <w:rPr>
          <w:rFonts w:hint="eastAsia" w:ascii="Times New Roman" w:hAnsi="Times New Roman" w:cs="Times New Roman"/>
          <w:color w:val="000000" w:themeColor="text1"/>
          <w:kern w:val="2"/>
          <w:sz w:val="21"/>
          <w:szCs w:val="21"/>
          <w14:textFill>
            <w14:solidFill>
              <w14:schemeClr w14:val="tx1"/>
            </w14:solidFill>
          </w14:textFill>
          <w14:ligatures w14:val="standardContextual"/>
        </w:rPr>
        <w:t>4</w:t>
      </w:r>
      <w:r>
        <w:rPr>
          <w:rFonts w:hint="eastAsia"/>
          <w:sz w:val="21"/>
          <w:szCs w:val="21"/>
        </w:rPr>
        <w:t>）</w:t>
      </w:r>
      <w:r>
        <w:rPr>
          <w:sz w:val="21"/>
          <w:szCs w:val="21"/>
        </w:rPr>
        <w:t>单词掌握度数据</w:t>
      </w:r>
      <w:r>
        <w:rPr>
          <w:rFonts w:hint="eastAsia"/>
          <w:sz w:val="21"/>
          <w:szCs w:val="21"/>
        </w:rPr>
        <w:t>（</w:t>
      </w:r>
      <w:r>
        <w:rPr>
          <w:rFonts w:ascii="Times New Roman" w:hAnsi="Times New Roman" w:cs="Times New Roman"/>
          <w:sz w:val="21"/>
          <w:szCs w:val="21"/>
        </w:rPr>
        <w:t>W</w:t>
      </w:r>
      <w:r>
        <w:rPr>
          <w:rStyle w:val="49"/>
          <w:rFonts w:ascii="Times New Roman" w:hAnsi="Times New Roman"/>
          <w:sz w:val="21"/>
          <w:szCs w:val="21"/>
        </w:rPr>
        <w:t>ord</w:t>
      </w:r>
      <w:r>
        <w:rPr>
          <w:rStyle w:val="49"/>
          <w:rFonts w:hint="eastAsia" w:ascii="Times New Roman" w:hAnsi="Times New Roman"/>
          <w:sz w:val="21"/>
          <w:szCs w:val="21"/>
        </w:rPr>
        <w:t xml:space="preserve"> </w:t>
      </w:r>
      <w:r>
        <w:rPr>
          <w:rStyle w:val="49"/>
          <w:rFonts w:ascii="Times New Roman" w:hAnsi="Times New Roman"/>
          <w:sz w:val="21"/>
          <w:szCs w:val="21"/>
        </w:rPr>
        <w:t>Mastery</w:t>
      </w:r>
      <w:r>
        <w:rPr>
          <w:rStyle w:val="49"/>
          <w:rFonts w:hint="eastAsia" w:ascii="Times New Roman" w:hAnsi="Times New Roman"/>
          <w:sz w:val="21"/>
          <w:szCs w:val="21"/>
        </w:rPr>
        <w:t>）</w:t>
      </w:r>
      <w:r>
        <w:rPr>
          <w:sz w:val="21"/>
          <w:szCs w:val="21"/>
        </w:rPr>
        <w:t>：维护每个用户每个单词的掌握情况，包括累计错误次数、总练习次数、提示次数，以及计算得到的掌握度评分，衡量用户对该词汇的熟练程度，作为学习计划调度的依据。</w:t>
      </w:r>
    </w:p>
    <w:p w14:paraId="107B7F19">
      <w:pPr>
        <w:pStyle w:val="48"/>
        <w:spacing w:before="0" w:beforeAutospacing="0" w:after="0" w:afterAutospacing="0"/>
        <w:rPr>
          <w:sz w:val="21"/>
          <w:szCs w:val="21"/>
        </w:rPr>
      </w:pPr>
      <w:r>
        <w:rPr>
          <w:rFonts w:hint="eastAsia"/>
          <w:sz w:val="21"/>
          <w:szCs w:val="21"/>
        </w:rPr>
        <w:t>（</w:t>
      </w:r>
      <w:r>
        <w:rPr>
          <w:rFonts w:hint="eastAsia" w:ascii="Times New Roman" w:hAnsi="Times New Roman" w:cs="Times New Roman"/>
          <w:color w:val="000000" w:themeColor="text1"/>
          <w:kern w:val="2"/>
          <w:sz w:val="21"/>
          <w:szCs w:val="21"/>
          <w14:textFill>
            <w14:solidFill>
              <w14:schemeClr w14:val="tx1"/>
            </w14:solidFill>
          </w14:textFill>
          <w14:ligatures w14:val="standardContextual"/>
        </w:rPr>
        <w:t>5</w:t>
      </w:r>
      <w:r>
        <w:rPr>
          <w:rFonts w:hint="eastAsia"/>
          <w:sz w:val="21"/>
          <w:szCs w:val="21"/>
        </w:rPr>
        <w:t>）</w:t>
      </w:r>
      <w:r>
        <w:rPr>
          <w:sz w:val="21"/>
          <w:szCs w:val="21"/>
        </w:rPr>
        <w:t>学习计划数据</w:t>
      </w:r>
      <w:r>
        <w:rPr>
          <w:rFonts w:hint="eastAsia"/>
          <w:sz w:val="21"/>
          <w:szCs w:val="21"/>
        </w:rPr>
        <w:t>（</w:t>
      </w:r>
      <w:r>
        <w:rPr>
          <w:rStyle w:val="49"/>
          <w:rFonts w:hint="eastAsia" w:ascii="Times New Roman" w:hAnsi="Times New Roman"/>
          <w:sz w:val="21"/>
          <w:szCs w:val="21"/>
        </w:rPr>
        <w:t>L</w:t>
      </w:r>
      <w:r>
        <w:rPr>
          <w:rStyle w:val="49"/>
          <w:rFonts w:ascii="Times New Roman" w:hAnsi="Times New Roman"/>
          <w:sz w:val="21"/>
          <w:szCs w:val="21"/>
        </w:rPr>
        <w:t>earning</w:t>
      </w:r>
      <w:r>
        <w:rPr>
          <w:rStyle w:val="49"/>
          <w:rFonts w:hint="eastAsia" w:ascii="Times New Roman" w:hAnsi="Times New Roman"/>
          <w:sz w:val="21"/>
          <w:szCs w:val="21"/>
        </w:rPr>
        <w:t xml:space="preserve"> </w:t>
      </w:r>
      <w:r>
        <w:rPr>
          <w:rStyle w:val="49"/>
          <w:rFonts w:ascii="Times New Roman" w:hAnsi="Times New Roman"/>
          <w:sz w:val="21"/>
          <w:szCs w:val="21"/>
        </w:rPr>
        <w:t>Plan</w:t>
      </w:r>
      <w:r>
        <w:rPr>
          <w:rStyle w:val="49"/>
          <w:rFonts w:hint="eastAsia" w:ascii="Times New Roman" w:hAnsi="Times New Roman"/>
          <w:sz w:val="21"/>
          <w:szCs w:val="21"/>
        </w:rPr>
        <w:t>）</w:t>
      </w:r>
      <w:r>
        <w:rPr>
          <w:sz w:val="21"/>
          <w:szCs w:val="21"/>
        </w:rPr>
        <w:t>：</w:t>
      </w:r>
      <w:r>
        <w:rPr>
          <w:rFonts w:hint="eastAsia"/>
          <w:sz w:val="21"/>
          <w:szCs w:val="21"/>
        </w:rPr>
        <w:t>存储每个用户每日生成的学习单词清单，包括单</w:t>
      </w:r>
      <w:r>
        <w:rPr>
          <w:rFonts w:hint="eastAsia"/>
          <w:color w:val="000000" w:themeColor="text1"/>
          <w:sz w:val="21"/>
          <w:szCs w:val="21"/>
          <w14:textFill>
            <w14:solidFill>
              <w14:schemeClr w14:val="tx1"/>
            </w14:solidFill>
          </w14:textFill>
        </w:rPr>
        <w:t>词列表及其基于掌握度的分层结果（弱掌握词、需巩固词）以及按计划配比补充的新学词。前</w:t>
      </w:r>
      <w:r>
        <w:rPr>
          <w:rFonts w:hint="eastAsia"/>
          <w:sz w:val="21"/>
          <w:szCs w:val="21"/>
        </w:rPr>
        <w:t>端每日学习页面加载时优先展示该计划词表，确保学习内容贴合用户当前水平。</w:t>
      </w:r>
    </w:p>
    <w:p w14:paraId="7B2ED9EA">
      <w:pPr>
        <w:pStyle w:val="48"/>
        <w:spacing w:before="0" w:beforeAutospacing="0" w:after="0" w:afterAutospacing="0"/>
        <w:ind w:firstLine="420" w:firstLineChars="200"/>
        <w:rPr>
          <w:sz w:val="20"/>
          <w:szCs w:val="20"/>
        </w:rPr>
      </w:pPr>
      <w:r>
        <w:t>上述各类数据集合通过关键字段相互关联，为系统各模块提供数据支撑，同时作为CDS自适应调度机制与学习闭环学习助手服务的数据基础。</w:t>
      </w:r>
    </w:p>
    <w:p w14:paraId="1159ADD1">
      <w:pPr>
        <w:outlineLvl w:val="0"/>
        <w:rPr>
          <w:rFonts w:ascii="Times New Roman" w:hAnsi="Times New Roman" w:eastAsia="宋体" w:cs="Times New Roman"/>
          <w:sz w:val="24"/>
          <w:szCs w:val="24"/>
          <w14:ligatures w14:val="none"/>
        </w:rPr>
      </w:pPr>
      <w:r>
        <w:rPr>
          <w:rFonts w:hint="eastAsia" w:ascii="Times New Roman" w:hAnsi="Times New Roman" w:eastAsia="宋体" w:cs="Times New Roman"/>
          <w:sz w:val="24"/>
          <w:szCs w:val="24"/>
          <w14:ligatures w14:val="none"/>
        </w:rPr>
        <w:t>2</w:t>
      </w:r>
      <w:r>
        <w:rPr>
          <w:rFonts w:ascii="Times New Roman" w:hAnsi="Times New Roman" w:eastAsia="宋体" w:cs="Times New Roman"/>
          <w:sz w:val="24"/>
          <w:szCs w:val="24"/>
          <w14:ligatures w14:val="none"/>
        </w:rPr>
        <w:t xml:space="preserve"> </w:t>
      </w:r>
      <w:r>
        <w:rPr>
          <w:rFonts w:ascii="黑体" w:hAnsi="黑体" w:eastAsia="黑体" w:cs="Times New Roman"/>
          <w:sz w:val="24"/>
          <w:szCs w:val="24"/>
          <w14:ligatures w14:val="none"/>
        </w:rPr>
        <w:t>核心功能与关键技术</w:t>
      </w:r>
    </w:p>
    <w:p w14:paraId="2FFDB1A8">
      <w:pPr>
        <w:pStyle w:val="12"/>
        <w:spacing w:before="0" w:beforeAutospacing="0" w:after="0" w:afterAutospacing="0"/>
        <w:outlineLvl w:val="1"/>
        <w:rPr>
          <w:rFonts w:ascii="黑体" w:hAnsi="黑体" w:eastAsia="黑体" w:cs="Times New Roman"/>
          <w:sz w:val="21"/>
        </w:rPr>
      </w:pPr>
      <w:r>
        <w:rPr>
          <w:rFonts w:hint="eastAsia" w:ascii="Times New Roman" w:hAnsi="Times New Roman" w:cs="Times New Roman"/>
          <w:sz w:val="21"/>
        </w:rPr>
        <w:t>2</w:t>
      </w:r>
      <w:r>
        <w:rPr>
          <w:rFonts w:ascii="Times New Roman" w:hAnsi="Times New Roman" w:cs="Times New Roman"/>
          <w:sz w:val="21"/>
        </w:rPr>
        <w:t xml:space="preserve">.1 </w:t>
      </w:r>
      <w:r>
        <w:rPr>
          <w:rFonts w:hint="eastAsia" w:ascii="黑体" w:hAnsi="黑体" w:eastAsia="黑体" w:cs="Times New Roman"/>
          <w:sz w:val="21"/>
        </w:rPr>
        <w:t>单词对战与学习的一体化业务流程</w:t>
      </w:r>
    </w:p>
    <w:p w14:paraId="22CAECE0">
      <w:pPr>
        <w:pStyle w:val="51"/>
        <w:spacing w:before="0" w:beforeAutospacing="0" w:after="0" w:afterAutospacing="0"/>
        <w:ind w:firstLine="420" w:firstLineChars="200"/>
        <w:rPr>
          <w:sz w:val="21"/>
          <w:szCs w:val="21"/>
        </w:rPr>
      </w:pPr>
      <w:r>
        <w:t>系统围绕“学习→对战→反馈→再学习”的循环路径构建一体化业务流程。当用户完成一次学习或对战操作后，前端调用云函数记录此次练习的详细数据，写入学习明细记录或对战明细记录，并通过云函数在后台同步更新相关统计汇总数据和单词掌握度数据。这一机制确保每一次用户交互都会及时同步至数据层，保持数据的实时性、完整性和可追溯性。学习与对战产生的原始数据经云函数处理后流向分析与调度模块，支撑后续个性化计划的生成和数据反馈。</w:t>
      </w:r>
    </w:p>
    <w:p w14:paraId="5480AC19">
      <w:pPr>
        <w:pStyle w:val="12"/>
        <w:spacing w:before="0" w:beforeAutospacing="0" w:after="0" w:afterAutospacing="0"/>
        <w:outlineLvl w:val="1"/>
        <w:rPr>
          <w:rFonts w:ascii="黑体" w:hAnsi="黑体" w:eastAsia="黑体" w:cs="Times New Roman"/>
          <w:b/>
          <w:bCs/>
          <w:sz w:val="21"/>
        </w:rPr>
      </w:pPr>
      <w:r>
        <w:rPr>
          <w:rFonts w:hint="eastAsia" w:ascii="Times New Roman" w:hAnsi="Times New Roman" w:cs="Times New Roman"/>
          <w:b/>
          <w:bCs/>
          <w:sz w:val="21"/>
        </w:rPr>
        <w:t>2</w:t>
      </w:r>
      <w:r>
        <w:rPr>
          <w:rFonts w:ascii="Times New Roman" w:hAnsi="Times New Roman" w:cs="Times New Roman"/>
          <w:b/>
          <w:bCs/>
          <w:sz w:val="21"/>
        </w:rPr>
        <w:t xml:space="preserve">.2 </w:t>
      </w:r>
      <w:r>
        <w:rPr>
          <w:rFonts w:ascii="黑体" w:hAnsi="黑体" w:eastAsia="黑体" w:cs="Times New Roman"/>
          <w:b/>
          <w:bCs/>
          <w:sz w:val="21"/>
        </w:rPr>
        <w:t>基于对战数据的</w:t>
      </w:r>
      <w:r>
        <w:rPr>
          <w:rFonts w:hint="default" w:ascii="Times New Roman Regular" w:hAnsi="Times New Roman Regular" w:eastAsia="黑体" w:cs="Times New Roman Regular"/>
          <w:b w:val="0"/>
          <w:bCs/>
          <w:sz w:val="21"/>
        </w:rPr>
        <w:t>CDS</w:t>
      </w:r>
      <w:r>
        <w:rPr>
          <w:rFonts w:ascii="黑体" w:hAnsi="黑体" w:eastAsia="黑体" w:cs="Times New Roman"/>
          <w:b/>
          <w:bCs/>
          <w:sz w:val="21"/>
        </w:rPr>
        <w:t>自适应学习调度</w:t>
      </w:r>
      <w:r>
        <w:rPr>
          <w:rFonts w:hint="eastAsia" w:ascii="黑体" w:hAnsi="黑体" w:eastAsia="黑体" w:cs="Times New Roman"/>
          <w:b/>
          <w:bCs/>
          <w:sz w:val="21"/>
        </w:rPr>
        <w:t>机制</w:t>
      </w:r>
    </w:p>
    <w:p w14:paraId="7218B27B">
      <w:pPr>
        <w:pStyle w:val="51"/>
        <w:spacing w:before="0" w:beforeAutospacing="0" w:after="0" w:afterAutospacing="0"/>
        <w:ind w:firstLine="420" w:firstLineChars="200"/>
        <w:rPr>
          <w:sz w:val="21"/>
          <w:szCs w:val="21"/>
        </w:rPr>
      </w:pPr>
      <w:r>
        <w:rPr>
          <w:sz w:val="21"/>
          <w:szCs w:val="21"/>
        </w:rPr>
        <w:t>系统通过持续收集并分析用户在学习和对战中的表现数据，实现对学习内容的动态自适应调度</w:t>
      </w:r>
      <w:r>
        <w:rPr>
          <w:rFonts w:hint="eastAsia" w:ascii="Times New Roman" w:hAnsi="Times New Roman" w:cs="Times New Roman"/>
          <w:color w:val="000000" w:themeColor="text1"/>
          <w:sz w:val="21"/>
          <w:szCs w:val="21"/>
          <w14:textFill>
            <w14:solidFill>
              <w14:schemeClr w14:val="tx1"/>
            </w14:solidFill>
          </w14:textFill>
        </w:rPr>
        <w:t>。</w:t>
      </w:r>
      <w:r>
        <w:rPr>
          <w:rFonts w:hint="eastAsia"/>
          <w:sz w:val="21"/>
          <w:szCs w:val="21"/>
        </w:rPr>
        <w:t>本文所提出的</w:t>
      </w:r>
      <w:r>
        <w:rPr>
          <w:rFonts w:ascii="Times New Roman" w:hAnsi="Times New Roman"/>
          <w:sz w:val="21"/>
          <w:szCs w:val="21"/>
        </w:rPr>
        <w:t>CDS</w:t>
      </w:r>
      <w:r>
        <w:rPr>
          <w:rFonts w:hint="eastAsia" w:ascii="Times New Roman" w:hAnsi="Times New Roman"/>
          <w:sz w:val="21"/>
          <w:szCs w:val="21"/>
        </w:rPr>
        <w:t>自适应学习调度机制</w:t>
      </w:r>
      <w:r>
        <w:rPr>
          <w:sz w:val="21"/>
          <w:szCs w:val="21"/>
        </w:rPr>
        <w:t>的</w:t>
      </w:r>
      <w:r>
        <w:rPr>
          <w:rFonts w:hint="eastAsia"/>
          <w:sz w:val="21"/>
          <w:szCs w:val="21"/>
        </w:rPr>
        <w:t>整体</w:t>
      </w:r>
      <w:r>
        <w:rPr>
          <w:sz w:val="21"/>
          <w:szCs w:val="21"/>
        </w:rPr>
        <w:t>流程如图</w:t>
      </w:r>
      <w:r>
        <w:rPr>
          <w:rFonts w:hint="default" w:ascii="Times New Roman" w:hAnsi="Times New Roman" w:cs="Times New Roman"/>
          <w:color w:val="000000" w:themeColor="text1"/>
          <w:kern w:val="2"/>
          <w:sz w:val="21"/>
          <w:szCs w:val="21"/>
          <w:lang w:val="en-US"/>
          <w14:textFill>
            <w14:solidFill>
              <w14:schemeClr w14:val="tx1"/>
            </w14:solidFill>
          </w14:textFill>
          <w14:ligatures w14:val="standardContextual"/>
        </w:rPr>
        <w:t>3</w:t>
      </w:r>
      <w:r>
        <w:rPr>
          <w:sz w:val="21"/>
          <w:szCs w:val="21"/>
        </w:rPr>
        <w:t>所示</w:t>
      </w:r>
      <w:r>
        <w:rPr>
          <w:rFonts w:hint="eastAsia"/>
          <w:sz w:val="21"/>
          <w:szCs w:val="21"/>
        </w:rPr>
        <w:t>，主要包含以下步骤</w:t>
      </w:r>
      <w:r>
        <w:rPr>
          <w:sz w:val="21"/>
          <w:szCs w:val="21"/>
        </w:rPr>
        <w:t>：</w:t>
      </w:r>
    </w:p>
    <w:p w14:paraId="7A7E4DC6">
      <w:pPr>
        <w:pStyle w:val="51"/>
        <w:spacing w:before="0" w:beforeAutospacing="0" w:after="0" w:afterAutospacing="0"/>
        <w:jc w:val="center"/>
        <w:rPr>
          <w:sz w:val="21"/>
          <w:szCs w:val="21"/>
        </w:rPr>
      </w:pPr>
      <w:r>
        <w:rPr>
          <w:rFonts w:hint="eastAsia"/>
        </w:rPr>
        <w:object>
          <v:shape id="_x0000_i1026" o:spt="75" type="#_x0000_t75" style="height:36.4pt;width:216.9pt;" o:ole="t" filled="f" o:preferrelative="t" stroked="f" coordsize="21600,21600">
            <v:path/>
            <v:fill on="f" focussize="0,0"/>
            <v:stroke on="f" joinstyle="miter"/>
            <v:imagedata r:id="rId8" o:title=""/>
            <o:lock v:ext="edit" aspectratio="t"/>
            <w10:wrap type="none"/>
            <w10:anchorlock/>
          </v:shape>
          <o:OLEObject Type="Embed" ProgID="Visio.Drawing.15" ShapeID="_x0000_i1026" DrawAspect="Content" ObjectID="_1468075726" r:id="rId7">
            <o:LockedField>false</o:LockedField>
          </o:OLEObject>
        </w:object>
      </w:r>
      <w:r>
        <w:rPr>
          <w:rFonts w:ascii="Times New Roman" w:hAnsi="Times New Roman" w:eastAsia="黑体" w:cs="Times New Roman"/>
          <w:bCs/>
          <w:sz w:val="18"/>
          <w:szCs w:val="18"/>
        </w:rPr>
        <w:t>图</w:t>
      </w:r>
      <w:r>
        <w:rPr>
          <w:rFonts w:hint="default" w:ascii="Times New Roman" w:hAnsi="Times New Roman" w:eastAsia="黑体" w:cs="Times New Roman"/>
          <w:bCs/>
          <w:sz w:val="18"/>
          <w:szCs w:val="18"/>
          <w:lang w:val="en-US"/>
        </w:rPr>
        <w:t>3</w:t>
      </w:r>
      <w:r>
        <w:rPr>
          <w:rFonts w:ascii="Times New Roman" w:hAnsi="Times New Roman" w:eastAsia="黑体" w:cs="Times New Roman"/>
          <w:bCs/>
          <w:sz w:val="18"/>
          <w:szCs w:val="18"/>
        </w:rPr>
        <w:t xml:space="preserve"> CDS自适应调度流程示意图</w:t>
      </w:r>
    </w:p>
    <w:p w14:paraId="10B69BE2">
      <w:pPr>
        <w:pStyle w:val="51"/>
        <w:spacing w:before="0" w:beforeAutospacing="0" w:after="0" w:afterAutospacing="0"/>
        <w:rPr>
          <w:rFonts w:ascii="Times New Roman" w:hAnsi="Times New Roman" w:cs="Times New Roman"/>
          <w:color w:val="EE0000"/>
          <w:sz w:val="21"/>
          <w:szCs w:val="21"/>
        </w:rPr>
      </w:pPr>
      <w:r>
        <w:rPr>
          <w:rFonts w:hint="eastAsia" w:ascii="Times New Roman" w:hAnsi="Times New Roman" w:cs="Times New Roman"/>
          <w:color w:val="000000" w:themeColor="text1"/>
          <w:sz w:val="21"/>
          <w:szCs w:val="21"/>
          <w14:textFill>
            <w14:solidFill>
              <w14:schemeClr w14:val="tx1"/>
            </w14:solidFill>
          </w14:textFill>
        </w:rPr>
        <w:t>（1）行为数据采集、统计：获取用户在学习与对战过程中的关键行为指标，包括答错单词、提示使用次数、作答反应时长等进行统计；</w:t>
      </w:r>
    </w:p>
    <w:p w14:paraId="4ABC9A15">
      <w:pPr>
        <w:pStyle w:val="51"/>
        <w:spacing w:before="0" w:beforeAutospacing="0" w:after="0" w:afterAutospacing="0"/>
        <w:rPr>
          <w:rFonts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cs="Times New Roman"/>
          <w:color w:val="000000" w:themeColor="text1"/>
          <w:sz w:val="21"/>
          <w:szCs w:val="21"/>
          <w14:textFill>
            <w14:solidFill>
              <w14:schemeClr w14:val="tx1"/>
            </w14:solidFill>
          </w14:textFill>
        </w:rPr>
        <w:t>（2）单词掌握度评分：后台通过定时任务对上述数据进行统计，依据预设权重规则计算得到各单词的掌握度评分，实现对词汇掌握程度的量化评估。</w:t>
      </w:r>
    </w:p>
    <w:p w14:paraId="40E22471">
      <w:pPr>
        <w:pStyle w:val="51"/>
        <w:spacing w:before="0" w:beforeAutospacing="0" w:after="0" w:afterAutospacing="0"/>
        <w:rPr>
          <w:rFonts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cs="Times New Roman"/>
          <w:color w:val="000000" w:themeColor="text1"/>
          <w:sz w:val="21"/>
          <w:szCs w:val="21"/>
          <w14:textFill>
            <w14:solidFill>
              <w14:schemeClr w14:val="tx1"/>
            </w14:solidFill>
          </w14:textFill>
        </w:rPr>
        <w:t>（3）词汇分层与计划生成：按照掌握度评分将单词划分为弱掌握词与需巩固词，其中弱掌握词表示低掌握度词汇，需巩固词表示中低掌握度词汇；在此基础上，为保证词汇覆盖与学习增量，系统按配比补充新学词并生成当日学习计划，据此形成以掌握度为核心、兼顾词汇增量的自适应调度方案；</w:t>
      </w:r>
    </w:p>
    <w:p w14:paraId="29E4CA4A">
      <w:pPr>
        <w:pStyle w:val="51"/>
        <w:spacing w:before="0" w:beforeAutospacing="0" w:after="0" w:afterAutospacing="0"/>
        <w:rPr>
          <w:rFonts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cs="Times New Roman"/>
          <w:color w:val="000000" w:themeColor="text1"/>
          <w:sz w:val="21"/>
          <w:szCs w:val="21"/>
          <w14:textFill>
            <w14:solidFill>
              <w14:schemeClr w14:val="tx1"/>
            </w14:solidFill>
          </w14:textFill>
        </w:rPr>
        <w:t>（4）个性化内容推送：前端在每日学习模块加载时，优先展示该自适应词表，确保学习内容与用户当前知识薄弱点精准匹配。</w:t>
      </w:r>
    </w:p>
    <w:p w14:paraId="532CB3BA">
      <w:pPr>
        <w:pStyle w:val="51"/>
        <w:spacing w:before="0" w:beforeAutospacing="0" w:after="0" w:afterAutospacing="0"/>
        <w:ind w:firstLine="420" w:firstLineChars="200"/>
        <w:rPr>
          <w:rFonts w:ascii="Times New Roman" w:hAnsi="Times New Roman" w:cs="Times New Roman"/>
          <w:sz w:val="21"/>
          <w:szCs w:val="21"/>
        </w:rPr>
      </w:pPr>
      <w:r>
        <w:rPr>
          <w:sz w:val="21"/>
          <w:szCs w:val="21"/>
        </w:rPr>
        <w:t>通过上述流程，系统能够随用户近期的对战表现动态调整学习内容，避免固定词表可能导致的熟词反复学习</w:t>
      </w:r>
      <w:r>
        <w:rPr>
          <w:rFonts w:hint="eastAsia"/>
          <w:sz w:val="21"/>
          <w:szCs w:val="21"/>
        </w:rPr>
        <w:t>、</w:t>
      </w:r>
      <w:r>
        <w:rPr>
          <w:sz w:val="21"/>
          <w:szCs w:val="21"/>
        </w:rPr>
        <w:t>难词长期被忽略等问题。</w:t>
      </w:r>
    </w:p>
    <w:p w14:paraId="0C0F0D7C">
      <w:pPr>
        <w:pStyle w:val="12"/>
        <w:spacing w:before="0" w:beforeAutospacing="0" w:after="0" w:afterAutospacing="0"/>
        <w:outlineLvl w:val="1"/>
        <w:rPr>
          <w:rFonts w:ascii="黑体" w:hAnsi="黑体" w:eastAsia="黑体" w:cs="Times New Roman"/>
          <w:b/>
          <w:bCs/>
          <w:sz w:val="21"/>
        </w:rPr>
      </w:pPr>
      <w:r>
        <w:t>2.3 基于结构化数据的学习闭环学习分析与反馈机制</w:t>
      </w:r>
    </w:p>
    <w:p w14:paraId="031E0E98">
      <w:pPr>
        <w:pStyle w:val="51"/>
        <w:spacing w:before="0" w:beforeAutospacing="0" w:after="0" w:afterAutospacing="0"/>
        <w:ind w:firstLine="420" w:firstLineChars="200"/>
        <w:rPr>
          <w:rFonts w:hint="eastAsia" w:ascii="Times New Roman" w:hAnsi="Times New Roman" w:cs="Times New Roman"/>
          <w:color w:val="000000" w:themeColor="text1"/>
          <w:sz w:val="21"/>
          <w:szCs w:val="21"/>
          <w14:textFill>
            <w14:solidFill>
              <w14:schemeClr w14:val="tx1"/>
            </w14:solidFill>
          </w14:textFill>
        </w:rPr>
      </w:pPr>
      <w:r>
        <w:t>在实现学习内容动态调度后，系统进一步引入学习闭环机制，对学习过程进行分析并整理反馈，主要步骤如下：</w:t>
      </w:r>
    </w:p>
    <w:p w14:paraId="0B0ACE2C">
      <w:pPr>
        <w:pStyle w:val="12"/>
        <w:spacing w:before="0" w:beforeAutospacing="0" w:after="0" w:afterAutospacing="0"/>
        <w:outlineLvl w:val="1"/>
        <w:rPr>
          <w:rFonts w:hint="eastAsia"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cs="Times New Roman"/>
          <w:color w:val="000000" w:themeColor="text1"/>
          <w:sz w:val="21"/>
          <w:szCs w:val="21"/>
          <w14:textFill>
            <w14:solidFill>
              <w14:schemeClr w14:val="tx1"/>
            </w14:solidFill>
          </w14:textFill>
        </w:rPr>
        <w:t>（1）学习数据汇总与上下文构建：前端拉取学习计划、弱词榜、周学习报告和对战摘要，形成分析输入。</w:t>
      </w:r>
    </w:p>
    <w:p w14:paraId="4D0799D1">
      <w:pPr>
        <w:pStyle w:val="12"/>
        <w:spacing w:before="0" w:beforeAutospacing="0" w:after="0" w:afterAutospacing="0"/>
        <w:outlineLvl w:val="1"/>
        <w:rPr>
          <w:rFonts w:hint="eastAsia"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cs="Times New Roman"/>
          <w:color w:val="000000" w:themeColor="text1"/>
          <w:sz w:val="21"/>
          <w:szCs w:val="21"/>
          <w14:textFill>
            <w14:solidFill>
              <w14:schemeClr w14:val="tx1"/>
            </w14:solidFill>
          </w14:textFill>
        </w:rPr>
        <w:t>（2）学习行为分析与问题识别：云函数汇总错词记录、提示次数等数据，识别薄弱词及主要失分点，生成中间结果。</w:t>
      </w:r>
    </w:p>
    <w:p w14:paraId="10B72FF7">
      <w:pPr>
        <w:pStyle w:val="12"/>
        <w:spacing w:before="0" w:beforeAutospacing="0" w:after="0" w:afterAutospacing="0"/>
        <w:outlineLvl w:val="1"/>
        <w:rPr>
          <w:rFonts w:hint="eastAsia"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cs="Times New Roman"/>
          <w:color w:val="000000" w:themeColor="text1"/>
          <w:sz w:val="21"/>
          <w:szCs w:val="21"/>
          <w14:textFill>
            <w14:solidFill>
              <w14:schemeClr w14:val="tx1"/>
            </w14:solidFill>
          </w14:textFill>
        </w:rPr>
        <w:t>（3）建议与复盘生成：服务端按模板整理学习建议和对战复盘，以结构化字段返回，便于解析展示。</w:t>
      </w:r>
    </w:p>
    <w:p w14:paraId="4647CD81">
      <w:pPr>
        <w:pStyle w:val="12"/>
        <w:spacing w:before="0" w:beforeAutospacing="0" w:after="0" w:afterAutospacing="0"/>
        <w:outlineLvl w:val="1"/>
        <w:rPr>
          <w:rFonts w:hint="eastAsia"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cs="Times New Roman"/>
          <w:color w:val="000000" w:themeColor="text1"/>
          <w:sz w:val="21"/>
          <w:szCs w:val="21"/>
          <w14:textFill>
            <w14:solidFill>
              <w14:schemeClr w14:val="tx1"/>
            </w14:solidFill>
          </w14:textFill>
        </w:rPr>
        <w:t>（4）结果校验与前端反馈：后端校验结果并返回前端，用户追问触发下一轮分析，形成连续反馈闭环。</w:t>
      </w:r>
    </w:p>
    <w:p w14:paraId="1CF5F688">
      <w:pPr>
        <w:pStyle w:val="51"/>
        <w:spacing w:before="0" w:beforeAutospacing="0" w:after="0" w:afterAutospacing="0"/>
        <w:ind w:firstLine="420" w:firstLineChars="200"/>
        <w:rPr>
          <w:rFonts w:hint="eastAsia" w:ascii="Times New Roman" w:hAnsi="Times New Roman" w:cs="Times New Roman"/>
          <w:color w:val="000000" w:themeColor="text1"/>
          <w:sz w:val="21"/>
          <w:szCs w:val="21"/>
          <w14:textFill>
            <w14:solidFill>
              <w14:schemeClr w14:val="tx1"/>
            </w14:solidFill>
          </w14:textFill>
        </w:rPr>
      </w:pPr>
      <w:r>
        <w:t>该流程统一分析链路，学习助手模块将结构化数据输入外部对话服务，生成对应反馈，确保内容具有良好可解释性。</w:t>
      </w:r>
    </w:p>
    <w:p w14:paraId="4250DFCD">
      <w:pPr>
        <w:pStyle w:val="12"/>
        <w:spacing w:before="0" w:beforeAutospacing="0" w:after="0" w:afterAutospacing="0"/>
        <w:outlineLvl w:val="1"/>
        <w:rPr>
          <w:rFonts w:ascii="Times New Roman" w:hAnsi="Times New Roman" w:cs="Times New Roman"/>
          <w:b/>
          <w:bCs/>
          <w:sz w:val="21"/>
        </w:rPr>
      </w:pPr>
      <w:r>
        <w:t>2.4 学习助手功能的工程集成方案</w:t>
      </w:r>
    </w:p>
    <w:p w14:paraId="3F32053D">
      <w:pPr>
        <w:pStyle w:val="51"/>
        <w:spacing w:before="0" w:beforeAutospacing="0" w:after="0" w:afterAutospacing="0"/>
        <w:ind w:firstLine="420" w:firstLineChars="200"/>
        <w:rPr>
          <w:sz w:val="21"/>
          <w:szCs w:val="21"/>
        </w:rPr>
      </w:pPr>
      <w:r>
        <w:t>学习助手的引入为系统增加了强大的自然语言交互能力，同时需要设计合理的集成路径以确保服务高效稳定。图4小程序前端与学习助手服务的交互流程如下：前端用户在学习辅助学习助手页面发起请求，调用云函数接口将请求发送至后台。云函数权限校验后，从数据库查询学习计划、弱词列表、对战记录摘要、阶段报告等数据，并结合知识库条目组装为模型输入的上下文；然后通过封装的学习助手 SDK请求外部对话服务端生成应答，由服务器代发请求，避免密钥暴露，并限制调用频率。模型返回结果后，平台校验其格式并解析提取建议和复盘内容，若格式不符则提示模型重试输出。最终，云函数将结构化的建议和复盘结果返回前端。前端以聊天气泡形式显示学习助手反馈，并支持多轮对话，后台会将历史对话附加到后续请求的输入中。</w:t>
      </w:r>
    </w:p>
    <w:p w14:paraId="0C07DA0E">
      <w:pPr>
        <w:pStyle w:val="51"/>
        <w:spacing w:before="0" w:beforeAutospacing="0" w:after="0" w:afterAutospacing="0"/>
        <w:jc w:val="center"/>
        <w:rPr>
          <w:rFonts w:ascii="Times New Roman" w:hAnsi="Times New Roman" w:eastAsia="黑体" w:cs="Times New Roman"/>
          <w:bCs/>
          <w:sz w:val="18"/>
          <w:szCs w:val="18"/>
        </w:rPr>
      </w:pPr>
      <w:r>
        <w:t>图4 学习助手服务集成的消息调用流程</w:t>
      </w:r>
    </w:p>
    <w:p w14:paraId="0879E181">
      <w:pPr>
        <w:outlineLvl w:val="0"/>
        <w:rPr>
          <w:rFonts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14:ligatures w14:val="none"/>
        </w:rPr>
        <w:t>3</w:t>
      </w:r>
      <w:r>
        <w:rPr>
          <w:rFonts w:ascii="Times New Roman" w:hAnsi="Times New Roman" w:eastAsia="宋体" w:cs="Times New Roman"/>
          <w:b/>
          <w:bCs/>
          <w:sz w:val="24"/>
          <w:szCs w:val="24"/>
          <w14:ligatures w14:val="none"/>
        </w:rPr>
        <w:t xml:space="preserve"> </w:t>
      </w:r>
      <w:r>
        <w:rPr>
          <w:rFonts w:ascii="黑体" w:hAnsi="黑体" w:eastAsia="黑体" w:cs="Times New Roman"/>
          <w:b/>
          <w:bCs/>
          <w:sz w:val="24"/>
          <w:szCs w:val="24"/>
          <w14:ligatures w14:val="none"/>
        </w:rPr>
        <w:t>系统实现</w:t>
      </w:r>
    </w:p>
    <w:p w14:paraId="33770800">
      <w:pPr>
        <w:pStyle w:val="12"/>
        <w:spacing w:before="0" w:beforeAutospacing="0" w:after="0" w:afterAutospacing="0"/>
        <w:outlineLvl w:val="1"/>
        <w:rPr>
          <w:rFonts w:ascii="Times New Roman" w:hAnsi="Times New Roman" w:cs="Times New Roman"/>
          <w:b/>
          <w:bCs/>
          <w:sz w:val="21"/>
        </w:rPr>
      </w:pPr>
      <w:r>
        <w:rPr>
          <w:rFonts w:hint="eastAsia" w:ascii="Times New Roman" w:hAnsi="Times New Roman" w:cs="Times New Roman"/>
          <w:b/>
          <w:bCs/>
          <w:sz w:val="21"/>
        </w:rPr>
        <w:t>3</w:t>
      </w:r>
      <w:r>
        <w:rPr>
          <w:rFonts w:ascii="Times New Roman" w:hAnsi="Times New Roman" w:cs="Times New Roman"/>
          <w:b/>
          <w:bCs/>
          <w:sz w:val="21"/>
        </w:rPr>
        <w:t xml:space="preserve">.1 </w:t>
      </w:r>
      <w:r>
        <w:rPr>
          <w:rFonts w:ascii="黑体" w:hAnsi="黑体" w:eastAsia="黑体" w:cs="Times New Roman"/>
          <w:b/>
          <w:bCs/>
          <w:sz w:val="21"/>
        </w:rPr>
        <w:t>前端实现</w:t>
      </w:r>
    </w:p>
    <w:p w14:paraId="5E698F4E">
      <w:pPr>
        <w:pStyle w:val="51"/>
        <w:spacing w:before="0" w:beforeAutospacing="0" w:after="0" w:afterAutospacing="0"/>
        <w:rPr>
          <w:color w:val="000000" w:themeColor="text1"/>
          <w:sz w:val="20"/>
          <w:szCs w:val="20"/>
          <w14:textFill>
            <w14:solidFill>
              <w14:schemeClr w14:val="tx1"/>
            </w14:solidFill>
          </w14:textFill>
        </w:rPr>
      </w:pPr>
      <w:r>
        <w:rPr>
          <w:rFonts w:hint="eastAsia"/>
          <w:color w:val="000000" w:themeColor="text1"/>
          <w:szCs w:val="21"/>
          <w14:textFill>
            <w14:solidFill>
              <w14:schemeClr w14:val="tx1"/>
            </w14:solidFill>
          </w14:textFill>
        </w:rPr>
        <w:drawing>
          <wp:inline distT="0" distB="0" distL="0" distR="0">
            <wp:extent cx="871855" cy="1532890"/>
            <wp:effectExtent l="12700" t="12700" r="29845" b="29210"/>
            <wp:docPr id="161513350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3509" name="图片 1" descr="图形用户界面, 应用程序&#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t="4983"/>
                    <a:stretch>
                      <a:fillRect/>
                    </a:stretch>
                  </pic:blipFill>
                  <pic:spPr>
                    <a:xfrm>
                      <a:off x="0" y="0"/>
                      <a:ext cx="871855" cy="1532890"/>
                    </a:xfrm>
                    <a:prstGeom prst="rect">
                      <a:avLst/>
                    </a:prstGeom>
                    <a:noFill/>
                    <a:ln>
                      <a:solidFill>
                        <a:schemeClr val="tx1"/>
                      </a:solidFill>
                    </a:ln>
                  </pic:spPr>
                </pic:pic>
              </a:graphicData>
            </a:graphic>
          </wp:inline>
        </w:drawing>
      </w:r>
      <w:r>
        <w:rPr>
          <w:rFonts w:hint="eastAsia"/>
          <w:color w:val="000000" w:themeColor="text1"/>
          <w:szCs w:val="21"/>
          <w14:textFill>
            <w14:solidFill>
              <w14:schemeClr w14:val="tx1"/>
            </w14:solidFill>
          </w14:textFill>
        </w:rPr>
        <w:drawing>
          <wp:inline distT="0" distB="0" distL="0" distR="0">
            <wp:extent cx="871855" cy="1535430"/>
            <wp:effectExtent l="12700" t="12700" r="29845" b="26670"/>
            <wp:docPr id="2036109881"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9881" name="图片 2" descr="图形用户界面, 文本, 应用程序&#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l="3737" t="5567" r="287" b="2233"/>
                    <a:stretch>
                      <a:fillRect/>
                    </a:stretch>
                  </pic:blipFill>
                  <pic:spPr>
                    <a:xfrm>
                      <a:off x="0" y="0"/>
                      <a:ext cx="871855" cy="1535430"/>
                    </a:xfrm>
                    <a:prstGeom prst="rect">
                      <a:avLst/>
                    </a:prstGeom>
                    <a:noFill/>
                    <a:ln>
                      <a:solidFill>
                        <a:schemeClr val="tx1"/>
                      </a:solidFill>
                    </a:ln>
                  </pic:spPr>
                </pic:pic>
              </a:graphicData>
            </a:graphic>
          </wp:inline>
        </w:drawing>
      </w:r>
      <w:r>
        <w:rPr>
          <w:rFonts w:hint="eastAsia"/>
          <w:color w:val="000000" w:themeColor="text1"/>
          <w:szCs w:val="21"/>
          <w14:textFill>
            <w14:solidFill>
              <w14:schemeClr w14:val="tx1"/>
            </w14:solidFill>
          </w14:textFill>
        </w:rPr>
        <w:drawing>
          <wp:inline distT="0" distB="0" distL="0" distR="0">
            <wp:extent cx="859790" cy="1545590"/>
            <wp:effectExtent l="12700" t="12700" r="16510" b="16510"/>
            <wp:docPr id="65026454" name="图片 3"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454" name="图片 3" descr="手机屏幕的截图&#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l="1376" t="7825" r="1735" b="-812"/>
                    <a:stretch>
                      <a:fillRect/>
                    </a:stretch>
                  </pic:blipFill>
                  <pic:spPr>
                    <a:xfrm>
                      <a:off x="0" y="0"/>
                      <a:ext cx="859790" cy="1545590"/>
                    </a:xfrm>
                    <a:prstGeom prst="rect">
                      <a:avLst/>
                    </a:prstGeom>
                    <a:noFill/>
                    <a:ln>
                      <a:solidFill>
                        <a:schemeClr val="tx1"/>
                      </a:solidFill>
                    </a:ln>
                  </pic:spPr>
                </pic:pic>
              </a:graphicData>
            </a:graphic>
          </wp:inline>
        </w:drawing>
      </w:r>
    </w:p>
    <w:p w14:paraId="14A712AE">
      <w:pPr>
        <w:ind w:firstLine="361"/>
        <w:jc w:val="center"/>
        <w:rPr>
          <w:sz w:val="21"/>
          <w:szCs w:val="21"/>
        </w:rPr>
      </w:pPr>
      <w:r>
        <w:rPr>
          <w:rFonts w:ascii="Times New Roman" w:hAnsi="Times New Roman" w:eastAsia="黑体" w:cs="Times New Roman"/>
          <w:bCs/>
          <w:sz w:val="18"/>
          <w:szCs w:val="18"/>
        </w:rPr>
        <w:t>图2 部分界面展示</w:t>
      </w:r>
    </w:p>
    <w:p w14:paraId="69415162">
      <w:pPr>
        <w:pStyle w:val="51"/>
        <w:spacing w:before="0" w:beforeAutospacing="0" w:after="0" w:afterAutospacing="0"/>
        <w:ind w:firstLine="420" w:firstLineChars="200"/>
        <w:rPr>
          <w:sz w:val="21"/>
          <w:szCs w:val="21"/>
        </w:rPr>
      </w:pPr>
      <w:r>
        <w:t>小程序前端采用组件化设计实现学习、对战、数据看板与学习辅助助手等页面的统一交互。学习模块记录开始/结束时间并上传云端，由后台统一统计学习时长；单词模块支持离线发音资源播放，保障弱网条件下的基础体验；在学习助手交互中，前端仅提交必要参数并展示结构化返回结果，从而降低页面耦合度并提升可维护性。</w:t>
      </w:r>
    </w:p>
    <w:p w14:paraId="0A29275F">
      <w:pPr>
        <w:pStyle w:val="12"/>
        <w:spacing w:before="0" w:beforeAutospacing="0" w:after="0" w:afterAutospacing="0"/>
        <w:outlineLvl w:val="1"/>
        <w:rPr>
          <w:rFonts w:ascii="黑体" w:hAnsi="黑体" w:eastAsia="黑体" w:cs="Times New Roman"/>
          <w:b/>
          <w:bCs/>
          <w:sz w:val="21"/>
        </w:rPr>
      </w:pPr>
      <w:r>
        <w:rPr>
          <w:rFonts w:hint="eastAsia" w:ascii="Times New Roman" w:hAnsi="Times New Roman" w:cs="Times New Roman"/>
          <w:b/>
          <w:bCs/>
          <w:sz w:val="21"/>
        </w:rPr>
        <w:t>3</w:t>
      </w:r>
      <w:r>
        <w:rPr>
          <w:rFonts w:ascii="Times New Roman" w:hAnsi="Times New Roman" w:cs="Times New Roman"/>
          <w:b/>
          <w:bCs/>
          <w:sz w:val="21"/>
        </w:rPr>
        <w:t xml:space="preserve">.2 </w:t>
      </w:r>
      <w:r>
        <w:rPr>
          <w:rFonts w:ascii="黑体" w:hAnsi="黑体" w:eastAsia="黑体" w:cs="Times New Roman"/>
          <w:b/>
          <w:bCs/>
          <w:sz w:val="21"/>
        </w:rPr>
        <w:t>云函数与接口设计</w:t>
      </w:r>
    </w:p>
    <w:p w14:paraId="0CE70261">
      <w:pPr>
        <w:pStyle w:val="51"/>
        <w:spacing w:before="0" w:beforeAutospacing="0" w:after="0" w:afterAutospacing="0"/>
        <w:ind w:firstLine="420" w:firstLineChars="200"/>
        <w:rPr>
          <w:color w:val="000000" w:themeColor="text1"/>
          <w:sz w:val="21"/>
          <w:szCs w:val="21"/>
          <w14:textFill>
            <w14:solidFill>
              <w14:schemeClr w14:val="tx1"/>
            </w14:solidFill>
          </w14:textFill>
        </w:rPr>
      </w:pPr>
      <w:r>
        <w:t>后端云函数采用“Router+Controller+Model”架构，通过单一云函数入口按$url路由至不同控制器，实现统一管理。主要接口包括对战/学习数据记录、学习报告查询、弱词榜获取、每日学习计划生成/获取以及学习助手学习建议生成等。所有接口均自动获取用户openid以确保数据隔离。对于调用外部学习辅助服务的接口，后端设置了访问频率限制和异常捕获机制，防止过度请求或服务错误导致前端超时。</w:t>
      </w:r>
    </w:p>
    <w:p w14:paraId="3B3229A6">
      <w:pPr>
        <w:pStyle w:val="18"/>
        <w:keepNext w:val="0"/>
        <w:keepLines w:val="0"/>
        <w:widowControl/>
        <w:suppressLineNumbers w:val="0"/>
        <w:spacing w:before="60" w:beforeAutospacing="0" w:after="60" w:afterAutospacing="0"/>
        <w:ind w:left="0" w:right="0"/>
        <w:jc w:val="left"/>
        <w:outlineLvl w:val="1"/>
        <w:rPr>
          <w:rFonts w:hint="default" w:ascii="Times New Roman" w:hAnsi="Times New Roman" w:cs="Times New Roman"/>
          <w:b/>
          <w:bCs/>
          <w:sz w:val="21"/>
          <w:szCs w:val="24"/>
          <w:lang w:val="en-US"/>
        </w:rPr>
      </w:pPr>
      <w:r>
        <w:t>3.3 学习助手服务接入与部署</w:t>
      </w:r>
    </w:p>
    <w:p w14:paraId="47561BD8">
      <w:pPr>
        <w:pStyle w:val="18"/>
        <w:keepNext w:val="0"/>
        <w:keepLines w:val="0"/>
        <w:widowControl/>
        <w:suppressLineNumbers w:val="0"/>
        <w:spacing w:before="0" w:beforeAutospacing="0" w:after="0" w:afterAutospacing="0"/>
        <w:ind w:left="0" w:right="0" w:firstLine="400" w:firstLineChars="200"/>
        <w:jc w:val="left"/>
        <w:rPr>
          <w:b/>
          <w:bCs/>
          <w:color w:val="000000" w:themeColor="text1"/>
          <w:sz w:val="21"/>
          <w:szCs w:val="21"/>
          <w14:textFill>
            <w14:solidFill>
              <w14:schemeClr w14:val="tx1"/>
            </w14:solidFill>
          </w14:textFill>
        </w:rPr>
      </w:pPr>
      <w:r>
        <w:t>学习助手能力统一部署在服务端，前端不直接接触模型密钥。请求到达后，云函数完成鉴权、数据查询、上下文组装、服务调用和结果解析，再将结构化结果返回页面。密钥与模型参数通过环境变量管理，结合调用限流、错误重试和敏感内容过滤，保证服务可控。</w:t>
      </w:r>
    </w:p>
    <w:p w14:paraId="2A0C26C0">
      <w:pPr>
        <w:outlineLvl w:val="0"/>
        <w:rPr>
          <w:rFonts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14:ligatures w14:val="none"/>
        </w:rPr>
        <w:t>4</w:t>
      </w:r>
      <w:r>
        <w:rPr>
          <w:rFonts w:ascii="Times New Roman" w:hAnsi="Times New Roman" w:eastAsia="宋体" w:cs="Times New Roman"/>
          <w:b/>
          <w:bCs/>
          <w:sz w:val="24"/>
          <w:szCs w:val="24"/>
          <w14:ligatures w14:val="none"/>
        </w:rPr>
        <w:t xml:space="preserve"> </w:t>
      </w:r>
      <w:r>
        <w:rPr>
          <w:rFonts w:ascii="黑体" w:hAnsi="黑体" w:eastAsia="黑体" w:cs="Times New Roman"/>
          <w:b/>
          <w:bCs/>
          <w:sz w:val="24"/>
          <w:szCs w:val="24"/>
          <w14:ligatures w14:val="none"/>
        </w:rPr>
        <w:t>结语</w:t>
      </w:r>
    </w:p>
    <w:p w14:paraId="5B0655D2">
      <w:pPr>
        <w:pStyle w:val="50"/>
        <w:spacing w:before="0" w:beforeAutospacing="0" w:after="0" w:afterAutospacing="0"/>
        <w:ind w:firstLine="420" w:firstLineChars="200"/>
        <w:rPr>
          <w:rStyle w:val="52"/>
          <w:rFonts w:ascii="Times New Roman" w:hAnsi="Times New Roman" w:cs="Times New Roman"/>
          <w:color w:val="000000" w:themeColor="text1"/>
          <w:sz w:val="21"/>
          <w:szCs w:val="21"/>
          <w14:textFill>
            <w14:solidFill>
              <w14:schemeClr w14:val="tx1"/>
            </w14:solidFill>
          </w14:textFill>
        </w:rPr>
      </w:pPr>
      <w:r>
        <w:t>本文完成面向泛英语学习场景的“词魂”微信小程序研发，构建了前端页面、云函数、云数据库与学习助手服务相结合的轻量化可扩展架构，实现学习记录、对战记录、单词掌握度与学习计划的多维度融合，形成从学习行为采集到个性化反馈输出的完整技术链路。系统核心创新在于两大机制：CDS自适应调度机制通过错词、提示、作答时长等特征量化单词掌握度，动态生成个性化学习计划；学习闭环学习助手机制基于结构化学习数据，输出可解释的学习建议与对战复盘，并通过对话界面可视化展示，为学习助手应用于语言学习提供可行方案。</w:t>
      </w:r>
    </w:p>
    <w:p w14:paraId="43C0B3E3">
      <w:pPr>
        <w:pStyle w:val="50"/>
        <w:spacing w:before="0" w:beforeAutospacing="0" w:after="0" w:afterAutospacing="0"/>
        <w:ind w:firstLine="400" w:firstLineChars="200"/>
        <w:rPr>
          <w:rStyle w:val="52"/>
          <w:rFonts w:ascii="Times New Roman" w:hAnsi="Times New Roman" w:cs="Times New Roman"/>
          <w:color w:val="000000" w:themeColor="text1"/>
          <w:sz w:val="20"/>
          <w:szCs w:val="20"/>
          <w14:textFill>
            <w14:solidFill>
              <w14:schemeClr w14:val="tx1"/>
            </w14:solidFill>
          </w14:textFill>
        </w:rPr>
      </w:pPr>
    </w:p>
    <w:p w14:paraId="7A53F008">
      <w:pPr>
        <w:pStyle w:val="12"/>
        <w:spacing w:before="120" w:beforeAutospacing="0" w:after="120" w:afterAutospacing="0"/>
        <w:rPr>
          <w:rFonts w:ascii="黑体" w:hAnsi="黑体" w:eastAsia="黑体"/>
          <w:sz w:val="21"/>
          <w:szCs w:val="21"/>
        </w:rPr>
      </w:pPr>
      <w:r>
        <w:rPr>
          <w:rFonts w:ascii="黑体" w:hAnsi="黑体" w:eastAsia="黑体"/>
          <w:sz w:val="21"/>
          <w:szCs w:val="21"/>
        </w:rPr>
        <w:t>参考文献</w:t>
      </w:r>
      <w:r>
        <w:rPr>
          <w:rFonts w:hint="eastAsia" w:ascii="黑体" w:hAnsi="黑体" w:eastAsia="黑体"/>
          <w:sz w:val="21"/>
          <w:szCs w:val="21"/>
        </w:rPr>
        <w:t>:</w:t>
      </w:r>
    </w:p>
    <w:p w14:paraId="3DBF8A9C">
      <w:pPr>
        <w:pStyle w:val="51"/>
        <w:spacing w:before="0" w:beforeAutospacing="0" w:after="0" w:afterAutospacing="0"/>
        <w:ind w:left="315" w:hanging="315" w:hangingChars="150"/>
        <w:rPr>
          <w:rFonts w:ascii="Times New Roman" w:hAnsi="Times New Roman" w:cs="Times New Roman"/>
          <w:color w:val="000000" w:themeColor="text1"/>
          <w:sz w:val="21"/>
          <w:szCs w:val="21"/>
          <w14:textFill>
            <w14:solidFill>
              <w14:schemeClr w14:val="tx1"/>
            </w14:solidFill>
          </w14:textFill>
        </w:rPr>
      </w:pPr>
      <w:r>
        <w:t>[1] 陈恩红,刘淇,王士进,等. 面向智慧教育的自适应学习关键技术与应用[J]. 智慧系统学报, 2021, 16(5): 886-898.</w:t>
      </w:r>
    </w:p>
    <w:p w14:paraId="608C0453">
      <w:pPr>
        <w:pStyle w:val="51"/>
        <w:spacing w:before="0" w:beforeAutospacing="0" w:after="0" w:afterAutospacing="0"/>
        <w:ind w:left="315" w:hanging="315" w:hangingChars="150"/>
        <w:rPr>
          <w:color w:val="000000" w:themeColor="text1"/>
          <w:sz w:val="21"/>
          <w:szCs w:val="21"/>
          <w14:textFill>
            <w14:solidFill>
              <w14:schemeClr w14:val="tx1"/>
            </w14:solidFill>
          </w14:textFill>
        </w:rPr>
      </w:pPr>
      <w:r>
        <w:t>[2] 徐刚,刘志鹏,冯骐,等. 外部对话服务在教育信息化中的实践：规范、框架与应用[J]. 通信学报,2024,45(Z2):229-241.</w:t>
      </w:r>
    </w:p>
    <w:p w14:paraId="016F9C58">
      <w:pPr>
        <w:pStyle w:val="51"/>
        <w:spacing w:before="0" w:beforeAutospacing="0" w:after="0" w:afterAutospacing="0"/>
        <w:ind w:left="315" w:hanging="315" w:hangingChars="150"/>
        <w:rPr>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3</w:t>
      </w:r>
      <w:r>
        <w:rPr>
          <w:rFonts w:ascii="Times New Roman" w:hAnsi="Times New Roman" w:cs="Times New Roman"/>
          <w:color w:val="000000" w:themeColor="text1"/>
          <w:sz w:val="21"/>
          <w:szCs w:val="21"/>
          <w14:textFill>
            <w14:solidFill>
              <w14:schemeClr w14:val="tx1"/>
            </w14:solidFill>
          </w14:textFill>
        </w:rPr>
        <w:t xml:space="preserve">] </w:t>
      </w:r>
      <w:r>
        <w:rPr>
          <w:rFonts w:hint="eastAsia" w:ascii="Times New Roman" w:hAnsi="Times New Roman"/>
          <w:color w:val="000000" w:themeColor="text1"/>
          <w:sz w:val="21"/>
          <w:szCs w:val="21"/>
          <w14:textFill>
            <w14:solidFill>
              <w14:schemeClr w14:val="tx1"/>
            </w14:solidFill>
          </w14:textFill>
        </w:rPr>
        <w:t xml:space="preserve">柳春艳. 数据辅助数据辅助支持循证教育:证据生产与教学实践[J]. 兰州大学学报（社会科学版）,2025,53(2):143-151. </w:t>
      </w:r>
    </w:p>
    <w:p w14:paraId="64AD86F3">
      <w:pPr>
        <w:pStyle w:val="51"/>
        <w:spacing w:before="0" w:beforeAutospacing="0" w:after="0" w:afterAutospacing="0"/>
        <w:ind w:left="315" w:hanging="315" w:hangingChars="150"/>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4</w:t>
      </w:r>
      <w:r>
        <w:rPr>
          <w:rFonts w:ascii="Times New Roman" w:hAnsi="Times New Roman" w:cs="Times New Roman"/>
          <w:color w:val="000000" w:themeColor="text1"/>
          <w:sz w:val="21"/>
          <w:szCs w:val="21"/>
          <w14:textFill>
            <w14:solidFill>
              <w14:schemeClr w14:val="tx1"/>
            </w14:solidFill>
          </w14:textFill>
        </w:rPr>
        <w:t>] 张妮,郭治豪,杨盈图. 职业教育移动学习小程序的设计与实现[J]. 现代信息科技,2022, 6(16): 18-21.</w:t>
      </w:r>
    </w:p>
    <w:p w14:paraId="16F38CC0">
      <w:pPr>
        <w:pStyle w:val="50"/>
        <w:spacing w:before="0" w:beforeAutospacing="0" w:after="0" w:afterAutospacing="0"/>
        <w:ind w:left="315" w:hanging="315" w:hangingChars="150"/>
        <w:rPr>
          <w:rStyle w:val="52"/>
          <w:rFonts w:ascii="Times New Roman" w:hAnsi="Times New Roman" w:cs="Times New Roman"/>
          <w:color w:val="000000" w:themeColor="text1"/>
          <w:sz w:val="20"/>
          <w:szCs w:val="20"/>
          <w14:textFill>
            <w14:solidFill>
              <w14:schemeClr w14:val="tx1"/>
            </w14:solidFill>
          </w14:textFill>
        </w:rPr>
      </w:pPr>
      <w:r>
        <w:rPr>
          <w:rFonts w:hint="eastAsia" w:ascii="Times New Roman" w:hAnsi="Times New Roman" w:cs="Times New Roman"/>
          <w:color w:val="000000" w:themeColor="text1"/>
          <w:sz w:val="21"/>
          <w:szCs w:val="21"/>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5</w:t>
      </w:r>
      <w:r>
        <w:rPr>
          <w:rFonts w:hint="eastAsia" w:ascii="Times New Roman" w:hAnsi="Times New Roman" w:cs="Times New Roman"/>
          <w:color w:val="000000" w:themeColor="text1"/>
          <w:sz w:val="21"/>
          <w:szCs w:val="21"/>
          <w14:textFill>
            <w14:solidFill>
              <w14:schemeClr w14:val="tx1"/>
            </w14:solidFill>
          </w14:textFill>
        </w:rPr>
        <w:t>]</w:t>
      </w:r>
      <w:r>
        <w:rPr>
          <w:rFonts w:hint="eastAsia"/>
          <w:sz w:val="21"/>
          <w:szCs w:val="21"/>
        </w:rPr>
        <w:t xml:space="preserve"> </w:t>
      </w:r>
      <w:r>
        <w:rPr>
          <w:rFonts w:hint="eastAsia" w:ascii="Times New Roman" w:hAnsi="Times New Roman" w:cs="Times New Roman"/>
          <w:color w:val="000000" w:themeColor="text1"/>
          <w:sz w:val="21"/>
          <w:szCs w:val="21"/>
          <w14:textFill>
            <w14:solidFill>
              <w14:schemeClr w14:val="tx1"/>
            </w14:solidFill>
          </w14:textFill>
        </w:rPr>
        <w:t>Lampropoulos G ,Kinshuk. Virtual reality and gamification in education: a systematic review[J]. Educational Technology Research &amp; Development, 2024, 72(3):1691–1785.</w:t>
      </w:r>
    </w:p>
    <w:sectPr>
      <w:type w:val="continuous"/>
      <w:pgSz w:w="11906" w:h="16838"/>
      <w:pgMar w:top="2268" w:right="1418" w:bottom="2268" w:left="1418" w:header="851" w:footer="992" w:gutter="0"/>
      <w:cols w:space="425"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0030101010101"/>
    <w:charset w:val="86"/>
    <w:family w:val="auto"/>
    <w:pitch w:val="default"/>
    <w:sig w:usb0="00000001" w:usb1="080E0000" w:usb2="00000000" w:usb3="00000000" w:csb0="00040000"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ngXian">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Times New Roman Regular">
    <w:panose1 w:val="02020503050405090304"/>
    <w:charset w:val="00"/>
    <w:family w:val="auto"/>
    <w:pitch w:val="default"/>
    <w:sig w:usb0="E0000AFF" w:usb1="00007843" w:usb2="00000001" w:usb3="00000000" w:csb0="400001BF" w:csb1="DFF70000"/>
  </w:font>
  <w:font w:name="楷体">
    <w:altName w:val="汉仪楷体KW"/>
    <w:panose1 w:val="02010609060101010101"/>
    <w:charset w:val="86"/>
    <w:family w:val="modern"/>
    <w:pitch w:val="default"/>
    <w:sig w:usb0="00000000" w:usb1="00000000"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ongti SC Regular">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A555F">
    <w:pPr>
      <w:pStyle w:val="14"/>
      <w:rPr>
        <w:sz w:val="15"/>
        <w:szCs w:val="15"/>
      </w:rPr>
    </w:pPr>
    <w:r>
      <w:rPr>
        <w:rFonts w:hint="eastAsia"/>
        <w:b/>
        <w:sz w:val="15"/>
        <w:szCs w:val="15"/>
      </w:rPr>
      <w:t>收稿日期：</w:t>
    </w:r>
    <w:r>
      <w:rPr>
        <w:rFonts w:ascii="Times New Roman" w:hAnsi="Times New Roman" w:cs="Times New Roman"/>
        <w:sz w:val="15"/>
        <w:szCs w:val="15"/>
      </w:rPr>
      <w:t>2026-0</w:t>
    </w:r>
    <w:r>
      <w:rPr>
        <w:rFonts w:hint="eastAsia" w:ascii="Times New Roman" w:hAnsi="Times New Roman" w:cs="Times New Roman"/>
        <w:sz w:val="15"/>
        <w:szCs w:val="15"/>
      </w:rPr>
      <w:t>3</w:t>
    </w:r>
    <w:r>
      <w:rPr>
        <w:rFonts w:ascii="Times New Roman" w:hAnsi="Times New Roman" w:cs="Times New Roman"/>
        <w:sz w:val="15"/>
        <w:szCs w:val="15"/>
      </w:rPr>
      <w:t>-</w:t>
    </w:r>
    <w:r>
      <w:rPr>
        <w:rFonts w:hint="eastAsia" w:ascii="Times New Roman" w:hAnsi="Times New Roman" w:cs="Times New Roman"/>
        <w:sz w:val="15"/>
        <w:szCs w:val="15"/>
      </w:rPr>
      <w:t>15</w:t>
    </w:r>
  </w:p>
  <w:p w14:paraId="330CA2C3">
    <w:pPr>
      <w:autoSpaceDE w:val="0"/>
      <w:autoSpaceDN w:val="0"/>
      <w:adjustRightInd w:val="0"/>
      <w:spacing w:line="280" w:lineRule="exact"/>
      <w:ind w:left="750" w:hanging="750" w:hangingChars="500"/>
      <w:rPr>
        <w:rFonts w:ascii="宋体" w:hAnsi="宋体" w:eastAsia="宋体"/>
        <w:sz w:val="15"/>
        <w:szCs w:val="15"/>
      </w:rPr>
    </w:pPr>
    <w:r>
      <w:rPr>
        <w:rFonts w:hint="eastAsia"/>
        <w:b/>
        <w:sz w:val="15"/>
        <w:szCs w:val="15"/>
      </w:rPr>
      <w:t>基金项目：</w:t>
    </w:r>
    <w:r>
      <w:rPr>
        <w:rFonts w:hint="eastAsia" w:ascii="Times New Roman" w:hAnsi="Times New Roman" w:eastAsia="宋体" w:cs="Times New Roman"/>
        <w:sz w:val="15"/>
        <w:szCs w:val="15"/>
      </w:rPr>
      <w:t>江苏省教育科学规划重点课题</w:t>
    </w:r>
    <w:r>
      <w:rPr>
        <w:rFonts w:ascii="Times New Roman" w:hAnsi="Times New Roman" w:eastAsia="宋体" w:cs="Times New Roman"/>
        <w:sz w:val="15"/>
        <w:szCs w:val="15"/>
      </w:rPr>
      <w:t>（</w:t>
    </w:r>
    <w:r>
      <w:rPr>
        <w:rFonts w:hint="eastAsia" w:ascii="Times New Roman" w:hAnsi="Times New Roman" w:eastAsia="宋体" w:cs="Times New Roman"/>
        <w:sz w:val="15"/>
        <w:szCs w:val="15"/>
      </w:rPr>
      <w:t>B/2023/01/107</w:t>
    </w:r>
    <w:r>
      <w:rPr>
        <w:rFonts w:ascii="Times New Roman" w:hAnsi="Times New Roman" w:eastAsia="宋体" w:cs="Times New Roman"/>
        <w:sz w:val="15"/>
        <w:szCs w:val="15"/>
      </w:rPr>
      <w:t>）；</w:t>
    </w:r>
    <w:r>
      <w:rPr>
        <w:rFonts w:hint="eastAsia" w:ascii="Times New Roman" w:hAnsi="Times New Roman" w:eastAsia="宋体" w:cs="Times New Roman"/>
        <w:sz w:val="15"/>
        <w:szCs w:val="15"/>
      </w:rPr>
      <w:t>江苏省高等学校大学生创新创业训练计划项目（S202513654008）。</w:t>
    </w:r>
  </w:p>
  <w:p w14:paraId="3FED07D0">
    <w:pPr>
      <w:autoSpaceDE w:val="0"/>
      <w:autoSpaceDN w:val="0"/>
      <w:adjustRightInd w:val="0"/>
      <w:spacing w:line="280" w:lineRule="exact"/>
      <w:ind w:left="750" w:hanging="750" w:hangingChars="500"/>
      <w:rPr>
        <w:rFonts w:ascii="宋体" w:hAnsi="宋体" w:eastAsia="宋体"/>
        <w:sz w:val="15"/>
        <w:szCs w:val="15"/>
      </w:rPr>
    </w:pPr>
    <w:r>
      <w:rPr>
        <w:rFonts w:hint="eastAsia"/>
        <w:b/>
        <w:sz w:val="15"/>
        <w:szCs w:val="15"/>
      </w:rPr>
      <w:t>通信作者：</w:t>
    </w:r>
    <w:r>
      <w:rPr>
        <w:rFonts w:ascii="Times New Roman" w:hAnsi="Times New Roman" w:eastAsia="宋体" w:cs="Times New Roman"/>
        <w:sz w:val="15"/>
        <w:szCs w:val="15"/>
      </w:rPr>
      <w:t>任凯</w:t>
    </w:r>
    <w:r>
      <w:rPr>
        <w:rFonts w:hint="eastAsia" w:ascii="Times New Roman" w:hAnsi="Times New Roman" w:eastAsia="宋体" w:cs="Times New Roman"/>
        <w:sz w:val="15"/>
        <w:szCs w:val="15"/>
      </w:rPr>
      <w:t>（</w:t>
    </w:r>
    <w:r>
      <w:rPr>
        <w:rFonts w:ascii="Times New Roman" w:hAnsi="Times New Roman" w:eastAsia="宋体" w:cs="Times New Roman"/>
        <w:sz w:val="15"/>
        <w:szCs w:val="15"/>
      </w:rPr>
      <w:t>1979-</w:t>
    </w:r>
    <w:r>
      <w:rPr>
        <w:rFonts w:hint="eastAsia" w:ascii="Times New Roman" w:hAnsi="Times New Roman" w:eastAsia="宋体" w:cs="Times New Roman"/>
        <w:sz w:val="15"/>
        <w:szCs w:val="15"/>
      </w:rPr>
      <w:t>）</w:t>
    </w:r>
    <w:r>
      <w:rPr>
        <w:rFonts w:ascii="Times New Roman" w:hAnsi="Times New Roman" w:eastAsia="宋体" w:cs="Times New Roman"/>
        <w:sz w:val="15"/>
        <w:szCs w:val="15"/>
      </w:rPr>
      <w:t>，女，江苏扬州，副教授，硕士，研究方向</w:t>
    </w:r>
    <w:r>
      <w:rPr>
        <w:rFonts w:hint="eastAsia" w:ascii="Times New Roman" w:hAnsi="Times New Roman" w:eastAsia="宋体" w:cs="Times New Roman"/>
        <w:sz w:val="15"/>
        <w:szCs w:val="15"/>
      </w:rPr>
      <w:t>：</w:t>
    </w:r>
    <w:r>
      <w:rPr>
        <w:rFonts w:ascii="Times New Roman" w:hAnsi="Times New Roman" w:eastAsia="宋体" w:cs="Times New Roman"/>
        <w:sz w:val="15"/>
        <w:szCs w:val="15"/>
      </w:rPr>
      <w:t>分布式计算与数据库。</w:t>
    </w:r>
  </w:p>
  <w:p w14:paraId="69180C4F">
    <w:pPr>
      <w:pStyle w:val="14"/>
      <w:rPr>
        <w:rFonts w:hint="eastAsia"/>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1D4"/>
    <w:rsid w:val="00000D0C"/>
    <w:rsid w:val="0000484D"/>
    <w:rsid w:val="00005027"/>
    <w:rsid w:val="0001201A"/>
    <w:rsid w:val="00013354"/>
    <w:rsid w:val="00014D63"/>
    <w:rsid w:val="00030071"/>
    <w:rsid w:val="00040D99"/>
    <w:rsid w:val="00056E88"/>
    <w:rsid w:val="00057BD7"/>
    <w:rsid w:val="00070E4A"/>
    <w:rsid w:val="00072D47"/>
    <w:rsid w:val="000822EB"/>
    <w:rsid w:val="00082C33"/>
    <w:rsid w:val="00083E3E"/>
    <w:rsid w:val="00096651"/>
    <w:rsid w:val="000A1C51"/>
    <w:rsid w:val="000A1CFA"/>
    <w:rsid w:val="000C5532"/>
    <w:rsid w:val="000D1341"/>
    <w:rsid w:val="000D1C1A"/>
    <w:rsid w:val="000E4415"/>
    <w:rsid w:val="000E599A"/>
    <w:rsid w:val="000F0653"/>
    <w:rsid w:val="000F6987"/>
    <w:rsid w:val="000F6B88"/>
    <w:rsid w:val="001028DD"/>
    <w:rsid w:val="0012454A"/>
    <w:rsid w:val="00143E48"/>
    <w:rsid w:val="00145DCC"/>
    <w:rsid w:val="00145F91"/>
    <w:rsid w:val="00151DBC"/>
    <w:rsid w:val="001550B9"/>
    <w:rsid w:val="001571A3"/>
    <w:rsid w:val="001669A7"/>
    <w:rsid w:val="00166AAE"/>
    <w:rsid w:val="00171225"/>
    <w:rsid w:val="00184D74"/>
    <w:rsid w:val="00187FB6"/>
    <w:rsid w:val="00187FF3"/>
    <w:rsid w:val="00194BD2"/>
    <w:rsid w:val="00195939"/>
    <w:rsid w:val="001A3698"/>
    <w:rsid w:val="001D4DE9"/>
    <w:rsid w:val="001E4541"/>
    <w:rsid w:val="001E5F64"/>
    <w:rsid w:val="001F614A"/>
    <w:rsid w:val="00203C64"/>
    <w:rsid w:val="00206A78"/>
    <w:rsid w:val="002107E9"/>
    <w:rsid w:val="00211E3C"/>
    <w:rsid w:val="00214614"/>
    <w:rsid w:val="00226918"/>
    <w:rsid w:val="00231102"/>
    <w:rsid w:val="002365BC"/>
    <w:rsid w:val="00243B32"/>
    <w:rsid w:val="00255086"/>
    <w:rsid w:val="00256297"/>
    <w:rsid w:val="00256BA7"/>
    <w:rsid w:val="00260E6D"/>
    <w:rsid w:val="00263BE3"/>
    <w:rsid w:val="002712A2"/>
    <w:rsid w:val="0028582F"/>
    <w:rsid w:val="00292D30"/>
    <w:rsid w:val="00293294"/>
    <w:rsid w:val="002A3CE6"/>
    <w:rsid w:val="002A6248"/>
    <w:rsid w:val="002C0223"/>
    <w:rsid w:val="002C4437"/>
    <w:rsid w:val="002C6938"/>
    <w:rsid w:val="002D21AC"/>
    <w:rsid w:val="002D59CF"/>
    <w:rsid w:val="002D63D0"/>
    <w:rsid w:val="002F0367"/>
    <w:rsid w:val="002F36FF"/>
    <w:rsid w:val="00300F24"/>
    <w:rsid w:val="00301DAE"/>
    <w:rsid w:val="00307D91"/>
    <w:rsid w:val="00312A9D"/>
    <w:rsid w:val="00312F7B"/>
    <w:rsid w:val="00314019"/>
    <w:rsid w:val="0033129E"/>
    <w:rsid w:val="00344444"/>
    <w:rsid w:val="003532BA"/>
    <w:rsid w:val="00364A1E"/>
    <w:rsid w:val="003860E8"/>
    <w:rsid w:val="00395BB2"/>
    <w:rsid w:val="003970B8"/>
    <w:rsid w:val="00397A3D"/>
    <w:rsid w:val="003A2D22"/>
    <w:rsid w:val="003A3079"/>
    <w:rsid w:val="003A5AE4"/>
    <w:rsid w:val="003B1BA2"/>
    <w:rsid w:val="003B654A"/>
    <w:rsid w:val="003C036A"/>
    <w:rsid w:val="003C3BD4"/>
    <w:rsid w:val="003C4518"/>
    <w:rsid w:val="003D470E"/>
    <w:rsid w:val="003D4C05"/>
    <w:rsid w:val="003D5067"/>
    <w:rsid w:val="003E270D"/>
    <w:rsid w:val="003E5D62"/>
    <w:rsid w:val="003F6084"/>
    <w:rsid w:val="003F7370"/>
    <w:rsid w:val="00401F72"/>
    <w:rsid w:val="00403589"/>
    <w:rsid w:val="004073A9"/>
    <w:rsid w:val="00407CDF"/>
    <w:rsid w:val="004134EE"/>
    <w:rsid w:val="00414AFC"/>
    <w:rsid w:val="004176A9"/>
    <w:rsid w:val="0042176B"/>
    <w:rsid w:val="004259E5"/>
    <w:rsid w:val="00433FA2"/>
    <w:rsid w:val="00435FE6"/>
    <w:rsid w:val="004429DC"/>
    <w:rsid w:val="00450969"/>
    <w:rsid w:val="00451174"/>
    <w:rsid w:val="00462BBF"/>
    <w:rsid w:val="00466E70"/>
    <w:rsid w:val="004676EB"/>
    <w:rsid w:val="00471A4A"/>
    <w:rsid w:val="004755F9"/>
    <w:rsid w:val="00476268"/>
    <w:rsid w:val="004822F3"/>
    <w:rsid w:val="00483CC6"/>
    <w:rsid w:val="00490CEC"/>
    <w:rsid w:val="004A2883"/>
    <w:rsid w:val="004A31A3"/>
    <w:rsid w:val="004A6EA1"/>
    <w:rsid w:val="004B29A0"/>
    <w:rsid w:val="004C5130"/>
    <w:rsid w:val="004D6485"/>
    <w:rsid w:val="004E0A0E"/>
    <w:rsid w:val="004E0AE3"/>
    <w:rsid w:val="004E32DD"/>
    <w:rsid w:val="004E6301"/>
    <w:rsid w:val="004E7164"/>
    <w:rsid w:val="004F2890"/>
    <w:rsid w:val="004F2B11"/>
    <w:rsid w:val="004F40AB"/>
    <w:rsid w:val="004F5B9A"/>
    <w:rsid w:val="004F5DD6"/>
    <w:rsid w:val="00503EA0"/>
    <w:rsid w:val="00504FD0"/>
    <w:rsid w:val="0050568B"/>
    <w:rsid w:val="0053397A"/>
    <w:rsid w:val="00542D54"/>
    <w:rsid w:val="00544515"/>
    <w:rsid w:val="00546932"/>
    <w:rsid w:val="00546CE8"/>
    <w:rsid w:val="00554C6F"/>
    <w:rsid w:val="00556D85"/>
    <w:rsid w:val="00570CE5"/>
    <w:rsid w:val="0057371C"/>
    <w:rsid w:val="00575A32"/>
    <w:rsid w:val="00577AED"/>
    <w:rsid w:val="0058251D"/>
    <w:rsid w:val="005F178E"/>
    <w:rsid w:val="00611EFB"/>
    <w:rsid w:val="006143A3"/>
    <w:rsid w:val="0061755D"/>
    <w:rsid w:val="0062122E"/>
    <w:rsid w:val="00634FB1"/>
    <w:rsid w:val="006350C3"/>
    <w:rsid w:val="00636AFB"/>
    <w:rsid w:val="006376F3"/>
    <w:rsid w:val="00646757"/>
    <w:rsid w:val="00652E22"/>
    <w:rsid w:val="00660703"/>
    <w:rsid w:val="00670A15"/>
    <w:rsid w:val="00672315"/>
    <w:rsid w:val="0067417B"/>
    <w:rsid w:val="00675784"/>
    <w:rsid w:val="00675867"/>
    <w:rsid w:val="00684238"/>
    <w:rsid w:val="006944DA"/>
    <w:rsid w:val="00694718"/>
    <w:rsid w:val="0069675E"/>
    <w:rsid w:val="00696C0D"/>
    <w:rsid w:val="006979F6"/>
    <w:rsid w:val="006A3138"/>
    <w:rsid w:val="006A50BA"/>
    <w:rsid w:val="006B2B9A"/>
    <w:rsid w:val="006C495E"/>
    <w:rsid w:val="006D12CC"/>
    <w:rsid w:val="006E0C1B"/>
    <w:rsid w:val="006E22D8"/>
    <w:rsid w:val="006F01C6"/>
    <w:rsid w:val="006F343D"/>
    <w:rsid w:val="006F3652"/>
    <w:rsid w:val="00700914"/>
    <w:rsid w:val="00710CD7"/>
    <w:rsid w:val="00716F43"/>
    <w:rsid w:val="00732789"/>
    <w:rsid w:val="00736D23"/>
    <w:rsid w:val="00743F23"/>
    <w:rsid w:val="007461F6"/>
    <w:rsid w:val="00750033"/>
    <w:rsid w:val="00774649"/>
    <w:rsid w:val="00774C32"/>
    <w:rsid w:val="00787A36"/>
    <w:rsid w:val="0079390E"/>
    <w:rsid w:val="007C0C0B"/>
    <w:rsid w:val="007C2167"/>
    <w:rsid w:val="007C48B8"/>
    <w:rsid w:val="007C63D8"/>
    <w:rsid w:val="007F21D4"/>
    <w:rsid w:val="007F333E"/>
    <w:rsid w:val="007F48DB"/>
    <w:rsid w:val="007F69C0"/>
    <w:rsid w:val="00804DB7"/>
    <w:rsid w:val="00817029"/>
    <w:rsid w:val="00821D34"/>
    <w:rsid w:val="00837B29"/>
    <w:rsid w:val="00840653"/>
    <w:rsid w:val="00843C4C"/>
    <w:rsid w:val="00845DAE"/>
    <w:rsid w:val="0085466B"/>
    <w:rsid w:val="008601E5"/>
    <w:rsid w:val="00871A40"/>
    <w:rsid w:val="008946DB"/>
    <w:rsid w:val="008B1184"/>
    <w:rsid w:val="008C0938"/>
    <w:rsid w:val="008C63BD"/>
    <w:rsid w:val="008C7830"/>
    <w:rsid w:val="008D65E8"/>
    <w:rsid w:val="008E583B"/>
    <w:rsid w:val="008E653A"/>
    <w:rsid w:val="008E6C9A"/>
    <w:rsid w:val="008E7DFD"/>
    <w:rsid w:val="008F199A"/>
    <w:rsid w:val="0090613B"/>
    <w:rsid w:val="00912011"/>
    <w:rsid w:val="00913D39"/>
    <w:rsid w:val="00921398"/>
    <w:rsid w:val="009261A6"/>
    <w:rsid w:val="009264F8"/>
    <w:rsid w:val="00932BDA"/>
    <w:rsid w:val="00940795"/>
    <w:rsid w:val="00941C04"/>
    <w:rsid w:val="00955912"/>
    <w:rsid w:val="00972C02"/>
    <w:rsid w:val="00976CE7"/>
    <w:rsid w:val="0097713B"/>
    <w:rsid w:val="0098068F"/>
    <w:rsid w:val="0099146F"/>
    <w:rsid w:val="009C1BC4"/>
    <w:rsid w:val="009E6935"/>
    <w:rsid w:val="009E712B"/>
    <w:rsid w:val="009F397B"/>
    <w:rsid w:val="00A01DAD"/>
    <w:rsid w:val="00A02A5E"/>
    <w:rsid w:val="00A048CF"/>
    <w:rsid w:val="00A0633D"/>
    <w:rsid w:val="00A157B3"/>
    <w:rsid w:val="00A23F02"/>
    <w:rsid w:val="00A25FD1"/>
    <w:rsid w:val="00A273EC"/>
    <w:rsid w:val="00A35A78"/>
    <w:rsid w:val="00A4161E"/>
    <w:rsid w:val="00A44763"/>
    <w:rsid w:val="00A51DA0"/>
    <w:rsid w:val="00A5558A"/>
    <w:rsid w:val="00A71890"/>
    <w:rsid w:val="00A917D1"/>
    <w:rsid w:val="00A94EFE"/>
    <w:rsid w:val="00AA1992"/>
    <w:rsid w:val="00AB0D20"/>
    <w:rsid w:val="00AB3D00"/>
    <w:rsid w:val="00AB76C6"/>
    <w:rsid w:val="00AC2EA0"/>
    <w:rsid w:val="00AD288E"/>
    <w:rsid w:val="00AD4316"/>
    <w:rsid w:val="00AE14C4"/>
    <w:rsid w:val="00AE42F2"/>
    <w:rsid w:val="00AE75F3"/>
    <w:rsid w:val="00AE7EB9"/>
    <w:rsid w:val="00AF13D6"/>
    <w:rsid w:val="00B2525A"/>
    <w:rsid w:val="00B27664"/>
    <w:rsid w:val="00B27B48"/>
    <w:rsid w:val="00B311AE"/>
    <w:rsid w:val="00B32AEF"/>
    <w:rsid w:val="00B3342D"/>
    <w:rsid w:val="00B363B0"/>
    <w:rsid w:val="00B37DAD"/>
    <w:rsid w:val="00B4271D"/>
    <w:rsid w:val="00B441F9"/>
    <w:rsid w:val="00B45221"/>
    <w:rsid w:val="00B455AC"/>
    <w:rsid w:val="00B50748"/>
    <w:rsid w:val="00B64CB7"/>
    <w:rsid w:val="00B8042B"/>
    <w:rsid w:val="00B82842"/>
    <w:rsid w:val="00B9510F"/>
    <w:rsid w:val="00BA7187"/>
    <w:rsid w:val="00BB7E21"/>
    <w:rsid w:val="00BC20F0"/>
    <w:rsid w:val="00BE48DF"/>
    <w:rsid w:val="00BF43F9"/>
    <w:rsid w:val="00C02201"/>
    <w:rsid w:val="00C13C85"/>
    <w:rsid w:val="00C24B58"/>
    <w:rsid w:val="00C35571"/>
    <w:rsid w:val="00C40F30"/>
    <w:rsid w:val="00C420BD"/>
    <w:rsid w:val="00C43875"/>
    <w:rsid w:val="00C448E8"/>
    <w:rsid w:val="00C51FEE"/>
    <w:rsid w:val="00C56781"/>
    <w:rsid w:val="00C74951"/>
    <w:rsid w:val="00C83D3F"/>
    <w:rsid w:val="00C83FDC"/>
    <w:rsid w:val="00CA3F16"/>
    <w:rsid w:val="00CA7629"/>
    <w:rsid w:val="00CB21A0"/>
    <w:rsid w:val="00CC522D"/>
    <w:rsid w:val="00CC60AE"/>
    <w:rsid w:val="00CD3B07"/>
    <w:rsid w:val="00CD7A74"/>
    <w:rsid w:val="00CE11FD"/>
    <w:rsid w:val="00CE531D"/>
    <w:rsid w:val="00CE73A9"/>
    <w:rsid w:val="00CF23D9"/>
    <w:rsid w:val="00CF7924"/>
    <w:rsid w:val="00D01465"/>
    <w:rsid w:val="00D02E81"/>
    <w:rsid w:val="00D03650"/>
    <w:rsid w:val="00D1241E"/>
    <w:rsid w:val="00D2558F"/>
    <w:rsid w:val="00D260FF"/>
    <w:rsid w:val="00D26358"/>
    <w:rsid w:val="00D26399"/>
    <w:rsid w:val="00D40821"/>
    <w:rsid w:val="00D420BC"/>
    <w:rsid w:val="00D42CC3"/>
    <w:rsid w:val="00D439EE"/>
    <w:rsid w:val="00D4615F"/>
    <w:rsid w:val="00D53395"/>
    <w:rsid w:val="00D6084F"/>
    <w:rsid w:val="00D81E87"/>
    <w:rsid w:val="00D92377"/>
    <w:rsid w:val="00D95195"/>
    <w:rsid w:val="00DB52E2"/>
    <w:rsid w:val="00DD634A"/>
    <w:rsid w:val="00DE46FF"/>
    <w:rsid w:val="00DF5807"/>
    <w:rsid w:val="00E03507"/>
    <w:rsid w:val="00E10C5B"/>
    <w:rsid w:val="00E141A4"/>
    <w:rsid w:val="00E17D81"/>
    <w:rsid w:val="00E21B59"/>
    <w:rsid w:val="00E23CF4"/>
    <w:rsid w:val="00E262D9"/>
    <w:rsid w:val="00E37D38"/>
    <w:rsid w:val="00E44317"/>
    <w:rsid w:val="00E454E9"/>
    <w:rsid w:val="00E47475"/>
    <w:rsid w:val="00E52D7E"/>
    <w:rsid w:val="00E56E36"/>
    <w:rsid w:val="00E57A05"/>
    <w:rsid w:val="00E61124"/>
    <w:rsid w:val="00E6319A"/>
    <w:rsid w:val="00E705CD"/>
    <w:rsid w:val="00E769A8"/>
    <w:rsid w:val="00E91036"/>
    <w:rsid w:val="00EA4572"/>
    <w:rsid w:val="00EB0660"/>
    <w:rsid w:val="00EC3363"/>
    <w:rsid w:val="00ED34DF"/>
    <w:rsid w:val="00ED5B6E"/>
    <w:rsid w:val="00EE56EA"/>
    <w:rsid w:val="00EF23B9"/>
    <w:rsid w:val="00F04F36"/>
    <w:rsid w:val="00F22345"/>
    <w:rsid w:val="00F23783"/>
    <w:rsid w:val="00F30866"/>
    <w:rsid w:val="00F342E7"/>
    <w:rsid w:val="00F3535B"/>
    <w:rsid w:val="00F35B8B"/>
    <w:rsid w:val="00F44C3F"/>
    <w:rsid w:val="00F5575B"/>
    <w:rsid w:val="00F56BA1"/>
    <w:rsid w:val="00F61746"/>
    <w:rsid w:val="00F63462"/>
    <w:rsid w:val="00F80895"/>
    <w:rsid w:val="00F85811"/>
    <w:rsid w:val="00F87F6F"/>
    <w:rsid w:val="00FA2934"/>
    <w:rsid w:val="00FA2AA1"/>
    <w:rsid w:val="00FA4284"/>
    <w:rsid w:val="00FB01E0"/>
    <w:rsid w:val="00FB530F"/>
    <w:rsid w:val="00FB6B0E"/>
    <w:rsid w:val="00FC268A"/>
    <w:rsid w:val="00FC679A"/>
    <w:rsid w:val="00FE2199"/>
    <w:rsid w:val="4B7F03DF"/>
    <w:rsid w:val="5EFD1674"/>
    <w:rsid w:val="7BE5C4A8"/>
    <w:rsid w:val="7D74C77F"/>
    <w:rsid w:val="7EED72D3"/>
    <w:rsid w:val="7F3F74D8"/>
    <w:rsid w:val="7F990AF0"/>
    <w:rsid w:val="7FDD13AF"/>
    <w:rsid w:val="DF5D844F"/>
    <w:rsid w:val="DFDD9F45"/>
    <w:rsid w:val="F67FF82B"/>
    <w:rsid w:val="F6EDF063"/>
    <w:rsid w:val="FD574BAF"/>
    <w:rsid w:val="FDFD4EAF"/>
    <w:rsid w:val="FFC7F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DengXian" w:hAnsi="DengXian" w:eastAsia="DengXi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7"/>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3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semiHidden/>
    <w:unhideWhenUsed/>
    <w:uiPriority w:val="1"/>
  </w:style>
  <w:style w:type="table" w:default="1" w:styleId="20">
    <w:name w:val="Normal Table"/>
    <w:semiHidden/>
    <w:unhideWhenUsed/>
    <w:uiPriority w:val="99"/>
    <w:pPr>
      <w:keepNext w:val="0"/>
      <w:keepLines w:val="0"/>
      <w:widowControl/>
      <w:suppressLineNumbers w:val="0"/>
      <w:spacing w:before="0" w:beforeAutospacing="0" w:after="0" w:afterAutospacing="0"/>
      <w:ind w:left="0" w:right="0"/>
    </w:pPr>
    <w:rPr>
      <w:rFonts w:hint="eastAsia" w:ascii="DengXian" w:hAnsi="DengXian" w:eastAsia="DengXian" w:cs="DengXian"/>
      <w:kern w:val="2"/>
      <w:sz w:val="21"/>
      <w:szCs w:val="22"/>
    </w:rPr>
    <w:tblPr>
      <w:tblCellMar>
        <w:top w:w="0" w:type="dxa"/>
        <w:left w:w="108" w:type="dxa"/>
        <w:bottom w:w="0" w:type="dxa"/>
        <w:right w:w="108" w:type="dxa"/>
      </w:tblCellMar>
    </w:tblPr>
  </w:style>
  <w:style w:type="paragraph" w:styleId="11">
    <w:name w:val="Normal Indent"/>
    <w:basedOn w:val="1"/>
    <w:uiPriority w:val="0"/>
    <w:pPr>
      <w:widowControl/>
      <w:spacing w:before="100" w:beforeAutospacing="1" w:after="100" w:afterAutospacing="1"/>
      <w:jc w:val="left"/>
    </w:pPr>
    <w:rPr>
      <w:rFonts w:ascii="宋体" w:hAnsi="宋体" w:eastAsia="宋体" w:cs="宋体"/>
      <w:kern w:val="0"/>
      <w:sz w:val="24"/>
      <w:szCs w:val="24"/>
      <w14:ligatures w14:val="none"/>
    </w:rPr>
  </w:style>
  <w:style w:type="paragraph" w:styleId="12">
    <w:name w:val="Body Text Indent"/>
    <w:basedOn w:val="1"/>
    <w:link w:val="55"/>
    <w:uiPriority w:val="0"/>
    <w:pPr>
      <w:widowControl/>
      <w:spacing w:before="100" w:beforeAutospacing="1" w:after="100" w:afterAutospacing="1"/>
      <w:jc w:val="left"/>
    </w:pPr>
    <w:rPr>
      <w:rFonts w:ascii="宋体" w:hAnsi="宋体" w:eastAsia="宋体" w:cs="宋体"/>
      <w:kern w:val="0"/>
      <w:sz w:val="24"/>
      <w:szCs w:val="24"/>
      <w14:ligatures w14:val="none"/>
    </w:rPr>
  </w:style>
  <w:style w:type="paragraph" w:styleId="13">
    <w:name w:val="Date"/>
    <w:basedOn w:val="1"/>
    <w:next w:val="1"/>
    <w:link w:val="47"/>
    <w:semiHidden/>
    <w:unhideWhenUsed/>
    <w:uiPriority w:val="99"/>
    <w:pPr>
      <w:ind w:left="100" w:leftChars="2500"/>
    </w:pPr>
  </w:style>
  <w:style w:type="paragraph" w:styleId="14">
    <w:name w:val="footer"/>
    <w:basedOn w:val="1"/>
    <w:link w:val="44"/>
    <w:unhideWhenUsed/>
    <w:uiPriority w:val="99"/>
    <w:pPr>
      <w:tabs>
        <w:tab w:val="center" w:pos="4153"/>
        <w:tab w:val="right" w:pos="8306"/>
      </w:tabs>
      <w:snapToGrid w:val="0"/>
      <w:jc w:val="left"/>
    </w:pPr>
    <w:rPr>
      <w:sz w:val="18"/>
      <w:szCs w:val="18"/>
    </w:rPr>
  </w:style>
  <w:style w:type="paragraph" w:styleId="15">
    <w:name w:val="header"/>
    <w:basedOn w:val="1"/>
    <w:link w:val="43"/>
    <w:unhideWhenUsed/>
    <w:uiPriority w:val="99"/>
    <w:pPr>
      <w:tabs>
        <w:tab w:val="center" w:pos="4153"/>
        <w:tab w:val="right" w:pos="8306"/>
      </w:tabs>
      <w:snapToGrid w:val="0"/>
      <w:jc w:val="center"/>
    </w:pPr>
    <w:rPr>
      <w:sz w:val="18"/>
      <w:szCs w:val="18"/>
    </w:rPr>
  </w:style>
  <w:style w:type="paragraph" w:styleId="16">
    <w:name w:val="Subtitle"/>
    <w:basedOn w:val="1"/>
    <w:next w:val="1"/>
    <w:link w:val="3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footnote text"/>
    <w:basedOn w:val="1"/>
    <w:link w:val="56"/>
    <w:semiHidden/>
    <w:unhideWhenUsed/>
    <w:uiPriority w:val="99"/>
    <w:pPr>
      <w:snapToGrid w:val="0"/>
      <w:jc w:val="left"/>
    </w:pPr>
    <w:rPr>
      <w:sz w:val="18"/>
      <w:szCs w:val="18"/>
    </w:rPr>
  </w:style>
  <w:style w:type="paragraph" w:styleId="18">
    <w:name w:val="Normal (Web)"/>
    <w:basedOn w:val="1"/>
    <w:semiHidden/>
    <w:unhideWhenUsed/>
    <w:uiPriority w:val="99"/>
    <w:rPr>
      <w:sz w:val="24"/>
    </w:rPr>
  </w:style>
  <w:style w:type="paragraph" w:styleId="19">
    <w:name w:val="Title"/>
    <w:basedOn w:val="1"/>
    <w:next w:val="1"/>
    <w:link w:val="34"/>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1">
    <w:name w:val="Table Grid"/>
    <w:basedOn w:val="2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uiPriority w:val="99"/>
    <w:rPr>
      <w:color w:val="467886" w:themeColor="hyperlink"/>
      <w:u w:val="single"/>
      <w14:textFill>
        <w14:solidFill>
          <w14:schemeClr w14:val="hlink"/>
        </w14:solidFill>
      </w14:textFill>
    </w:rPr>
  </w:style>
  <w:style w:type="character" w:styleId="24">
    <w:name w:val="footnote reference"/>
    <w:basedOn w:val="22"/>
    <w:semiHidden/>
    <w:unhideWhenUsed/>
    <w:uiPriority w:val="99"/>
    <w:rPr>
      <w:vertAlign w:val="superscript"/>
    </w:rPr>
  </w:style>
  <w:style w:type="character" w:customStyle="1" w:styleId="25">
    <w:name w:val="标题 1 字符"/>
    <w:basedOn w:val="22"/>
    <w:link w:val="2"/>
    <w:uiPriority w:val="9"/>
    <w:rPr>
      <w:rFonts w:asciiTheme="majorHAnsi" w:hAnsiTheme="majorHAnsi" w:eastAsiaTheme="majorEastAsia" w:cstheme="majorBidi"/>
      <w:color w:val="104862" w:themeColor="accent1" w:themeShade="BF"/>
      <w:sz w:val="48"/>
      <w:szCs w:val="48"/>
    </w:rPr>
  </w:style>
  <w:style w:type="character" w:customStyle="1" w:styleId="26">
    <w:name w:val="标题 2 字符"/>
    <w:basedOn w:val="22"/>
    <w:link w:val="3"/>
    <w:uiPriority w:val="9"/>
    <w:rPr>
      <w:rFonts w:asciiTheme="majorHAnsi" w:hAnsiTheme="majorHAnsi" w:eastAsiaTheme="majorEastAsia" w:cstheme="majorBidi"/>
      <w:color w:val="104862" w:themeColor="accent1" w:themeShade="BF"/>
      <w:sz w:val="40"/>
      <w:szCs w:val="40"/>
    </w:rPr>
  </w:style>
  <w:style w:type="character" w:customStyle="1" w:styleId="27">
    <w:name w:val="标题 3 字符"/>
    <w:basedOn w:val="22"/>
    <w:link w:val="4"/>
    <w:uiPriority w:val="9"/>
    <w:rPr>
      <w:rFonts w:asciiTheme="majorHAnsi" w:hAnsiTheme="majorHAnsi" w:eastAsiaTheme="majorEastAsia" w:cstheme="majorBidi"/>
      <w:color w:val="104862" w:themeColor="accent1" w:themeShade="BF"/>
      <w:sz w:val="32"/>
      <w:szCs w:val="32"/>
    </w:rPr>
  </w:style>
  <w:style w:type="character" w:customStyle="1" w:styleId="28">
    <w:name w:val="标题 4 字符"/>
    <w:basedOn w:val="22"/>
    <w:link w:val="5"/>
    <w:semiHidden/>
    <w:uiPriority w:val="9"/>
    <w:rPr>
      <w:rFonts w:cstheme="majorBidi"/>
      <w:color w:val="104862" w:themeColor="accent1" w:themeShade="BF"/>
      <w:sz w:val="28"/>
      <w:szCs w:val="28"/>
    </w:rPr>
  </w:style>
  <w:style w:type="character" w:customStyle="1" w:styleId="29">
    <w:name w:val="标题 5 字符"/>
    <w:basedOn w:val="22"/>
    <w:link w:val="6"/>
    <w:semiHidden/>
    <w:uiPriority w:val="9"/>
    <w:rPr>
      <w:rFonts w:cstheme="majorBidi"/>
      <w:color w:val="104862" w:themeColor="accent1" w:themeShade="BF"/>
      <w:sz w:val="24"/>
      <w:szCs w:val="24"/>
    </w:rPr>
  </w:style>
  <w:style w:type="character" w:customStyle="1" w:styleId="30">
    <w:name w:val="标题 6 字符"/>
    <w:basedOn w:val="22"/>
    <w:link w:val="7"/>
    <w:semiHidden/>
    <w:uiPriority w:val="9"/>
    <w:rPr>
      <w:rFonts w:cstheme="majorBidi"/>
      <w:b/>
      <w:bCs/>
      <w:color w:val="104862" w:themeColor="accent1" w:themeShade="BF"/>
    </w:rPr>
  </w:style>
  <w:style w:type="character" w:customStyle="1" w:styleId="31">
    <w:name w:val="标题 7 字符"/>
    <w:basedOn w:val="22"/>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2"/>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2"/>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22"/>
    <w:link w:val="19"/>
    <w:uiPriority w:val="10"/>
    <w:rPr>
      <w:rFonts w:asciiTheme="majorHAnsi" w:hAnsiTheme="majorHAnsi" w:eastAsiaTheme="majorEastAsia" w:cstheme="majorBidi"/>
      <w:spacing w:val="-10"/>
      <w:kern w:val="28"/>
      <w:sz w:val="56"/>
      <w:szCs w:val="56"/>
    </w:rPr>
  </w:style>
  <w:style w:type="character" w:customStyle="1" w:styleId="35">
    <w:name w:val="副标题 字符"/>
    <w:basedOn w:val="22"/>
    <w:link w:val="16"/>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22"/>
    <w:link w:val="36"/>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明显强调1"/>
    <w:basedOn w:val="22"/>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明显引用 字符"/>
    <w:basedOn w:val="22"/>
    <w:link w:val="40"/>
    <w:uiPriority w:val="30"/>
    <w:rPr>
      <w:i/>
      <w:iCs/>
      <w:color w:val="104862" w:themeColor="accent1" w:themeShade="BF"/>
    </w:rPr>
  </w:style>
  <w:style w:type="character" w:customStyle="1" w:styleId="42">
    <w:name w:val="明显参考1"/>
    <w:basedOn w:val="22"/>
    <w:qFormat/>
    <w:uiPriority w:val="32"/>
    <w:rPr>
      <w:b/>
      <w:bCs/>
      <w:smallCaps/>
      <w:color w:val="104862" w:themeColor="accent1" w:themeShade="BF"/>
      <w:spacing w:val="5"/>
    </w:rPr>
  </w:style>
  <w:style w:type="character" w:customStyle="1" w:styleId="43">
    <w:name w:val="页眉 字符"/>
    <w:basedOn w:val="22"/>
    <w:link w:val="15"/>
    <w:uiPriority w:val="99"/>
    <w:rPr>
      <w:sz w:val="18"/>
      <w:szCs w:val="18"/>
    </w:rPr>
  </w:style>
  <w:style w:type="character" w:customStyle="1" w:styleId="44">
    <w:name w:val="页脚 字符"/>
    <w:basedOn w:val="22"/>
    <w:link w:val="14"/>
    <w:uiPriority w:val="99"/>
    <w:rPr>
      <w:sz w:val="18"/>
      <w:szCs w:val="18"/>
    </w:rPr>
  </w:style>
  <w:style w:type="character" w:customStyle="1" w:styleId="45">
    <w:name w:val="未处理的提及1"/>
    <w:basedOn w:val="22"/>
    <w:semiHidden/>
    <w:unhideWhenUsed/>
    <w:uiPriority w:val="99"/>
    <w:rPr>
      <w:color w:val="605E5C"/>
      <w:shd w:val="clear" w:color="auto" w:fill="E1DFDD"/>
    </w:rPr>
  </w:style>
  <w:style w:type="table" w:customStyle="1" w:styleId="46">
    <w:name w:val="网格型浅色1"/>
    <w:basedOn w:val="20"/>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47">
    <w:name w:val="日期 字符"/>
    <w:basedOn w:val="22"/>
    <w:link w:val="13"/>
    <w:semiHidden/>
    <w:uiPriority w:val="99"/>
  </w:style>
  <w:style w:type="paragraph" w:customStyle="1" w:styleId="48">
    <w:name w:val="p1"/>
    <w:basedOn w:val="1"/>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49">
    <w:name w:val="s1"/>
    <w:basedOn w:val="22"/>
    <w:uiPriority w:val="0"/>
  </w:style>
  <w:style w:type="paragraph" w:customStyle="1" w:styleId="50">
    <w:name w:val="p2"/>
    <w:basedOn w:val="1"/>
    <w:uiPriority w:val="0"/>
    <w:pPr>
      <w:widowControl/>
      <w:spacing w:before="100" w:beforeAutospacing="1" w:after="100" w:afterAutospacing="1"/>
      <w:jc w:val="left"/>
    </w:pPr>
    <w:rPr>
      <w:rFonts w:ascii="宋体" w:hAnsi="宋体" w:eastAsia="宋体" w:cs="宋体"/>
      <w:kern w:val="0"/>
      <w:sz w:val="24"/>
      <w:szCs w:val="24"/>
      <w14:ligatures w14:val="none"/>
    </w:rPr>
  </w:style>
  <w:style w:type="paragraph" w:customStyle="1" w:styleId="51">
    <w:name w:val="p3"/>
    <w:basedOn w:val="1"/>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52">
    <w:name w:val="s2"/>
    <w:basedOn w:val="22"/>
    <w:uiPriority w:val="0"/>
  </w:style>
  <w:style w:type="paragraph" w:customStyle="1" w:styleId="53">
    <w:name w:val="修订1"/>
    <w:hidden/>
    <w:semiHidden/>
    <w:uiPriority w:val="99"/>
    <w:rPr>
      <w:rFonts w:asciiTheme="minorHAnsi" w:hAnsiTheme="minorHAnsi" w:eastAsiaTheme="minorEastAsia" w:cstheme="minorBidi"/>
      <w:kern w:val="2"/>
      <w:sz w:val="21"/>
      <w:szCs w:val="22"/>
      <w:lang w:val="en-US" w:eastAsia="zh-CN" w:bidi="ar-SA"/>
      <w14:ligatures w14:val="standardContextual"/>
    </w:rPr>
  </w:style>
  <w:style w:type="character" w:styleId="54">
    <w:name w:val="Placeholder Text"/>
    <w:basedOn w:val="22"/>
    <w:semiHidden/>
    <w:uiPriority w:val="99"/>
    <w:rPr>
      <w:color w:val="666666"/>
    </w:rPr>
  </w:style>
  <w:style w:type="character" w:customStyle="1" w:styleId="55">
    <w:name w:val="正文文本缩进 字符"/>
    <w:basedOn w:val="22"/>
    <w:link w:val="12"/>
    <w:uiPriority w:val="0"/>
    <w:rPr>
      <w:rFonts w:ascii="宋体" w:hAnsi="宋体" w:eastAsia="宋体" w:cs="宋体"/>
      <w:kern w:val="0"/>
      <w:sz w:val="24"/>
      <w:szCs w:val="24"/>
      <w14:ligatures w14:val="none"/>
    </w:rPr>
  </w:style>
  <w:style w:type="character" w:customStyle="1" w:styleId="56">
    <w:name w:val="脚注文本 字符"/>
    <w:basedOn w:val="22"/>
    <w:link w:val="17"/>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package" Target="embeddings/Microsoft_Visio___2.vsdx"/><Relationship Id="rId8" Type="http://schemas.openxmlformats.org/officeDocument/2006/relationships/image" Target="media/image2.emf"/><Relationship Id="rId7" Type="http://schemas.openxmlformats.org/officeDocument/2006/relationships/package" Target="embeddings/Microsoft_Visio___1.vsdx"/><Relationship Id="rId6" Type="http://schemas.openxmlformats.org/officeDocument/2006/relationships/image" Target="media/image1.e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emf"/><Relationship Id="rId1" Type="http://schemas.openxmlformats.org/officeDocument/2006/relationships/styles" Target="styles.xml"/><Relationship Id="rId16" Type="http://schemas.openxmlformats.org/officeDocument/2006/relationships/header" Target="header1.xml"/><Relationship Id="rId17" Type="http://schemas.openxmlformats.org/officeDocument/2006/relationships/footer" Target="footer2.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33F41643-3B7D-41C3-99C2-4C5896DB2021}">
  <ds:schemaRefs/>
</ds:datastoreItem>
</file>

<file path=docProps/app.xml><?xml version="1.0" encoding="utf-8"?>
<Properties xmlns="http://schemas.openxmlformats.org/officeDocument/2006/extended-properties" xmlns:vt="http://schemas.openxmlformats.org/officeDocument/2006/docPropsVTypes">
  <Template>Normal.dotm</Template>
  <Pages>4</Pages>
  <Words>1591</Words>
  <Characters>9069</Characters>
  <Lines>75</Lines>
  <Paragraphs>21</Paragraphs>
  <TotalTime>6</TotalTime>
  <ScaleCrop>false</ScaleCrop>
  <LinksUpToDate>false</LinksUpToDate>
  <CharactersWithSpaces>10639</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2026-03-05T21:13:00Z</dcterms:created>
  <dc:creator>子霖 崔</dc:creator>
  <cp:lastModifiedBy>任凯</cp:lastModifiedBy>
  <dcterms:modified xsi:type="dcterms:W3CDTF">2026-03-17T18:16:44Z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54AFD6CB1BA81066EE84B66998C5D99E_42</vt:lpwstr>
  </property>
</Properties>
</file>