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BDEE" w14:textId="71959E33" w:rsidR="00581809" w:rsidRPr="008E7CC1" w:rsidRDefault="00EB3D78" w:rsidP="00EB3D78">
      <w:pPr>
        <w:jc w:val="left"/>
        <w:rPr>
          <w:szCs w:val="28"/>
        </w:rPr>
      </w:pPr>
      <w:r w:rsidRPr="008E7CC1">
        <w:rPr>
          <w:szCs w:val="28"/>
        </w:rPr>
        <w:t>Prowadzący:</w:t>
      </w:r>
    </w:p>
    <w:p w14:paraId="27B9F7FA" w14:textId="09C8D031" w:rsidR="008E7CC1" w:rsidRPr="008E7CC1" w:rsidRDefault="008E7CC1" w:rsidP="00EB3D78">
      <w:pPr>
        <w:jc w:val="left"/>
        <w:rPr>
          <w:szCs w:val="28"/>
        </w:rPr>
      </w:pPr>
      <w:r w:rsidRPr="008E7CC1">
        <w:rPr>
          <w:szCs w:val="28"/>
        </w:rPr>
        <w:t>Dr inż. Mateusz Żbikowski</w:t>
      </w:r>
    </w:p>
    <w:p w14:paraId="57C63117" w14:textId="77777777" w:rsidR="00A451AE" w:rsidRDefault="00A451AE" w:rsidP="00581809">
      <w:pPr>
        <w:jc w:val="center"/>
        <w:rPr>
          <w:sz w:val="36"/>
          <w:szCs w:val="36"/>
        </w:rPr>
      </w:pPr>
    </w:p>
    <w:p w14:paraId="5ACA13F9" w14:textId="77777777" w:rsidR="00581809" w:rsidRDefault="00581809" w:rsidP="00581809">
      <w:pPr>
        <w:rPr>
          <w:sz w:val="36"/>
          <w:szCs w:val="36"/>
        </w:rPr>
      </w:pPr>
    </w:p>
    <w:p w14:paraId="156D205C" w14:textId="77777777" w:rsidR="00581809" w:rsidRDefault="00581809" w:rsidP="00581809">
      <w:pPr>
        <w:jc w:val="center"/>
        <w:rPr>
          <w:sz w:val="36"/>
          <w:szCs w:val="36"/>
        </w:rPr>
      </w:pPr>
    </w:p>
    <w:p w14:paraId="167F284A" w14:textId="03948F95" w:rsidR="00581809" w:rsidRDefault="001473ED" w:rsidP="00581809">
      <w:pPr>
        <w:pStyle w:val="Tytu"/>
        <w:jc w:val="center"/>
      </w:pPr>
      <w:r>
        <w:t>Metody Komputerowe w Spalaniu</w:t>
      </w:r>
    </w:p>
    <w:p w14:paraId="27396192" w14:textId="77777777" w:rsidR="00581809" w:rsidRDefault="00581809" w:rsidP="00581809">
      <w:pPr>
        <w:rPr>
          <w:sz w:val="40"/>
          <w:szCs w:val="40"/>
        </w:rPr>
      </w:pPr>
    </w:p>
    <w:p w14:paraId="5F60EAD7" w14:textId="2C7DD267" w:rsidR="00581809" w:rsidRDefault="00581809" w:rsidP="00581809">
      <w:pPr>
        <w:pStyle w:val="Podtytu"/>
        <w:jc w:val="center"/>
      </w:pPr>
      <w:r>
        <w:t>Po</w:t>
      </w:r>
      <w:r w:rsidR="005543B6">
        <w:t>równanie</w:t>
      </w:r>
      <w:r>
        <w:t xml:space="preserve"> </w:t>
      </w:r>
      <w:r w:rsidR="005543B6">
        <w:t>temperatury oraz ciśnienia samozapłonu różnych mieszanek</w:t>
      </w:r>
      <w:r w:rsidR="00B7714C">
        <w:t xml:space="preserve"> palnych</w:t>
      </w:r>
    </w:p>
    <w:p w14:paraId="241E1AEA" w14:textId="77777777" w:rsidR="00581809" w:rsidRDefault="00581809" w:rsidP="00581809">
      <w:pPr>
        <w:jc w:val="center"/>
        <w:rPr>
          <w:sz w:val="40"/>
          <w:szCs w:val="40"/>
        </w:rPr>
      </w:pPr>
    </w:p>
    <w:p w14:paraId="31FB508F" w14:textId="795184CB" w:rsidR="00581809" w:rsidRDefault="00B7714C" w:rsidP="00581809">
      <w:pPr>
        <w:pStyle w:val="Podtytu"/>
        <w:jc w:val="center"/>
      </w:pPr>
      <w:r>
        <w:t>Raport</w:t>
      </w:r>
    </w:p>
    <w:p w14:paraId="0E100412" w14:textId="77777777" w:rsidR="00844961" w:rsidRPr="00844961" w:rsidRDefault="00844961" w:rsidP="00844961"/>
    <w:p w14:paraId="114E57B7" w14:textId="77777777" w:rsidR="00581809" w:rsidRDefault="00581809" w:rsidP="00581809">
      <w:pPr>
        <w:rPr>
          <w:szCs w:val="24"/>
        </w:rPr>
      </w:pPr>
    </w:p>
    <w:p w14:paraId="46973296" w14:textId="77777777" w:rsidR="00581809" w:rsidRDefault="00581809" w:rsidP="00581809">
      <w:pPr>
        <w:rPr>
          <w:szCs w:val="24"/>
        </w:rPr>
      </w:pPr>
    </w:p>
    <w:p w14:paraId="1841501C" w14:textId="2DEAA7BD" w:rsidR="00581809" w:rsidRPr="00BB2F04" w:rsidRDefault="00581809" w:rsidP="00581809">
      <w:pPr>
        <w:jc w:val="right"/>
      </w:pPr>
      <w:r>
        <w:t>Autorzy</w:t>
      </w:r>
      <w:r w:rsidRPr="00BB2F04">
        <w:t>:</w:t>
      </w:r>
      <w:r w:rsidR="00C36778">
        <w:br/>
        <w:t>Szymon Maciejuk</w:t>
      </w:r>
      <w:r>
        <w:t xml:space="preserve">   304</w:t>
      </w:r>
      <w:r w:rsidR="00C36778">
        <w:t>2</w:t>
      </w:r>
      <w:r>
        <w:t>7</w:t>
      </w:r>
      <w:r w:rsidR="00C36778">
        <w:t>2</w:t>
      </w:r>
      <w:r w:rsidR="00C36778">
        <w:br/>
        <w:t>Hubert Piwowarski</w:t>
      </w:r>
      <w:r>
        <w:t xml:space="preserve">   304</w:t>
      </w:r>
      <w:r w:rsidR="00C36778">
        <w:t>3</w:t>
      </w:r>
      <w:r w:rsidR="001473ED">
        <w:t>74</w:t>
      </w:r>
    </w:p>
    <w:p w14:paraId="1CAAFAD2" w14:textId="77777777" w:rsidR="00581809" w:rsidRDefault="00581809" w:rsidP="00581809">
      <w:pPr>
        <w:jc w:val="right"/>
      </w:pPr>
    </w:p>
    <w:p w14:paraId="4D3F84AA" w14:textId="77777777" w:rsidR="00581809" w:rsidRDefault="00581809" w:rsidP="00581809"/>
    <w:p w14:paraId="31D6B1AF" w14:textId="77777777" w:rsidR="00581809" w:rsidRDefault="00581809" w:rsidP="00581809">
      <w:pPr>
        <w:jc w:val="right"/>
      </w:pPr>
    </w:p>
    <w:p w14:paraId="146B503B" w14:textId="77777777" w:rsidR="00581809" w:rsidRDefault="00581809" w:rsidP="00581809"/>
    <w:p w14:paraId="73F1B01C" w14:textId="15B9DB3B" w:rsidR="00581809" w:rsidRDefault="00581809" w:rsidP="00581809">
      <w:r>
        <w:t>Data</w:t>
      </w:r>
      <w:r w:rsidR="00A451AE">
        <w:t xml:space="preserve"> oddania</w:t>
      </w:r>
      <w:r w:rsidR="00B7714C">
        <w:t xml:space="preserve"> raportu</w:t>
      </w:r>
      <w:r>
        <w:t xml:space="preserve">: </w:t>
      </w:r>
      <w:r w:rsidR="00A451AE">
        <w:t>0</w:t>
      </w:r>
      <w:r w:rsidR="00CA7DCF">
        <w:t>5</w:t>
      </w:r>
      <w:r>
        <w:t>.0</w:t>
      </w:r>
      <w:r w:rsidR="00A451AE">
        <w:t>6</w:t>
      </w:r>
      <w:r>
        <w:t>.202</w:t>
      </w:r>
      <w:r w:rsidR="00A451AE">
        <w:t>3</w:t>
      </w:r>
      <w:r>
        <w:tab/>
      </w:r>
      <w:r>
        <w:tab/>
      </w:r>
      <w:r>
        <w:tab/>
      </w:r>
      <w:r>
        <w:tab/>
        <w:t>Ocena:</w:t>
      </w:r>
      <w:r>
        <w:ptab w:relativeTo="margin" w:alignment="right" w:leader="underscore"/>
      </w:r>
    </w:p>
    <w:p w14:paraId="6F564FF5" w14:textId="462A8B65" w:rsidR="00A24732" w:rsidRDefault="0046519C" w:rsidP="0021641C">
      <w:pPr>
        <w:pStyle w:val="Nagwek1"/>
      </w:pPr>
      <w:r>
        <w:lastRenderedPageBreak/>
        <w:t>Wstęp teoretyczny</w:t>
      </w:r>
    </w:p>
    <w:p w14:paraId="59C0CEC7" w14:textId="563F9BC8" w:rsidR="0046519C" w:rsidRDefault="00CC3F59" w:rsidP="0046519C">
      <w:r>
        <w:t xml:space="preserve">Celem niniejszego projektu jest porównanie </w:t>
      </w:r>
      <w:r w:rsidR="00884E78">
        <w:t xml:space="preserve">parametrów samozapłonu różnych mieszanek </w:t>
      </w:r>
      <w:r w:rsidR="00820234">
        <w:t xml:space="preserve">palnych </w:t>
      </w:r>
      <w:r w:rsidR="00884E78">
        <w:t>w zależności od</w:t>
      </w:r>
      <w:r w:rsidR="0053533A">
        <w:t xml:space="preserve"> stopnia </w:t>
      </w:r>
      <w:r w:rsidR="00630BF4">
        <w:t xml:space="preserve">ich </w:t>
      </w:r>
      <w:r w:rsidR="0053533A">
        <w:t>sprężenia</w:t>
      </w:r>
      <w:r w:rsidR="00884E78">
        <w:t xml:space="preserve">. Realizowane to będzie </w:t>
      </w:r>
      <w:r w:rsidR="005D4970">
        <w:t xml:space="preserve">programem napisanym </w:t>
      </w:r>
      <w:r w:rsidR="00884E78">
        <w:t xml:space="preserve">przy użyciu biblioteki Cantera w </w:t>
      </w:r>
      <w:r w:rsidR="00F70BB5">
        <w:t>języku Python.</w:t>
      </w:r>
      <w:r w:rsidR="007E1613">
        <w:t xml:space="preserve"> Doświadczenie będzie polegać na stopniowym sprężaniu</w:t>
      </w:r>
      <w:r w:rsidR="001C3C98">
        <w:t xml:space="preserve"> mieszanki w cylindrze za pomocą tłoka</w:t>
      </w:r>
      <w:r w:rsidR="008D5412">
        <w:t>. W trakcie ruchu tłoka</w:t>
      </w:r>
      <w:r w:rsidR="00CE5BAE">
        <w:t xml:space="preserve"> Cantera będzie obliczać ciśnienie oraz temperaturę mieszanki.</w:t>
      </w:r>
      <w:r w:rsidR="00DD1A52">
        <w:t xml:space="preserve"> </w:t>
      </w:r>
      <w:r w:rsidR="00650222">
        <w:t>Model reprezentuje prosty silnik</w:t>
      </w:r>
      <w:r w:rsidR="00630BF4">
        <w:t xml:space="preserve"> tłokowy</w:t>
      </w:r>
      <w:r w:rsidR="00650222">
        <w:t xml:space="preserve"> o następujących danych:</w:t>
      </w:r>
    </w:p>
    <w:p w14:paraId="36335F99" w14:textId="02FD06F2" w:rsidR="003225CF" w:rsidRPr="0052626E" w:rsidRDefault="0061015A" w:rsidP="003225CF">
      <w:pPr>
        <w:pStyle w:val="Bezodstpw"/>
        <w:numPr>
          <w:ilvl w:val="0"/>
          <w:numId w:val="14"/>
        </w:numPr>
      </w:pPr>
      <m:oMath>
        <m:r>
          <w:rPr>
            <w:rFonts w:ascii="Cambria Math" w:hAnsi="Cambria Math"/>
          </w:rPr>
          <m:t>n=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00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obr</m:t>
                </m:r>
              </m:num>
              <m:den>
                <m:r>
                  <w:rPr>
                    <w:rFonts w:ascii="Cambria Math" w:hAnsi="Cambria Math"/>
                  </w:rPr>
                  <m:t>min</m:t>
                </m:r>
              </m:den>
            </m:f>
          </m:e>
        </m:d>
      </m:oMath>
      <w:r w:rsidR="0033591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ω=</m:t>
        </m:r>
        <m:r>
          <w:rPr>
            <w:rFonts w:ascii="Cambria Math" w:eastAsiaTheme="minorEastAsia" w:hAnsi="Cambria Math"/>
          </w:rPr>
          <m:t>62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83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rad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s</m:t>
                </m:r>
              </m:den>
            </m:f>
          </m:e>
        </m:d>
      </m:oMath>
      <w:r w:rsidR="0052626E">
        <w:rPr>
          <w:rFonts w:eastAsiaTheme="minorEastAsia"/>
        </w:rPr>
        <w:t xml:space="preserve"> – prędkość obrotowa silnika</w:t>
      </w:r>
      <w:r w:rsidR="00747F3C">
        <w:rPr>
          <w:rFonts w:eastAsiaTheme="minorEastAsia"/>
        </w:rPr>
        <w:t>,</w:t>
      </w:r>
    </w:p>
    <w:p w14:paraId="3378A29A" w14:textId="0CCEF301" w:rsidR="0052626E" w:rsidRPr="00747F3C" w:rsidRDefault="0022462D" w:rsidP="003225CF">
      <w:pPr>
        <w:pStyle w:val="Bezodstpw"/>
        <w:numPr>
          <w:ilvl w:val="0"/>
          <w:numId w:val="1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 xml:space="preserve">=0,5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 xml:space="preserve">=0,0005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747F3C">
        <w:rPr>
          <w:rFonts w:eastAsiaTheme="minorEastAsia"/>
        </w:rPr>
        <w:t xml:space="preserve"> – objętość skokowa cylindra,</w:t>
      </w:r>
    </w:p>
    <w:p w14:paraId="045C467C" w14:textId="48B23BD1" w:rsidR="00747F3C" w:rsidRDefault="00596F51" w:rsidP="003225CF">
      <w:pPr>
        <w:pStyle w:val="Bezodstpw"/>
        <w:numPr>
          <w:ilvl w:val="0"/>
          <w:numId w:val="14"/>
        </w:numPr>
      </w:pPr>
      <m:oMath>
        <m:r>
          <w:rPr>
            <w:rFonts w:ascii="Cambria Math" w:hAnsi="Cambria Math"/>
          </w:rPr>
          <m:t>ε=20</m:t>
        </m:r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</m:e>
        </m:d>
      </m:oMath>
      <w:r>
        <w:rPr>
          <w:rFonts w:eastAsiaTheme="minorEastAsia"/>
        </w:rPr>
        <w:t xml:space="preserve"> –</w:t>
      </w:r>
      <w:r>
        <w:t xml:space="preserve"> stopień sprężania silnika,</w:t>
      </w:r>
    </w:p>
    <w:p w14:paraId="5A3F8031" w14:textId="57718C4B" w:rsidR="002650CD" w:rsidRDefault="002650CD" w:rsidP="003225CF">
      <w:pPr>
        <w:pStyle w:val="Bezodstpw"/>
        <w:numPr>
          <w:ilvl w:val="0"/>
          <w:numId w:val="14"/>
        </w:numPr>
      </w:pPr>
      <m:oMath>
        <m:r>
          <w:rPr>
            <w:rFonts w:ascii="Cambria Math" w:hAnsi="Cambria Math"/>
          </w:rPr>
          <m:t xml:space="preserve">d=83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mm</m:t>
            </m:r>
          </m:e>
        </m:d>
        <m:r>
          <w:rPr>
            <w:rFonts w:ascii="Cambria Math" w:hAnsi="Cambria Math"/>
          </w:rPr>
          <m:t xml:space="preserve">=0,083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eastAsiaTheme="minorEastAsia"/>
        </w:rPr>
        <w:t xml:space="preserve"> –</w:t>
      </w:r>
      <w:r>
        <w:t xml:space="preserve"> średnica tłoka.</w:t>
      </w:r>
    </w:p>
    <w:p w14:paraId="3B5273E9" w14:textId="39E41677" w:rsidR="00DC3557" w:rsidRDefault="007B59BF" w:rsidP="00DC3557">
      <w:pPr>
        <w:rPr>
          <w:rFonts w:eastAsiaTheme="minorEastAsia"/>
        </w:rPr>
      </w:pPr>
      <w:r>
        <w:t xml:space="preserve">Wykresy temperatury oraz ciśnienia będą </w:t>
      </w:r>
      <w:r w:rsidR="00842C1C">
        <w:t xml:space="preserve">przedstawiały ich wartość w zależności od kąta ustawienia </w:t>
      </w:r>
      <w:r w:rsidR="00AB3173">
        <w:t>tłoka na wale, przy czym</w:t>
      </w:r>
      <w:r w:rsidR="008221E9">
        <w:t xml:space="preserve"> </w:t>
      </w:r>
      <m:oMath>
        <m:r>
          <w:rPr>
            <w:rFonts w:ascii="Cambria Math" w:hAnsi="Cambria Math"/>
          </w:rPr>
          <m:t>180°</m:t>
        </m:r>
      </m:oMath>
      <w:r w:rsidR="008221E9">
        <w:rPr>
          <w:rFonts w:eastAsiaTheme="minorEastAsia"/>
        </w:rPr>
        <w:t xml:space="preserve"> oznacza dolne martwe położenie</w:t>
      </w:r>
      <w:r w:rsidR="00627777">
        <w:rPr>
          <w:rFonts w:eastAsiaTheme="minorEastAsia"/>
        </w:rPr>
        <w:t xml:space="preserve">, a </w:t>
      </w:r>
      <m:oMath>
        <m:r>
          <w:rPr>
            <w:rFonts w:ascii="Cambria Math" w:eastAsiaTheme="minorEastAsia" w:hAnsi="Cambria Math"/>
          </w:rPr>
          <m:t>360°</m:t>
        </m:r>
      </m:oMath>
      <w:r w:rsidR="00627777">
        <w:rPr>
          <w:rFonts w:eastAsiaTheme="minorEastAsia"/>
        </w:rPr>
        <w:t xml:space="preserve"> – górne martwe położenie tłoka.</w:t>
      </w:r>
      <w:r w:rsidR="001F3266">
        <w:rPr>
          <w:rFonts w:eastAsiaTheme="minorEastAsia"/>
        </w:rPr>
        <w:t xml:space="preserve"> Z tego powodu</w:t>
      </w:r>
      <w:r w:rsidR="0095231F">
        <w:rPr>
          <w:rFonts w:eastAsiaTheme="minorEastAsia"/>
        </w:rPr>
        <w:t xml:space="preserve"> będzie trzeba</w:t>
      </w:r>
      <w:r w:rsidR="001F3266">
        <w:rPr>
          <w:rFonts w:eastAsiaTheme="minorEastAsia"/>
        </w:rPr>
        <w:t xml:space="preserve"> przeliczyć otrzymane</w:t>
      </w:r>
      <w:r w:rsidR="0095231F">
        <w:rPr>
          <w:rFonts w:eastAsiaTheme="minorEastAsia"/>
        </w:rPr>
        <w:t xml:space="preserve"> wyniki</w:t>
      </w:r>
      <w:r w:rsidR="00086A9A">
        <w:rPr>
          <w:rFonts w:eastAsiaTheme="minorEastAsia"/>
        </w:rPr>
        <w:t xml:space="preserve"> na</w:t>
      </w:r>
      <w:r w:rsidR="000D503C">
        <w:rPr>
          <w:rFonts w:eastAsiaTheme="minorEastAsia"/>
        </w:rPr>
        <w:t xml:space="preserve"> zależne od</w:t>
      </w:r>
      <w:r w:rsidR="00086A9A">
        <w:rPr>
          <w:rFonts w:eastAsiaTheme="minorEastAsia"/>
        </w:rPr>
        <w:t xml:space="preserve"> stop</w:t>
      </w:r>
      <w:r w:rsidR="000D503C">
        <w:rPr>
          <w:rFonts w:eastAsiaTheme="minorEastAsia"/>
        </w:rPr>
        <w:t>nia</w:t>
      </w:r>
      <w:r w:rsidR="00086A9A">
        <w:rPr>
          <w:rFonts w:eastAsiaTheme="minorEastAsia"/>
        </w:rPr>
        <w:t xml:space="preserve"> sprężenia według poniższych zależności:</w:t>
      </w:r>
    </w:p>
    <w:p w14:paraId="7EC4B093" w14:textId="6DACB16D" w:rsidR="00086A9A" w:rsidRPr="00DB71E8" w:rsidRDefault="000D503C" w:rsidP="00DC355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⋅A+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</m:den>
          </m:f>
        </m:oMath>
      </m:oMathPara>
    </w:p>
    <w:p w14:paraId="1ED83591" w14:textId="5F798D57" w:rsidR="00DB71E8" w:rsidRDefault="00DB71E8" w:rsidP="00DB71E8">
      <w:pPr>
        <w:pStyle w:val="Bezodstpw"/>
      </w:pPr>
      <w:r>
        <w:t>gdzie:</w:t>
      </w:r>
    </w:p>
    <w:p w14:paraId="2AAD2CD1" w14:textId="5E7FC277" w:rsidR="009E54DE" w:rsidRDefault="0022462D" w:rsidP="00EE70F2">
      <w:pPr>
        <w:pStyle w:val="Bezodstpw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num>
          <m:den>
            <m:r>
              <w:rPr>
                <w:rFonts w:ascii="Cambria Math" w:hAnsi="Cambria Math"/>
              </w:rPr>
              <m:t>ε-1</m:t>
            </m:r>
          </m:den>
        </m:f>
        <m:r>
          <w:rPr>
            <w:rFonts w:ascii="Cambria Math" w:hAnsi="Cambria Math"/>
          </w:rPr>
          <m:t xml:space="preserve">=0,0263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 xml:space="preserve">=0,0000263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5725E" w:rsidRPr="0025725E">
        <w:rPr>
          <w:rFonts w:eastAsiaTheme="minorEastAsia"/>
        </w:rPr>
        <w:t xml:space="preserve"> </w:t>
      </w:r>
      <w:r w:rsidR="0025725E">
        <w:rPr>
          <w:rFonts w:eastAsiaTheme="minorEastAsia"/>
        </w:rPr>
        <w:t>–</w:t>
      </w:r>
      <w:r w:rsidR="0025725E" w:rsidRPr="0025725E">
        <w:rPr>
          <w:rFonts w:eastAsiaTheme="minorEastAsia"/>
        </w:rPr>
        <w:t xml:space="preserve"> obj</w:t>
      </w:r>
      <w:r w:rsidR="0025725E">
        <w:rPr>
          <w:rFonts w:eastAsiaTheme="minorEastAsia"/>
        </w:rPr>
        <w:t>ętość w górnym martwym położeniu tłoka,</w:t>
      </w:r>
    </w:p>
    <w:p w14:paraId="48EBA45A" w14:textId="16EC1D85" w:rsidR="0025725E" w:rsidRPr="00EE70F2" w:rsidRDefault="0022462D" w:rsidP="0025725E">
      <w:pPr>
        <w:pStyle w:val="Bezodstpw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 xml:space="preserve">=0,5263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 xml:space="preserve">=0,0005263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EE70F2" w:rsidRPr="00EE70F2">
        <w:rPr>
          <w:rFonts w:eastAsiaTheme="minorEastAsia"/>
        </w:rPr>
        <w:t xml:space="preserve"> </w:t>
      </w:r>
      <w:r w:rsidR="00EE70F2">
        <w:rPr>
          <w:rFonts w:eastAsiaTheme="minorEastAsia"/>
        </w:rPr>
        <w:t>–</w:t>
      </w:r>
      <w:r w:rsidR="00EE70F2" w:rsidRPr="00EE70F2">
        <w:rPr>
          <w:rFonts w:eastAsiaTheme="minorEastAsia"/>
        </w:rPr>
        <w:t xml:space="preserve"> obj</w:t>
      </w:r>
      <w:r w:rsidR="00EE70F2">
        <w:rPr>
          <w:rFonts w:eastAsiaTheme="minorEastAsia"/>
        </w:rPr>
        <w:t>ętość w dolnym martwym położeniu tłoka,</w:t>
      </w:r>
    </w:p>
    <w:p w14:paraId="17879C7C" w14:textId="626CD918" w:rsidR="00DB71E8" w:rsidRDefault="00DB71E8" w:rsidP="00DB71E8">
      <w:pPr>
        <w:pStyle w:val="Bezodstpw"/>
        <w:rPr>
          <w:rFonts w:eastAsiaTheme="minorEastAsia"/>
        </w:rPr>
      </w:pP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=0,005411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CB12F9">
        <w:rPr>
          <w:rFonts w:eastAsiaTheme="minorEastAsia"/>
        </w:rPr>
        <w:t xml:space="preserve"> – powierzchnia tłoka</w:t>
      </w:r>
      <w:r w:rsidR="00A456F3">
        <w:rPr>
          <w:rFonts w:eastAsiaTheme="minorEastAsia"/>
        </w:rPr>
        <w:t>,</w:t>
      </w:r>
    </w:p>
    <w:p w14:paraId="0F69CC58" w14:textId="5560175B" w:rsidR="002F07E8" w:rsidRDefault="002F07E8" w:rsidP="00DB71E8">
      <w:pPr>
        <w:pStyle w:val="Bezodstpw"/>
        <w:rPr>
          <w:rFonts w:eastAsiaTheme="minorEastAsia"/>
        </w:rPr>
      </w:pPr>
      <m:oMath>
        <m:r>
          <w:rPr>
            <w:rFonts w:ascii="Cambria Math" w:hAnsi="Cambria Math"/>
          </w:rPr>
          <m:t>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 xml:space="preserve">=0,0924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 w:rsidR="00A456F3">
        <w:rPr>
          <w:rFonts w:eastAsiaTheme="minorEastAsia"/>
        </w:rPr>
        <w:t xml:space="preserve"> – długość suwu tłoka,</w:t>
      </w:r>
    </w:p>
    <w:p w14:paraId="367AC4F8" w14:textId="3553CBF2" w:rsidR="00F33435" w:rsidRDefault="00F33435" w:rsidP="00DB71E8">
      <w:pPr>
        <w:pStyle w:val="Bezodstpw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ϕ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°</m:t>
            </m:r>
          </m:e>
        </m:d>
      </m:oMath>
      <w:r>
        <w:rPr>
          <w:rFonts w:eastAsiaTheme="minorEastAsia"/>
        </w:rPr>
        <w:t xml:space="preserve"> – ustawienie kątowe wału,</w:t>
      </w:r>
    </w:p>
    <w:p w14:paraId="4819D347" w14:textId="48E9EF36" w:rsidR="003E7CD2" w:rsidRDefault="00E83500" w:rsidP="00DB71E8">
      <w:pPr>
        <w:pStyle w:val="Bezodstpw"/>
        <w:rPr>
          <w:rFonts w:eastAsiaTheme="minorEastAsia"/>
        </w:rPr>
      </w:pPr>
      <m:oMath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</m:e>
        </m:d>
      </m:oMath>
      <w:r w:rsidR="003E7CD2">
        <w:rPr>
          <w:rFonts w:eastAsiaTheme="minorEastAsia"/>
        </w:rPr>
        <w:t xml:space="preserve"> – stopień sprężenia mieszanki</w:t>
      </w:r>
      <w:r w:rsidR="00E57BD0">
        <w:rPr>
          <w:rFonts w:eastAsiaTheme="minorEastAsia"/>
        </w:rPr>
        <w:t xml:space="preserve">, w zależności od ustawienia </w:t>
      </w:r>
      <w:r w:rsidR="00DA60F8">
        <w:rPr>
          <w:rFonts w:eastAsiaTheme="minorEastAsia"/>
        </w:rPr>
        <w:t xml:space="preserve">kątowego </w:t>
      </w:r>
      <w:r w:rsidR="00E57BD0">
        <w:rPr>
          <w:rFonts w:eastAsiaTheme="minorEastAsia"/>
        </w:rPr>
        <w:t>wału korbowego.</w:t>
      </w:r>
    </w:p>
    <w:p w14:paraId="29957102" w14:textId="77777777" w:rsidR="006C3232" w:rsidRDefault="006C3232">
      <w:pPr>
        <w:spacing w:before="0" w:after="160"/>
        <w:jc w:val="left"/>
        <w:rPr>
          <w:rFonts w:asciiTheme="majorHAnsi" w:eastAsiaTheme="minorEastAsia" w:hAnsiTheme="majorHAnsi" w:cstheme="majorBidi"/>
          <w:b/>
          <w:sz w:val="36"/>
          <w:szCs w:val="32"/>
        </w:rPr>
      </w:pPr>
      <w:r>
        <w:br w:type="page"/>
      </w:r>
    </w:p>
    <w:p w14:paraId="3215D291" w14:textId="0AC7AF1C" w:rsidR="00DA60F8" w:rsidRDefault="00E71851" w:rsidP="0021641C">
      <w:pPr>
        <w:pStyle w:val="Nagwek1"/>
      </w:pPr>
      <w:r>
        <w:lastRenderedPageBreak/>
        <w:t>Model numeryczny</w:t>
      </w:r>
    </w:p>
    <w:p w14:paraId="4E6A6447" w14:textId="1F97AA88" w:rsidR="00E71851" w:rsidRDefault="001062E1" w:rsidP="00E71851">
      <w:r>
        <w:t>S</w:t>
      </w:r>
      <w:r w:rsidR="00884D4A">
        <w:t>ilnik został zamodelowany jako</w:t>
      </w:r>
      <w:r w:rsidR="00A75AA4">
        <w:t xml:space="preserve"> zero-wymiarowy cylinder wypełniony </w:t>
      </w:r>
      <w:r>
        <w:t>mieszanką gazu roboczego</w:t>
      </w:r>
      <w:r w:rsidR="00716148">
        <w:t xml:space="preserve"> </w:t>
      </w:r>
      <w:r>
        <w:t>oraz powietrza</w:t>
      </w:r>
      <w:r w:rsidR="00716148">
        <w:t xml:space="preserve"> (model gazu idealnego)</w:t>
      </w:r>
      <w:r>
        <w:t>.</w:t>
      </w:r>
      <w:r w:rsidR="00CE4C23">
        <w:t xml:space="preserve"> Definicja gazu nastąpiła poprzez funkcję ct.Solution</w:t>
      </w:r>
      <w:r w:rsidR="005157EE">
        <w:t xml:space="preserve">, </w:t>
      </w:r>
      <w:r w:rsidR="00105B6A">
        <w:t>reaktora reprezentującego cylinder poprzez funkcję ct.IdealGasReactor(gas)</w:t>
      </w:r>
      <w:r w:rsidR="003021A6">
        <w:t>. Tłok został zamodelowany jako poruszająca się ściana poprzez funkcję ct.Wall</w:t>
      </w:r>
      <w:r w:rsidR="0085778E">
        <w:t>(ambient_air,cylinder).</w:t>
      </w:r>
      <w:r w:rsidR="00FE27EB">
        <w:t xml:space="preserve"> Zamodelowano także wtryski powietrza</w:t>
      </w:r>
      <w:r w:rsidR="00EC121F">
        <w:t xml:space="preserve"> i</w:t>
      </w:r>
      <w:r w:rsidR="00FE27EB">
        <w:t xml:space="preserve"> paliwa (naszego gazu roboczego)</w:t>
      </w:r>
      <w:r w:rsidR="00B52B88">
        <w:t xml:space="preserve"> </w:t>
      </w:r>
      <w:r w:rsidR="00EC121F">
        <w:t xml:space="preserve">oraz ich wyloty </w:t>
      </w:r>
      <w:r w:rsidR="00B52B88">
        <w:t xml:space="preserve">jako </w:t>
      </w:r>
      <w:r w:rsidR="00173BE0">
        <w:t>obiekty kontrolujące przepływ masowy poprzez funkcję ct.MassFlowController(in</w:t>
      </w:r>
      <w:r w:rsidR="005930E6">
        <w:t>jector,cylinder).</w:t>
      </w:r>
    </w:p>
    <w:p w14:paraId="6554D5C3" w14:textId="56C14F77" w:rsidR="005930E6" w:rsidRDefault="002E4E20" w:rsidP="0021641C">
      <w:pPr>
        <w:pStyle w:val="Nagwek1"/>
      </w:pPr>
      <w:r>
        <w:t>Analizowane mieszanki</w:t>
      </w:r>
    </w:p>
    <w:p w14:paraId="0B6E2691" w14:textId="172FE6DC" w:rsidR="00DC072E" w:rsidRDefault="007303B2" w:rsidP="00DC072E">
      <w:r>
        <w:t xml:space="preserve">Dla każdej mieszanki </w:t>
      </w:r>
      <w:r w:rsidR="006E4CA6">
        <w:t xml:space="preserve">reakcja spalania przeprowadzana jest w proporcjach </w:t>
      </w:r>
      <w:r w:rsidR="00E86FEF">
        <w:t>gaz:tlen</w:t>
      </w:r>
      <w:r w:rsidR="00A64CA5">
        <w:t xml:space="preserve"> równych 1:1. Wybrane mieszanki to:</w:t>
      </w:r>
    </w:p>
    <w:p w14:paraId="6EE8FF6E" w14:textId="41EA181A" w:rsidR="00A64CA5" w:rsidRPr="00114B6F" w:rsidRDefault="0022462D" w:rsidP="00A64CA5">
      <w:pPr>
        <w:pStyle w:val="Bezodstpw"/>
        <w:numPr>
          <w:ilvl w:val="0"/>
          <w:numId w:val="1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+3,76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03AA0B07" w14:textId="18126AD5" w:rsidR="00114B6F" w:rsidRPr="00114B6F" w:rsidRDefault="0022462D" w:rsidP="00A64CA5">
      <w:pPr>
        <w:pStyle w:val="Bezodstpw"/>
        <w:numPr>
          <w:ilvl w:val="0"/>
          <w:numId w:val="1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+3,76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6E5BF67C" w14:textId="7BD51731" w:rsidR="00114B6F" w:rsidRPr="002C2BC2" w:rsidRDefault="0022462D" w:rsidP="00A64CA5">
      <w:pPr>
        <w:pStyle w:val="Bezodstpw"/>
        <w:numPr>
          <w:ilvl w:val="0"/>
          <w:numId w:val="1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+3,76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3A2F2F65" w14:textId="393A51A2" w:rsidR="002C2BC2" w:rsidRPr="002C2BC2" w:rsidRDefault="0022462D" w:rsidP="00A64CA5">
      <w:pPr>
        <w:pStyle w:val="Bezodstpw"/>
        <w:numPr>
          <w:ilvl w:val="0"/>
          <w:numId w:val="1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26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+3,76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39FF2E20" w14:textId="07643EB3" w:rsidR="002C2BC2" w:rsidRPr="00233182" w:rsidRDefault="0022462D" w:rsidP="00A64CA5">
      <w:pPr>
        <w:pStyle w:val="Bezodstpw"/>
        <w:numPr>
          <w:ilvl w:val="0"/>
          <w:numId w:val="1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+3,76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659E302E" w14:textId="0596992A" w:rsidR="00233182" w:rsidRPr="006E2679" w:rsidRDefault="0022462D" w:rsidP="00A64CA5">
      <w:pPr>
        <w:pStyle w:val="Bezodstpw"/>
        <w:numPr>
          <w:ilvl w:val="0"/>
          <w:numId w:val="15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  <m:r>
          <w:rPr>
            <w:rFonts w:ascii="Cambria Math" w:eastAsiaTheme="minorEastAsia" w:hAnsi="Cambria Math"/>
          </w:rPr>
          <m:t xml:space="preserve"> 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+3,76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5ABEA306" w14:textId="502F245A" w:rsidR="006E2679" w:rsidRPr="00DC072E" w:rsidRDefault="00D2146D" w:rsidP="006E2679">
      <w:r>
        <w:t>Dla każdej mieszanki z wykresu zostanie odczytana temperatura</w:t>
      </w:r>
      <w:r w:rsidR="003E292B">
        <w:t xml:space="preserve"> i ciśnienie samozapłonu oraz kąt przy którym ono występuje</w:t>
      </w:r>
      <w:r w:rsidR="006C3232">
        <w:t>. Dodatkowo kąt zostanie przeliczony na stopień sprężania.</w:t>
      </w:r>
    </w:p>
    <w:p w14:paraId="4B5A066A" w14:textId="085FD2E9" w:rsidR="002E4E20" w:rsidRDefault="00DC072E" w:rsidP="0021641C">
      <w:pPr>
        <w:pStyle w:val="Nagwek1"/>
      </w:pPr>
      <w:r>
        <w:lastRenderedPageBreak/>
        <w:t>Wyniki</w:t>
      </w:r>
    </w:p>
    <w:p w14:paraId="3A52803E" w14:textId="077A3DA1" w:rsidR="00DC072E" w:rsidRDefault="008F7205" w:rsidP="008F7205">
      <w:pPr>
        <w:pStyle w:val="Nagwek2"/>
      </w:pPr>
      <w:r>
        <w:t>Mieszanki palne</w:t>
      </w:r>
    </w:p>
    <w:p w14:paraId="0FD9020D" w14:textId="1CD6533E" w:rsidR="008F7205" w:rsidRDefault="008F7205" w:rsidP="008F7205">
      <w:pPr>
        <w:jc w:val="center"/>
      </w:pPr>
      <w:r>
        <w:rPr>
          <w:noProof/>
        </w:rPr>
        <w:drawing>
          <wp:inline distT="0" distB="0" distL="0" distR="0" wp14:anchorId="5481E376" wp14:editId="16CDB8DF">
            <wp:extent cx="5630082" cy="5916294"/>
            <wp:effectExtent l="19050" t="19050" r="27940" b="27940"/>
            <wp:docPr id="85339143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41" r="2203" b="3330"/>
                    <a:stretch/>
                  </pic:blipFill>
                  <pic:spPr bwMode="auto">
                    <a:xfrm>
                      <a:off x="0" y="0"/>
                      <a:ext cx="5630703" cy="591694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400646" w14:textId="77777777" w:rsidR="005C2244" w:rsidRDefault="005C2244" w:rsidP="008F7205">
      <w:pPr>
        <w:jc w:val="center"/>
      </w:pPr>
    </w:p>
    <w:p w14:paraId="5ABD4D0A" w14:textId="7FC7E4E6" w:rsidR="0013480C" w:rsidRPr="005C2244" w:rsidRDefault="0022462D" w:rsidP="008F7205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=930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14:paraId="16B53CA5" w14:textId="4E1E3E44" w:rsidR="005C2244" w:rsidRPr="00AB74BC" w:rsidRDefault="0022462D" w:rsidP="008F7205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=68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bar</m:t>
              </m:r>
            </m:e>
          </m:d>
        </m:oMath>
      </m:oMathPara>
    </w:p>
    <w:p w14:paraId="70958F04" w14:textId="180A6097" w:rsidR="00AB74BC" w:rsidRPr="00E83500" w:rsidRDefault="00AB74BC" w:rsidP="008F7205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ϕ=350,1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°</m:t>
              </m:r>
            </m:e>
          </m:d>
        </m:oMath>
      </m:oMathPara>
    </w:p>
    <w:p w14:paraId="604C5ABC" w14:textId="01349D5E" w:rsidR="00E83500" w:rsidRDefault="00E83500" w:rsidP="008F7205">
      <w:pPr>
        <w:jc w:val="center"/>
      </w:pPr>
      <m:oMathPara>
        <m:oMath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17,521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</m:e>
          </m:d>
        </m:oMath>
      </m:oMathPara>
    </w:p>
    <w:p w14:paraId="035385A7" w14:textId="69D2C8A2" w:rsidR="0013480C" w:rsidRDefault="0013480C" w:rsidP="008F7205">
      <w:pPr>
        <w:jc w:val="center"/>
      </w:pPr>
      <w:r>
        <w:rPr>
          <w:noProof/>
        </w:rPr>
        <w:lastRenderedPageBreak/>
        <w:drawing>
          <wp:inline distT="0" distB="0" distL="0" distR="0" wp14:anchorId="2B5180A1" wp14:editId="2DD0F334">
            <wp:extent cx="5614584" cy="5947409"/>
            <wp:effectExtent l="19050" t="19050" r="24765" b="15875"/>
            <wp:docPr id="137569614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84" r="2343" b="3660"/>
                    <a:stretch/>
                  </pic:blipFill>
                  <pic:spPr bwMode="auto">
                    <a:xfrm>
                      <a:off x="0" y="0"/>
                      <a:ext cx="5615204" cy="594806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CFD07" w14:textId="77777777" w:rsidR="00DD4B43" w:rsidRDefault="00DD4B43" w:rsidP="00DD4B43">
      <w:pPr>
        <w:jc w:val="center"/>
      </w:pPr>
    </w:p>
    <w:p w14:paraId="4843AD70" w14:textId="1E354455" w:rsidR="00DD4B43" w:rsidRPr="005C2244" w:rsidRDefault="0022462D" w:rsidP="00DD4B43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=980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14:paraId="67618EDB" w14:textId="70397F86" w:rsidR="00DD4B43" w:rsidRPr="00AB74BC" w:rsidRDefault="0022462D" w:rsidP="00DD4B43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=74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bar</m:t>
              </m:r>
            </m:e>
          </m:d>
        </m:oMath>
      </m:oMathPara>
    </w:p>
    <w:p w14:paraId="24B25A5A" w14:textId="2ADDCCC1" w:rsidR="00DD4B43" w:rsidRPr="00E83500" w:rsidRDefault="00DD4B43" w:rsidP="00DD4B43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ϕ=369,9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°</m:t>
              </m:r>
            </m:e>
          </m:d>
        </m:oMath>
      </m:oMathPara>
    </w:p>
    <w:p w14:paraId="6940ECA9" w14:textId="0C769C83" w:rsidR="00DD4B43" w:rsidRDefault="00DD4B43" w:rsidP="00DD4B43">
      <w:pPr>
        <w:jc w:val="center"/>
      </w:pPr>
      <m:oMathPara>
        <m:oMath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hAnsi="Cambria Math"/>
            </w:rPr>
            <m:t xml:space="preserve">=17,521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</m:e>
          </m:d>
        </m:oMath>
      </m:oMathPara>
    </w:p>
    <w:p w14:paraId="1FC65BD0" w14:textId="77777777" w:rsidR="00DD4B43" w:rsidRDefault="00DD4B43" w:rsidP="008F7205">
      <w:pPr>
        <w:jc w:val="center"/>
      </w:pPr>
    </w:p>
    <w:p w14:paraId="1021F366" w14:textId="529AD787" w:rsidR="0013480C" w:rsidRDefault="0013480C" w:rsidP="008F7205">
      <w:pPr>
        <w:jc w:val="center"/>
      </w:pPr>
      <w:r>
        <w:rPr>
          <w:noProof/>
        </w:rPr>
        <w:lastRenderedPageBreak/>
        <w:drawing>
          <wp:inline distT="0" distB="0" distL="0" distR="0" wp14:anchorId="72F7A0D9" wp14:editId="7FAB25AD">
            <wp:extent cx="5599085" cy="5924125"/>
            <wp:effectExtent l="19050" t="19050" r="20955" b="19685"/>
            <wp:docPr id="1861446080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38" r="2731" b="2788"/>
                    <a:stretch/>
                  </pic:blipFill>
                  <pic:spPr bwMode="auto">
                    <a:xfrm>
                      <a:off x="0" y="0"/>
                      <a:ext cx="5600320" cy="592543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BF7B7" w14:textId="77777777" w:rsidR="00DD4B43" w:rsidRDefault="00DD4B43" w:rsidP="00DD4B43">
      <w:pPr>
        <w:jc w:val="center"/>
      </w:pPr>
    </w:p>
    <w:p w14:paraId="061B048C" w14:textId="7A192568" w:rsidR="00DD4B43" w:rsidRPr="005C2244" w:rsidRDefault="0022462D" w:rsidP="00DD4B43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=920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14:paraId="558A2149" w14:textId="329EF525" w:rsidR="00DD4B43" w:rsidRPr="00AB74BC" w:rsidRDefault="0022462D" w:rsidP="00DD4B43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=63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bar</m:t>
              </m:r>
            </m:e>
          </m:d>
        </m:oMath>
      </m:oMathPara>
    </w:p>
    <w:p w14:paraId="2F2BD0BA" w14:textId="37407F3F" w:rsidR="00DD4B43" w:rsidRPr="00E83500" w:rsidRDefault="00DD4B43" w:rsidP="00DD4B43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ϕ=345,9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°</m:t>
              </m:r>
            </m:e>
          </m:d>
        </m:oMath>
      </m:oMathPara>
    </w:p>
    <w:p w14:paraId="3EF335EE" w14:textId="41363C20" w:rsidR="00DD4B43" w:rsidRDefault="00DD4B43" w:rsidP="00DD4B43">
      <w:pPr>
        <w:jc w:val="center"/>
      </w:pPr>
      <m:oMathPara>
        <m:oMath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hAnsi="Cambria Math"/>
            </w:rPr>
            <m:t xml:space="preserve">=15,549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</m:e>
          </m:d>
        </m:oMath>
      </m:oMathPara>
    </w:p>
    <w:p w14:paraId="7530BA7E" w14:textId="77777777" w:rsidR="0013480C" w:rsidRDefault="0013480C" w:rsidP="008F7205">
      <w:pPr>
        <w:jc w:val="center"/>
      </w:pPr>
    </w:p>
    <w:p w14:paraId="7467C810" w14:textId="61590436" w:rsidR="0013480C" w:rsidRDefault="005208CD" w:rsidP="008F7205">
      <w:pPr>
        <w:jc w:val="center"/>
      </w:pPr>
      <w:r>
        <w:rPr>
          <w:noProof/>
        </w:rPr>
        <w:lastRenderedPageBreak/>
        <w:drawing>
          <wp:inline distT="0" distB="0" distL="0" distR="0" wp14:anchorId="4AE00EE5" wp14:editId="20F80086">
            <wp:extent cx="5599085" cy="5869940"/>
            <wp:effectExtent l="19050" t="19050" r="20955" b="16510"/>
            <wp:docPr id="2144807689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00" r="2737" b="2863"/>
                    <a:stretch/>
                  </pic:blipFill>
                  <pic:spPr bwMode="auto">
                    <a:xfrm>
                      <a:off x="0" y="0"/>
                      <a:ext cx="5599912" cy="587080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B0239" w14:textId="77777777" w:rsidR="00DD4B43" w:rsidRDefault="00DD4B43" w:rsidP="00DD4B43">
      <w:pPr>
        <w:jc w:val="center"/>
      </w:pPr>
    </w:p>
    <w:p w14:paraId="55F13A7F" w14:textId="77777777" w:rsidR="00DD4B43" w:rsidRPr="005C2244" w:rsidRDefault="0022462D" w:rsidP="00DD4B43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=930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</m:oMath>
      </m:oMathPara>
    </w:p>
    <w:p w14:paraId="225DEDD5" w14:textId="77777777" w:rsidR="00DD4B43" w:rsidRPr="00AB74BC" w:rsidRDefault="0022462D" w:rsidP="00DD4B43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=68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bar</m:t>
              </m:r>
            </m:e>
          </m:d>
        </m:oMath>
      </m:oMathPara>
    </w:p>
    <w:p w14:paraId="0879DA1A" w14:textId="77777777" w:rsidR="00DD4B43" w:rsidRPr="00E83500" w:rsidRDefault="00DD4B43" w:rsidP="00DD4B43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ϕ=350,1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°</m:t>
              </m:r>
            </m:e>
          </m:d>
        </m:oMath>
      </m:oMathPara>
    </w:p>
    <w:p w14:paraId="45B0C321" w14:textId="74DA05CB" w:rsidR="00DD4B43" w:rsidRDefault="00DD4B43" w:rsidP="00DD4B43">
      <w:pPr>
        <w:jc w:val="center"/>
      </w:pPr>
      <m:oMathPara>
        <m:oMath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hAnsi="Cambria Math"/>
            </w:rPr>
            <m:t xml:space="preserve">=17,521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</m:e>
          </m:d>
        </m:oMath>
      </m:oMathPara>
    </w:p>
    <w:p w14:paraId="72A79D4C" w14:textId="77777777" w:rsidR="005208CD" w:rsidRDefault="005208CD" w:rsidP="008F7205">
      <w:pPr>
        <w:jc w:val="center"/>
      </w:pPr>
    </w:p>
    <w:p w14:paraId="44EF7348" w14:textId="2E79780A" w:rsidR="008F7205" w:rsidRDefault="008F7205" w:rsidP="008F7205">
      <w:pPr>
        <w:pStyle w:val="Nagwek2"/>
      </w:pPr>
      <w:r>
        <w:lastRenderedPageBreak/>
        <w:t>Mieszanki niepalne</w:t>
      </w:r>
    </w:p>
    <w:p w14:paraId="63D775A3" w14:textId="36B7A550" w:rsidR="005208CD" w:rsidRDefault="005208CD" w:rsidP="005208CD">
      <w:pPr>
        <w:jc w:val="center"/>
      </w:pPr>
      <w:r>
        <w:rPr>
          <w:noProof/>
        </w:rPr>
        <w:drawing>
          <wp:inline distT="0" distB="0" distL="0" distR="0" wp14:anchorId="78208C69" wp14:editId="22B30B31">
            <wp:extent cx="5575838" cy="5885180"/>
            <wp:effectExtent l="19050" t="19050" r="25400" b="20320"/>
            <wp:docPr id="1501039719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4" r="3137" b="2672"/>
                    <a:stretch/>
                  </pic:blipFill>
                  <pic:spPr bwMode="auto">
                    <a:xfrm>
                      <a:off x="0" y="0"/>
                      <a:ext cx="5576935" cy="588633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2D36C" w14:textId="77777777" w:rsidR="00AF4A8C" w:rsidRDefault="00AF4A8C" w:rsidP="005208CD">
      <w:pPr>
        <w:jc w:val="center"/>
      </w:pPr>
    </w:p>
    <w:p w14:paraId="41E0450D" w14:textId="4AAFEDA5" w:rsidR="005208CD" w:rsidRDefault="005208CD" w:rsidP="005208CD">
      <w:pPr>
        <w:jc w:val="center"/>
      </w:pPr>
      <w:r>
        <w:rPr>
          <w:noProof/>
        </w:rPr>
        <w:lastRenderedPageBreak/>
        <w:drawing>
          <wp:inline distT="0" distB="0" distL="0" distR="0" wp14:anchorId="4B03260C" wp14:editId="44F93090">
            <wp:extent cx="5622333" cy="5970905"/>
            <wp:effectExtent l="19050" t="19050" r="16510" b="10795"/>
            <wp:docPr id="48878047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97" r="2206" b="2677"/>
                    <a:stretch/>
                  </pic:blipFill>
                  <pic:spPr bwMode="auto">
                    <a:xfrm>
                      <a:off x="0" y="0"/>
                      <a:ext cx="5623085" cy="597170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ADEC5A" w14:textId="77777777" w:rsidR="00DD4B43" w:rsidRDefault="00DD4B43" w:rsidP="005208CD">
      <w:pPr>
        <w:jc w:val="center"/>
      </w:pPr>
    </w:p>
    <w:p w14:paraId="2A49793A" w14:textId="669273AA" w:rsidR="00AF4A8C" w:rsidRDefault="00AF4A8C" w:rsidP="00AF4A8C">
      <w:r>
        <w:t>Jak widać nie wszystkie gazy</w:t>
      </w:r>
      <w:r w:rsidR="00E60BDB">
        <w:t xml:space="preserve"> palą się w zadanych warunkach</w:t>
      </w:r>
      <w:r w:rsidR="00986CFB">
        <w:t xml:space="preserve"> – </w:t>
      </w:r>
      <w:r w:rsidR="00B142A5">
        <w:t xml:space="preserve">okazuje się, iż </w:t>
      </w:r>
      <w:r w:rsidR="00986CFB">
        <w:t xml:space="preserve">para wodna </w:t>
      </w:r>
      <w:r w:rsidR="00B142A5">
        <w:t>również należy do tej grupy.</w:t>
      </w:r>
    </w:p>
    <w:p w14:paraId="222A78DF" w14:textId="0B4C2579" w:rsidR="00B142A5" w:rsidRDefault="00B142A5" w:rsidP="0021641C">
      <w:pPr>
        <w:pStyle w:val="Nagwek1"/>
      </w:pPr>
      <w:r>
        <w:t>Wnioski</w:t>
      </w:r>
    </w:p>
    <w:p w14:paraId="3C99B472" w14:textId="53B285A9" w:rsidR="0062083B" w:rsidRDefault="00FD31A5" w:rsidP="0062083B">
      <w:pPr>
        <w:rPr>
          <w:rFonts w:eastAsiaTheme="minorEastAsia"/>
        </w:rPr>
      </w:pPr>
      <w:r>
        <w:t>Okazuje się, że mieszanki mają bardzo podobne właściwości</w:t>
      </w:r>
      <w:r w:rsidR="0026727F">
        <w:t>. Mieszanki</w:t>
      </w:r>
      <w:r w:rsidR="005E4B5B">
        <w:t xml:space="preserve"> z</w:t>
      </w:r>
      <w:r w:rsidR="0026727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5E4B5B">
        <w:rPr>
          <w:rFonts w:eastAsiaTheme="minorEastAsia"/>
        </w:rPr>
        <w:t xml:space="preserve"> oraz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26</m:t>
            </m:r>
          </m:sub>
        </m:sSub>
      </m:oMath>
      <w:r w:rsidR="005E4B5B">
        <w:rPr>
          <w:rFonts w:eastAsiaTheme="minorEastAsia"/>
        </w:rPr>
        <w:t xml:space="preserve"> wypadły wręcz identycznie. Przy takim samym stopniu sprężenia</w:t>
      </w:r>
      <w:r w:rsidR="006E7BCE">
        <w:rPr>
          <w:rFonts w:eastAsiaTheme="minorEastAsia"/>
        </w:rPr>
        <w:t>,</w:t>
      </w:r>
      <w:r w:rsidR="004D7860">
        <w:rPr>
          <w:rFonts w:eastAsiaTheme="minorEastAsia"/>
        </w:rPr>
        <w:t xml:space="preserve"> jak u dwóch poprzednich</w:t>
      </w:r>
      <w:r w:rsidR="006E7BCE">
        <w:rPr>
          <w:rFonts w:eastAsiaTheme="minorEastAsia"/>
        </w:rPr>
        <w:t>,</w:t>
      </w:r>
      <w:r w:rsidR="004D7860">
        <w:rPr>
          <w:rFonts w:eastAsiaTheme="minorEastAsia"/>
        </w:rPr>
        <w:t xml:space="preserve"> nastąpił zapłon</w:t>
      </w:r>
      <w:r w:rsidR="006E7BCE">
        <w:rPr>
          <w:rFonts w:eastAsiaTheme="minorEastAsia"/>
        </w:rPr>
        <w:t xml:space="preserve"> mieszanki 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</m:oMath>
      <w:r w:rsidR="00DD1DFD">
        <w:rPr>
          <w:rFonts w:eastAsiaTheme="minorEastAsia"/>
        </w:rPr>
        <w:t>. J</w:t>
      </w:r>
      <w:proofErr w:type="spellStart"/>
      <w:r w:rsidR="00DC191B">
        <w:rPr>
          <w:rFonts w:eastAsiaTheme="minorEastAsia"/>
        </w:rPr>
        <w:t>ednak</w:t>
      </w:r>
      <w:proofErr w:type="spellEnd"/>
      <w:r w:rsidR="006A4AC6">
        <w:rPr>
          <w:rFonts w:eastAsiaTheme="minorEastAsia"/>
        </w:rPr>
        <w:t xml:space="preserve"> stało się to długo, bo aż </w:t>
      </w:r>
      <m:oMath>
        <m:r>
          <w:rPr>
            <w:rFonts w:ascii="Cambria Math" w:eastAsiaTheme="minorEastAsia" w:hAnsi="Cambria Math"/>
          </w:rPr>
          <m:t>~10°</m:t>
        </m:r>
      </m:oMath>
      <w:r w:rsidR="00DD1DFD">
        <w:rPr>
          <w:rFonts w:eastAsiaTheme="minorEastAsia"/>
        </w:rPr>
        <w:t xml:space="preserve"> po przekroczeniu górnego martwego położenia tłoka. Na wykresach widać jak wysoka temperatura i ciśnienie nie utrzymują się</w:t>
      </w:r>
      <w:r w:rsidR="00790D0B">
        <w:rPr>
          <w:rFonts w:eastAsiaTheme="minorEastAsia"/>
        </w:rPr>
        <w:t xml:space="preserve">. Bardzo szybko i gwałtownie spadają. </w:t>
      </w:r>
      <w:r w:rsidR="00964DBC">
        <w:rPr>
          <w:rFonts w:eastAsiaTheme="minorEastAsia"/>
        </w:rPr>
        <w:t>N</w:t>
      </w:r>
      <w:r w:rsidR="00790D0B">
        <w:rPr>
          <w:rFonts w:eastAsiaTheme="minorEastAsia"/>
        </w:rPr>
        <w:t xml:space="preserve">ie jest to </w:t>
      </w:r>
      <w:r w:rsidR="00964DBC">
        <w:rPr>
          <w:rFonts w:eastAsiaTheme="minorEastAsia"/>
        </w:rPr>
        <w:t xml:space="preserve">więc </w:t>
      </w:r>
      <w:r w:rsidR="00790D0B">
        <w:rPr>
          <w:rFonts w:eastAsiaTheme="minorEastAsia"/>
        </w:rPr>
        <w:t xml:space="preserve">dobra mieszanka do </w:t>
      </w:r>
      <w:r w:rsidR="00964DBC">
        <w:rPr>
          <w:rFonts w:eastAsiaTheme="minorEastAsia"/>
        </w:rPr>
        <w:t xml:space="preserve">wykorzystania </w:t>
      </w:r>
      <w:r w:rsidR="00964DBC">
        <w:rPr>
          <w:rFonts w:eastAsiaTheme="minorEastAsia"/>
        </w:rPr>
        <w:lastRenderedPageBreak/>
        <w:t>jako paliwo palne</w:t>
      </w:r>
      <w:r w:rsidR="00DB60A8">
        <w:rPr>
          <w:rFonts w:eastAsiaTheme="minorEastAsia"/>
        </w:rPr>
        <w:t xml:space="preserve">, ponieważ podczas suwu pracy nic się nie dzieje, co </w:t>
      </w:r>
      <w:r w:rsidR="00107C41">
        <w:rPr>
          <w:rFonts w:eastAsiaTheme="minorEastAsia"/>
        </w:rPr>
        <w:t>z kolei prowadzi do bardzo małej efektywności.</w:t>
      </w:r>
      <w:r w:rsidR="00E3045C">
        <w:rPr>
          <w:rFonts w:eastAsiaTheme="minorEastAsia"/>
        </w:rPr>
        <w:t xml:space="preserve"> Najlepiej natomiast wypadła mieszanka zawierająca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 w:rsidR="00B96933">
        <w:rPr>
          <w:rFonts w:eastAsiaTheme="minorEastAsia"/>
        </w:rPr>
        <w:t>. Temperatura</w:t>
      </w:r>
      <w:r w:rsidR="00A12487">
        <w:rPr>
          <w:rFonts w:eastAsiaTheme="minorEastAsia"/>
        </w:rPr>
        <w:t xml:space="preserve">, </w:t>
      </w:r>
      <w:r w:rsidR="00B96933">
        <w:rPr>
          <w:rFonts w:eastAsiaTheme="minorEastAsia"/>
        </w:rPr>
        <w:t>ciśnienie</w:t>
      </w:r>
      <w:r w:rsidR="00A12487">
        <w:rPr>
          <w:rFonts w:eastAsiaTheme="minorEastAsia"/>
        </w:rPr>
        <w:t xml:space="preserve"> oraz stopień sprężenia potrzebny do</w:t>
      </w:r>
      <w:r w:rsidR="00B96933">
        <w:rPr>
          <w:rFonts w:eastAsiaTheme="minorEastAsia"/>
        </w:rPr>
        <w:t xml:space="preserve"> samozapłonu są stosunkowo niższe</w:t>
      </w:r>
      <w:r w:rsidR="00A12487">
        <w:rPr>
          <w:rFonts w:eastAsiaTheme="minorEastAsia"/>
        </w:rPr>
        <w:t>. Również</w:t>
      </w:r>
      <w:r w:rsidR="004120B2">
        <w:rPr>
          <w:rFonts w:eastAsiaTheme="minorEastAsia"/>
        </w:rPr>
        <w:t xml:space="preserve"> położenie tłoka</w:t>
      </w:r>
      <w:r w:rsidR="00A12487">
        <w:rPr>
          <w:rFonts w:eastAsiaTheme="minorEastAsia"/>
        </w:rPr>
        <w:t xml:space="preserve"> przy którym ów niezbędny stopień sprężenia</w:t>
      </w:r>
      <w:r w:rsidR="004120B2">
        <w:rPr>
          <w:rFonts w:eastAsiaTheme="minorEastAsia"/>
        </w:rPr>
        <w:t xml:space="preserve"> </w:t>
      </w:r>
      <w:r w:rsidR="00F26662">
        <w:rPr>
          <w:rFonts w:eastAsiaTheme="minorEastAsia"/>
        </w:rPr>
        <w:t>występuje jest niższe</w:t>
      </w:r>
      <w:r w:rsidR="00B42337">
        <w:rPr>
          <w:rFonts w:eastAsiaTheme="minorEastAsia"/>
        </w:rPr>
        <w:t>, co pozwala na dłuższe wykorzystanie wysokiego ciśnienia i temperatury</w:t>
      </w:r>
      <w:r w:rsidR="00BF538D">
        <w:rPr>
          <w:rFonts w:eastAsiaTheme="minorEastAsia"/>
        </w:rPr>
        <w:t>. Maksymalne ciśnienie w górnym martwym położeniu również jest najwyższe ze wszystkich</w:t>
      </w:r>
      <w:r w:rsidR="00904F7A">
        <w:rPr>
          <w:rFonts w:eastAsiaTheme="minorEastAsia"/>
        </w:rPr>
        <w:t>.</w:t>
      </w:r>
    </w:p>
    <w:p w14:paraId="592F853A" w14:textId="77777777" w:rsidR="00BA0872" w:rsidRDefault="00BA0872" w:rsidP="0062083B">
      <w:pPr>
        <w:rPr>
          <w:rFonts w:eastAsiaTheme="minorEastAsia"/>
        </w:rPr>
      </w:pPr>
    </w:p>
    <w:p w14:paraId="44FBDD67" w14:textId="77777777" w:rsidR="00EB3D78" w:rsidRDefault="00EB3D78" w:rsidP="0062083B">
      <w:pPr>
        <w:rPr>
          <w:rFonts w:eastAsiaTheme="minorEastAsia"/>
        </w:rPr>
      </w:pPr>
    </w:p>
    <w:p w14:paraId="08BE1694" w14:textId="430300E7" w:rsidR="00BA0872" w:rsidRPr="0021641C" w:rsidRDefault="00BA0872" w:rsidP="0021641C">
      <w:pPr>
        <w:jc w:val="center"/>
        <w:rPr>
          <w:b/>
          <w:bCs/>
          <w:sz w:val="40"/>
          <w:szCs w:val="32"/>
        </w:rPr>
      </w:pPr>
      <w:r w:rsidRPr="0021641C">
        <w:rPr>
          <w:b/>
          <w:bCs/>
          <w:sz w:val="36"/>
          <w:szCs w:val="28"/>
        </w:rPr>
        <w:t>Bibliografia</w:t>
      </w:r>
    </w:p>
    <w:p w14:paraId="5B955D56" w14:textId="6FEB4822" w:rsidR="00BA0872" w:rsidRDefault="0022462D" w:rsidP="00BA0872">
      <w:hyperlink r:id="rId13" w:history="1">
        <w:r w:rsidR="00E3469D" w:rsidRPr="00881346">
          <w:rPr>
            <w:rStyle w:val="Hipercze"/>
          </w:rPr>
          <w:t>https://python-charts.com/matplotlib/grid/</w:t>
        </w:r>
      </w:hyperlink>
    </w:p>
    <w:p w14:paraId="5D45C8A4" w14:textId="05C85AC6" w:rsidR="00E3469D" w:rsidRDefault="0022462D" w:rsidP="00BA0872">
      <w:hyperlink r:id="rId14" w:history="1">
        <w:r w:rsidR="00697EFA" w:rsidRPr="00881346">
          <w:rPr>
            <w:rStyle w:val="Hipercze"/>
          </w:rPr>
          <w:t>https://matplotlib.org/stable/api/_as_gen/matplotlib.axes.Axes.set_xticks.html</w:t>
        </w:r>
      </w:hyperlink>
    </w:p>
    <w:p w14:paraId="18AC2D6A" w14:textId="3D25D177" w:rsidR="00306F35" w:rsidRDefault="0022462D" w:rsidP="00BA0872">
      <w:hyperlink r:id="rId15" w:history="1">
        <w:r w:rsidR="00306F35" w:rsidRPr="00881346">
          <w:rPr>
            <w:rStyle w:val="Hipercze"/>
          </w:rPr>
          <w:t>https://matplotlib.org/stable/api/_as_gen/matplotlib.pyplot.xticks.html</w:t>
        </w:r>
      </w:hyperlink>
    </w:p>
    <w:p w14:paraId="528BD0BA" w14:textId="2A214221" w:rsidR="00306F35" w:rsidRDefault="0022462D" w:rsidP="00BA0872">
      <w:hyperlink r:id="rId16" w:history="1">
        <w:r w:rsidR="00306F35" w:rsidRPr="00881346">
          <w:rPr>
            <w:rStyle w:val="Hipercze"/>
          </w:rPr>
          <w:t>https://stackabuse.com/how-to-set-axis-range-xlim-ylim-in-matplotlib/</w:t>
        </w:r>
      </w:hyperlink>
    </w:p>
    <w:p w14:paraId="048855C8" w14:textId="77777777" w:rsidR="00306F35" w:rsidRPr="00BA0872" w:rsidRDefault="00306F35" w:rsidP="00BA0872"/>
    <w:sectPr w:rsidR="00306F35" w:rsidRPr="00BA0872" w:rsidSect="003973DA">
      <w:headerReference w:type="default" r:id="rId17"/>
      <w:footerReference w:type="default" r:id="rId18"/>
      <w:pgSz w:w="11906" w:h="16838"/>
      <w:pgMar w:top="1417" w:right="1417" w:bottom="1417" w:left="1417" w:header="454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3198C" w14:textId="77777777" w:rsidR="004452B7" w:rsidRDefault="004452B7" w:rsidP="00E676C4">
      <w:pPr>
        <w:spacing w:before="0" w:line="240" w:lineRule="auto"/>
      </w:pPr>
      <w:r>
        <w:separator/>
      </w:r>
    </w:p>
  </w:endnote>
  <w:endnote w:type="continuationSeparator" w:id="0">
    <w:p w14:paraId="254D2458" w14:textId="77777777" w:rsidR="004452B7" w:rsidRDefault="004452B7" w:rsidP="00E676C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0226500"/>
      <w:docPartObj>
        <w:docPartGallery w:val="Page Numbers (Bottom of Page)"/>
        <w:docPartUnique/>
      </w:docPartObj>
    </w:sdtPr>
    <w:sdtEndPr/>
    <w:sdtContent>
      <w:p w14:paraId="0FB47736" w14:textId="42C2F64B" w:rsidR="00ED34C5" w:rsidRDefault="00ED34C5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5F1E18" w14:textId="77777777" w:rsidR="00E676C4" w:rsidRDefault="00E676C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9C108" w14:textId="77777777" w:rsidR="004452B7" w:rsidRDefault="004452B7" w:rsidP="00E676C4">
      <w:pPr>
        <w:spacing w:before="0" w:line="240" w:lineRule="auto"/>
      </w:pPr>
      <w:r>
        <w:separator/>
      </w:r>
    </w:p>
  </w:footnote>
  <w:footnote w:type="continuationSeparator" w:id="0">
    <w:p w14:paraId="2B21DEBE" w14:textId="77777777" w:rsidR="004452B7" w:rsidRDefault="004452B7" w:rsidP="00E676C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790CC" w14:textId="2C3C0F8F" w:rsidR="003973DA" w:rsidRDefault="00426AE0" w:rsidP="00CA7DCF">
    <w:pPr>
      <w:pStyle w:val="Nagwek"/>
      <w:jc w:val="right"/>
      <w:rPr>
        <w:i/>
        <w:iCs/>
      </w:rPr>
    </w:pPr>
    <w:r>
      <w:rPr>
        <w:i/>
        <w:iCs/>
      </w:rPr>
      <w:t>Piwowarski Hubert</w:t>
    </w:r>
  </w:p>
  <w:p w14:paraId="2BBF4A13" w14:textId="66CE46DF" w:rsidR="00426AE0" w:rsidRPr="003973DA" w:rsidRDefault="00CA7DCF" w:rsidP="00CA7DCF">
    <w:pPr>
      <w:pStyle w:val="Nagwek"/>
      <w:jc w:val="left"/>
      <w:rPr>
        <w:i/>
        <w:iCs/>
      </w:rPr>
    </w:pPr>
    <w:r>
      <w:rPr>
        <w:i/>
        <w:iCs/>
      </w:rPr>
      <w:t>MKwS 2023 – projekt</w:t>
    </w:r>
    <w:r>
      <w:rPr>
        <w:i/>
        <w:iCs/>
      </w:rPr>
      <w:ptab w:relativeTo="margin" w:alignment="right" w:leader="none"/>
    </w:r>
    <w:r w:rsidR="00426AE0">
      <w:rPr>
        <w:i/>
        <w:iCs/>
      </w:rPr>
      <w:t>Maciejuk Szymon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C179E"/>
    <w:multiLevelType w:val="multilevel"/>
    <w:tmpl w:val="16144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2F24EDF"/>
    <w:multiLevelType w:val="multilevel"/>
    <w:tmpl w:val="05D64B6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39F455B"/>
    <w:multiLevelType w:val="hybridMultilevel"/>
    <w:tmpl w:val="45C4DEB0"/>
    <w:lvl w:ilvl="0" w:tplc="E4B0CE32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060C8"/>
    <w:multiLevelType w:val="hybridMultilevel"/>
    <w:tmpl w:val="53A8DA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801815"/>
    <w:multiLevelType w:val="hybridMultilevel"/>
    <w:tmpl w:val="31DE77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00A8E"/>
    <w:multiLevelType w:val="multilevel"/>
    <w:tmpl w:val="586C9F06"/>
    <w:lvl w:ilvl="0">
      <w:start w:val="1"/>
      <w:numFmt w:val="decimal"/>
      <w:pStyle w:val="Nagwek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5512B1B"/>
    <w:multiLevelType w:val="hybridMultilevel"/>
    <w:tmpl w:val="FA008298"/>
    <w:lvl w:ilvl="0" w:tplc="62F4973A">
      <w:start w:val="1"/>
      <w:numFmt w:val="decimal"/>
      <w:lvlText w:val="1.%1"/>
      <w:lvlJc w:val="left"/>
      <w:pPr>
        <w:ind w:left="100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35157721">
    <w:abstractNumId w:val="2"/>
  </w:num>
  <w:num w:numId="2" w16cid:durableId="481846436">
    <w:abstractNumId w:val="6"/>
  </w:num>
  <w:num w:numId="3" w16cid:durableId="1290087231">
    <w:abstractNumId w:val="6"/>
  </w:num>
  <w:num w:numId="4" w16cid:durableId="439448355">
    <w:abstractNumId w:val="5"/>
  </w:num>
  <w:num w:numId="5" w16cid:durableId="1450666280">
    <w:abstractNumId w:val="5"/>
  </w:num>
  <w:num w:numId="6" w16cid:durableId="1678922341">
    <w:abstractNumId w:val="5"/>
  </w:num>
  <w:num w:numId="7" w16cid:durableId="1250650788">
    <w:abstractNumId w:val="5"/>
  </w:num>
  <w:num w:numId="8" w16cid:durableId="613026230">
    <w:abstractNumId w:val="5"/>
  </w:num>
  <w:num w:numId="9" w16cid:durableId="387806839">
    <w:abstractNumId w:val="5"/>
  </w:num>
  <w:num w:numId="10" w16cid:durableId="695161596">
    <w:abstractNumId w:val="5"/>
  </w:num>
  <w:num w:numId="11" w16cid:durableId="1337807281">
    <w:abstractNumId w:val="5"/>
  </w:num>
  <w:num w:numId="12" w16cid:durableId="803431361">
    <w:abstractNumId w:val="0"/>
  </w:num>
  <w:num w:numId="13" w16cid:durableId="1408308175">
    <w:abstractNumId w:val="1"/>
  </w:num>
  <w:num w:numId="14" w16cid:durableId="433594368">
    <w:abstractNumId w:val="4"/>
  </w:num>
  <w:num w:numId="15" w16cid:durableId="1422839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D2B"/>
    <w:rsid w:val="00054E6E"/>
    <w:rsid w:val="00086A9A"/>
    <w:rsid w:val="000D503C"/>
    <w:rsid w:val="000F2C0C"/>
    <w:rsid w:val="00105B6A"/>
    <w:rsid w:val="001062E1"/>
    <w:rsid w:val="00107C41"/>
    <w:rsid w:val="0011079E"/>
    <w:rsid w:val="00114B6F"/>
    <w:rsid w:val="0013480C"/>
    <w:rsid w:val="001473ED"/>
    <w:rsid w:val="00173BE0"/>
    <w:rsid w:val="001B66DC"/>
    <w:rsid w:val="001C3C98"/>
    <w:rsid w:val="001D2F15"/>
    <w:rsid w:val="001F3266"/>
    <w:rsid w:val="0021641C"/>
    <w:rsid w:val="0022462D"/>
    <w:rsid w:val="00233182"/>
    <w:rsid w:val="0025232D"/>
    <w:rsid w:val="0025725E"/>
    <w:rsid w:val="002650CD"/>
    <w:rsid w:val="0026727F"/>
    <w:rsid w:val="002B6DF7"/>
    <w:rsid w:val="002C2BC2"/>
    <w:rsid w:val="002E4E20"/>
    <w:rsid w:val="002F07E8"/>
    <w:rsid w:val="003021A6"/>
    <w:rsid w:val="00303167"/>
    <w:rsid w:val="00306F35"/>
    <w:rsid w:val="003225CF"/>
    <w:rsid w:val="00335914"/>
    <w:rsid w:val="00352A70"/>
    <w:rsid w:val="003904F7"/>
    <w:rsid w:val="003973DA"/>
    <w:rsid w:val="003E292B"/>
    <w:rsid w:val="003E7CD2"/>
    <w:rsid w:val="004120B2"/>
    <w:rsid w:val="00426AE0"/>
    <w:rsid w:val="004452B7"/>
    <w:rsid w:val="00456D2B"/>
    <w:rsid w:val="0046519C"/>
    <w:rsid w:val="004829DD"/>
    <w:rsid w:val="004B6878"/>
    <w:rsid w:val="004C19C0"/>
    <w:rsid w:val="004D7860"/>
    <w:rsid w:val="005157EE"/>
    <w:rsid w:val="005208CD"/>
    <w:rsid w:val="0052626E"/>
    <w:rsid w:val="0053533A"/>
    <w:rsid w:val="005543B6"/>
    <w:rsid w:val="00581809"/>
    <w:rsid w:val="005930E6"/>
    <w:rsid w:val="00596F51"/>
    <w:rsid w:val="005B2917"/>
    <w:rsid w:val="005C2244"/>
    <w:rsid w:val="005D3EC3"/>
    <w:rsid w:val="005D4970"/>
    <w:rsid w:val="005E4B5B"/>
    <w:rsid w:val="0061015A"/>
    <w:rsid w:val="0062083B"/>
    <w:rsid w:val="00627777"/>
    <w:rsid w:val="00630BF4"/>
    <w:rsid w:val="006369C0"/>
    <w:rsid w:val="00650222"/>
    <w:rsid w:val="00666919"/>
    <w:rsid w:val="00697EFA"/>
    <w:rsid w:val="006A4AC6"/>
    <w:rsid w:val="006B0879"/>
    <w:rsid w:val="006B68F7"/>
    <w:rsid w:val="006C3232"/>
    <w:rsid w:val="006E2679"/>
    <w:rsid w:val="006E4CA6"/>
    <w:rsid w:val="006E7BCE"/>
    <w:rsid w:val="006F4E37"/>
    <w:rsid w:val="00716148"/>
    <w:rsid w:val="007303B2"/>
    <w:rsid w:val="00747F3C"/>
    <w:rsid w:val="00790D0B"/>
    <w:rsid w:val="007A0716"/>
    <w:rsid w:val="007B59BF"/>
    <w:rsid w:val="007E1613"/>
    <w:rsid w:val="00820234"/>
    <w:rsid w:val="008221E9"/>
    <w:rsid w:val="00842C1C"/>
    <w:rsid w:val="00844961"/>
    <w:rsid w:val="0085778E"/>
    <w:rsid w:val="00882DF7"/>
    <w:rsid w:val="00884D4A"/>
    <w:rsid w:val="00884E78"/>
    <w:rsid w:val="008D5412"/>
    <w:rsid w:val="008E7CC1"/>
    <w:rsid w:val="008F7205"/>
    <w:rsid w:val="00904F7A"/>
    <w:rsid w:val="0095231F"/>
    <w:rsid w:val="00964DBC"/>
    <w:rsid w:val="00986CFB"/>
    <w:rsid w:val="009B1148"/>
    <w:rsid w:val="009B59BD"/>
    <w:rsid w:val="009E54DE"/>
    <w:rsid w:val="00A12487"/>
    <w:rsid w:val="00A209FB"/>
    <w:rsid w:val="00A24732"/>
    <w:rsid w:val="00A37A42"/>
    <w:rsid w:val="00A451AE"/>
    <w:rsid w:val="00A456F3"/>
    <w:rsid w:val="00A64CA5"/>
    <w:rsid w:val="00A75AA4"/>
    <w:rsid w:val="00AB3173"/>
    <w:rsid w:val="00AB74BC"/>
    <w:rsid w:val="00AF4A8C"/>
    <w:rsid w:val="00B078C7"/>
    <w:rsid w:val="00B142A5"/>
    <w:rsid w:val="00B14A17"/>
    <w:rsid w:val="00B42337"/>
    <w:rsid w:val="00B52B88"/>
    <w:rsid w:val="00B67885"/>
    <w:rsid w:val="00B7714C"/>
    <w:rsid w:val="00B77C68"/>
    <w:rsid w:val="00B87524"/>
    <w:rsid w:val="00B96933"/>
    <w:rsid w:val="00BA0872"/>
    <w:rsid w:val="00BB02BD"/>
    <w:rsid w:val="00BC09F3"/>
    <w:rsid w:val="00BE2295"/>
    <w:rsid w:val="00BF538D"/>
    <w:rsid w:val="00C233EC"/>
    <w:rsid w:val="00C36778"/>
    <w:rsid w:val="00CA7DCF"/>
    <w:rsid w:val="00CB12F9"/>
    <w:rsid w:val="00CC3F59"/>
    <w:rsid w:val="00CE4C23"/>
    <w:rsid w:val="00CE5BAE"/>
    <w:rsid w:val="00D2146D"/>
    <w:rsid w:val="00D35DB6"/>
    <w:rsid w:val="00D8359B"/>
    <w:rsid w:val="00D83EB1"/>
    <w:rsid w:val="00DA304A"/>
    <w:rsid w:val="00DA4A04"/>
    <w:rsid w:val="00DA60F8"/>
    <w:rsid w:val="00DB60A8"/>
    <w:rsid w:val="00DB71E8"/>
    <w:rsid w:val="00DC072E"/>
    <w:rsid w:val="00DC191B"/>
    <w:rsid w:val="00DC3557"/>
    <w:rsid w:val="00DD1A52"/>
    <w:rsid w:val="00DD1DFD"/>
    <w:rsid w:val="00DD4B43"/>
    <w:rsid w:val="00E3045C"/>
    <w:rsid w:val="00E3469D"/>
    <w:rsid w:val="00E57BD0"/>
    <w:rsid w:val="00E60BDB"/>
    <w:rsid w:val="00E676C4"/>
    <w:rsid w:val="00E71851"/>
    <w:rsid w:val="00E83500"/>
    <w:rsid w:val="00E86FEF"/>
    <w:rsid w:val="00EB3D78"/>
    <w:rsid w:val="00EC121F"/>
    <w:rsid w:val="00EC2BF6"/>
    <w:rsid w:val="00ED34C5"/>
    <w:rsid w:val="00ED5A16"/>
    <w:rsid w:val="00EE70F2"/>
    <w:rsid w:val="00F200DB"/>
    <w:rsid w:val="00F26662"/>
    <w:rsid w:val="00F31A04"/>
    <w:rsid w:val="00F33435"/>
    <w:rsid w:val="00F67B91"/>
    <w:rsid w:val="00F70BB5"/>
    <w:rsid w:val="00F94C52"/>
    <w:rsid w:val="00FB5A9B"/>
    <w:rsid w:val="00FC3146"/>
    <w:rsid w:val="00FD31A5"/>
    <w:rsid w:val="00FD53E5"/>
    <w:rsid w:val="00FE27EB"/>
    <w:rsid w:val="00FF702D"/>
    <w:rsid w:val="00FF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B1330B"/>
  <w15:chartTrackingRefBased/>
  <w15:docId w15:val="{76BA7E02-2643-400E-B70A-EF47EFC0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F702D"/>
    <w:pPr>
      <w:spacing w:before="120" w:after="0"/>
      <w:jc w:val="both"/>
    </w:pPr>
    <w:rPr>
      <w:sz w:val="28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21641C"/>
    <w:pPr>
      <w:keepNext/>
      <w:keepLines/>
      <w:numPr>
        <w:numId w:val="11"/>
      </w:numPr>
      <w:spacing w:before="240"/>
      <w:outlineLvl w:val="0"/>
    </w:pPr>
    <w:rPr>
      <w:rFonts w:asciiTheme="majorHAnsi" w:eastAsiaTheme="minorEastAsia" w:hAnsiTheme="majorHAnsi" w:cstheme="majorBidi"/>
      <w:b/>
      <w:sz w:val="36"/>
      <w:szCs w:val="32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8F7205"/>
    <w:pPr>
      <w:keepNext/>
      <w:keepLines/>
      <w:numPr>
        <w:ilvl w:val="1"/>
        <w:numId w:val="11"/>
      </w:numPr>
      <w:outlineLvl w:val="1"/>
    </w:pPr>
    <w:rPr>
      <w:rFonts w:asciiTheme="majorHAnsi" w:eastAsiaTheme="minorEastAsia" w:hAnsiTheme="majorHAnsi" w:cstheme="majorBidi"/>
      <w:b/>
      <w:sz w:val="32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6369C0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eastAsiaTheme="minorEastAsia" w:hAnsiTheme="majorHAnsi" w:cstheme="majorBidi"/>
      <w:b/>
      <w:i/>
      <w:szCs w:val="24"/>
      <w:u w:val="singl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1641C"/>
    <w:rPr>
      <w:rFonts w:asciiTheme="majorHAnsi" w:eastAsiaTheme="minorEastAsia" w:hAnsiTheme="majorHAnsi" w:cstheme="majorBidi"/>
      <w:b/>
      <w:sz w:val="3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F7205"/>
    <w:rPr>
      <w:rFonts w:asciiTheme="majorHAnsi" w:eastAsiaTheme="minorEastAsia" w:hAnsiTheme="majorHAnsi" w:cstheme="majorBidi"/>
      <w:b/>
      <w:sz w:val="32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369C0"/>
    <w:rPr>
      <w:rFonts w:asciiTheme="majorHAnsi" w:eastAsiaTheme="minorEastAsia" w:hAnsiTheme="majorHAnsi" w:cstheme="majorBidi"/>
      <w:b/>
      <w:i/>
      <w:sz w:val="28"/>
      <w:szCs w:val="24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58180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9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81809"/>
    <w:rPr>
      <w:rFonts w:asciiTheme="majorHAnsi" w:eastAsiaTheme="majorEastAsia" w:hAnsiTheme="majorHAnsi" w:cstheme="majorBidi"/>
      <w:spacing w:val="-10"/>
      <w:kern w:val="28"/>
      <w:sz w:val="9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81809"/>
    <w:pPr>
      <w:numPr>
        <w:ilvl w:val="1"/>
      </w:numPr>
      <w:ind w:firstLine="454"/>
    </w:pPr>
    <w:rPr>
      <w:rFonts w:eastAsiaTheme="minorEastAsia"/>
      <w:color w:val="5A5A5A" w:themeColor="text1" w:themeTint="A5"/>
      <w:spacing w:val="15"/>
      <w:sz w:val="48"/>
    </w:rPr>
  </w:style>
  <w:style w:type="character" w:customStyle="1" w:styleId="PodtytuZnak">
    <w:name w:val="Podtytuł Znak"/>
    <w:basedOn w:val="Domylnaczcionkaakapitu"/>
    <w:link w:val="Podtytu"/>
    <w:uiPriority w:val="11"/>
    <w:rsid w:val="00581809"/>
    <w:rPr>
      <w:rFonts w:eastAsiaTheme="minorEastAsia"/>
      <w:color w:val="5A5A5A" w:themeColor="text1" w:themeTint="A5"/>
      <w:spacing w:val="15"/>
      <w:sz w:val="48"/>
    </w:rPr>
  </w:style>
  <w:style w:type="paragraph" w:styleId="Bezodstpw">
    <w:name w:val="No Spacing"/>
    <w:uiPriority w:val="1"/>
    <w:qFormat/>
    <w:rsid w:val="003225CF"/>
    <w:pPr>
      <w:spacing w:after="0" w:line="240" w:lineRule="auto"/>
    </w:pPr>
    <w:rPr>
      <w:sz w:val="24"/>
    </w:rPr>
  </w:style>
  <w:style w:type="character" w:styleId="Tekstzastpczy">
    <w:name w:val="Placeholder Text"/>
    <w:basedOn w:val="Domylnaczcionkaakapitu"/>
    <w:uiPriority w:val="99"/>
    <w:semiHidden/>
    <w:rsid w:val="003225CF"/>
    <w:rPr>
      <w:color w:val="808080"/>
    </w:rPr>
  </w:style>
  <w:style w:type="character" w:styleId="Hipercze">
    <w:name w:val="Hyperlink"/>
    <w:basedOn w:val="Domylnaczcionkaakapitu"/>
    <w:uiPriority w:val="99"/>
    <w:unhideWhenUsed/>
    <w:rsid w:val="00E3469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3469D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E676C4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76C4"/>
    <w:rPr>
      <w:sz w:val="28"/>
    </w:rPr>
  </w:style>
  <w:style w:type="paragraph" w:styleId="Stopka">
    <w:name w:val="footer"/>
    <w:basedOn w:val="Normalny"/>
    <w:link w:val="StopkaZnak"/>
    <w:uiPriority w:val="99"/>
    <w:unhideWhenUsed/>
    <w:rsid w:val="00E676C4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76C4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ython-charts.com/matplotlib/grid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stackabuse.com/how-to-set-axis-range-xlim-ylim-in-matplotlib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matplotlib.org/stable/api/_as_gen/matplotlib.pyplot.xticks.html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atplotlib.org/stable/api/_as_gen/matplotlib.axes.Axes.set_xticks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703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Piwowarski Hubert (STUD)</dc:creator>
  <cp:keywords/>
  <dc:description/>
  <cp:lastModifiedBy>Piwowarski Hubert (STUD)</cp:lastModifiedBy>
  <cp:revision>174</cp:revision>
  <dcterms:created xsi:type="dcterms:W3CDTF">2023-06-04T16:32:00Z</dcterms:created>
  <dcterms:modified xsi:type="dcterms:W3CDTF">2023-06-05T04:27:00Z</dcterms:modified>
</cp:coreProperties>
</file>