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Jak stopy NBP wpływają na wycenę banków w Polsce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Ostatnia aktualizacja: Wrzesień 2026 - Szymon Rosiński - Data wyceny 31.07.2026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Oba z analizowanych banków wychodzą znacznie powyżej wartości godziwej (mBank +55,0%, Pekao +23,4%). Ze względu na stanowcze przecenienie akcji wynikające z modelu, analiza opłacalności sprowadza się przede wszystkim do pytania o trwałość rentowności polskich banków w świetle obecnego krajobrazu finansowego. Cena rynkowa jest do uzasadniona jedynie przy założeniu, że banki utrzymają wskaźnik ROE na poziomie około 23,6% (dla mBanku) oraz  20,8% (dla Pekao) w nieskończoność, co w świetle wyników modelu (prognoza ROE dla mBanku: 20,5%) może okazać się mało prawdopodobne w rzeczywistości. Najważniejszy wniosek analizy jest względny. Przy tych samych założeniach kurs Pekao wymaga od przyszłości wyraźnie mniej niż kurs mBanku, a różnica w odchyleniu od wartości godziwej (16,5 p.p. na korzyść Pekao) utrzymuje się we wszystkich trzech scenariuszach stóp NBP i przy każdym sprawdzonym wariancie wygaszania rentowności.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Wycena i przedział niepewności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Wycena dyskontuje dywidendy z 5 lat prognozy wraz z wartością rezydualną, przy koszcie kapitału z CAPM osobnym dla każdej ścieżki stóp.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mBank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Pekao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Kurs odniesienia (31.07.2026)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1 351,50 zł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245,50 zł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Wartość godziwa, scenariusz bazowy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872,03 zł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198,99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Odchylenie od kursu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−35,5%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−18,9%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Scenariusze Hike / Cut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−32,2% / −38,6%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−16,3% / −21,4%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Przedział ufności 95% (błąd bety)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od −28,1% do −41,7%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od −13,1% do−24,1%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Przy braku wygaszania ROE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−15,6%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−10,3%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Udział wartości rezydualnej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74,8%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70,8%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Beta rynkowa jest tutaj rozumiana jako oszacowanie z regresji 104 tygodniowych stóp zwrotu i ma własny błąd standardowy. Po przeniesieniu jego 95-procentowego przedziału przez CAPM i przez wycenę upside mBanku mieści się między −28,1% a −41,7%. Aby wartość godziwa była równa kursowi, beta musiałaby wynieść 0,50 czego możliwość mało prawdopodobna statystycznie.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Niepewność przenosi się na tempo wygasania rentowności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 zakłada także, że ROE wygasa liniowo przez dziesięć lat do poziomu o 3 p.p. powyżej kosztu kapitału, stosuje formułę Gordona na samym końcu. Warianty tego parametru dają upside mBanku od −44,0% (zerowy zysk ekonomiczny w stanie ustalonym) do −15,6% (brak wygaszania, dzisiejsza rentowność na zawsze).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Wniosek względny jest na ten parametr znacznie mniej wrażliwy niż bezwzględny, ponieważ wygaszanie przesuwa oba banki w tę samą stronę. Każdy ze sprawdzonym poziomów rentowności terminalnej Pekao pozostaje mniej przewartościowany niż mBank (przewaga od 5,3 p.p. dla braku wygaszania, do 17,4 p.p. gdy wygaszanie zmienione zostaje na Ke + 5 p.p.). Zmiana sposobu zakotwiczenia wygaszania zmniejsza tę przewagę co najwyżej do około 6 p.p. Kolejność odwraca się dopiero wtedy, gdy brak wygaszania zbiega się z betą na dolnej granicy przedziału ufności, czyli w wariancie, w którym kurs obu banków okazuje się uzasadniony.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Jak stopa referencyjna NBP wpływa na banki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Stopa referencyjna jest istotna dla wyceny w 3 kanałach.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Kanał marżowy </w:t>
      </w:r>
      <w:r w:rsidDel="00000000" w:rsidR="00000000" w:rsidRPr="00000000">
        <w:rPr>
          <w:b w:val="1"/>
          <w:bCs w:val="1"/>
          <w:rtl w:val="0"/>
        </w:rPr>
        <w:t xml:space="preserve">(impakt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dodatni)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Regresja 21 kwartałów daje wrażliwość marży odsetkowej na stopę referencyjną równą 0,328 u mBanku i 0,298 u Pekao. </w:t>
      </w:r>
      <w:r w:rsidDel="00000000" w:rsidR="00000000" w:rsidRPr="00000000">
        <w:rPr>
          <w:rtl w:val="0"/>
        </w:rPr>
        <w:t xml:space="preserve">Zr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óżnicowanie </w:t>
      </w:r>
      <w:r w:rsidDel="00000000" w:rsidR="00000000" w:rsidRPr="00000000">
        <w:rPr>
          <w:rtl w:val="0"/>
        </w:rPr>
        <w:t xml:space="preserve">widoczne jest od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drugi</w:t>
      </w:r>
      <w:r w:rsidDel="00000000" w:rsidR="00000000" w:rsidRPr="00000000">
        <w:rPr>
          <w:rtl w:val="0"/>
        </w:rPr>
        <w:t xml:space="preserve">ego półrocza 2026 roku.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Kanał dyskontowy </w:t>
      </w:r>
      <w:r w:rsidDel="00000000" w:rsidR="00000000" w:rsidRPr="00000000">
        <w:rPr>
          <w:b w:val="1"/>
          <w:bCs w:val="1"/>
          <w:rtl w:val="0"/>
        </w:rPr>
        <w:t xml:space="preserve">(impakt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ujemny</w:t>
      </w:r>
      <w:r w:rsidDel="00000000" w:rsidR="00000000" w:rsidRPr="00000000">
        <w:rPr>
          <w:b w:val="1"/>
          <w:bCs w:val="1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Wyższe stopy podnoszą rentowność obligacji, a przez nią stopę wolną od ryzyka i koszt kapitału. Model przenosi 0,70 zmiany stopy krótkiej na rentowność dziesięcioletnią.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sdt>
        <w:sdtPr>
          <w:id w:val="-1394858816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Kanał terminaln</w:t>
      </w:r>
      <w:r w:rsidDel="00000000" w:rsidR="00000000" w:rsidRPr="00000000">
        <w:rPr>
          <w:b w:val="1"/>
          <w:bCs w:val="1"/>
          <w:rtl w:val="0"/>
        </w:rPr>
        <w:t xml:space="preserve">y (impakt bliski 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Rentowność w stanie ustalonym jest zakotwiczona 3 p.p. powyżej kosztu kapitału, więc wyższe stopy podnoszą jednocześnie ROE terminalne i stopę dyskontową.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Ścieżka NBP (średnia 2026–2030)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Cut 3,07%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Base 3,53%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Hike 4,00%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Koszt kapitału mBank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11,76%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12,09%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12,42%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Terminal ROE mBank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14,76%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15,09%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15,42%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Zysk netto 2026 mBank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4 148 mln zł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4 232 mln zł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4 330 mln zł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Wartość godziwa mBank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829,53 zł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872,03 zł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916,89 zł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Wartość godziwa Pekao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192,89 zł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198,99 zł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205,49 zł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Wynik netto: kanał marżowy wygrywa. Różnica 93 bps  w średniej stopie NBP przez 5  lat odpowiada za 10,0% wartości mBanku i 6,3% wartości Pekao co podkreśla istotność decyzji RPP w sytuacji finansowej banków. Warto podkreślić jednak że ta informacja  nie tłumaczy różnicy między modelem a rynkiem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Ścieżki Cut/Base/Hike oparte na ankietach Makroekonomicznych NBP (czerwiec 2026), gdzie Hike i Cut to odpowiednio górna i dolna granica 50-procentowego przedziału prawdopodobieństwa opisanego w raporcie.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Implikacje dla polskiego sektora bankowego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Porównanie premii do wskaźnika P/B daje dwa różne rankingi w zależności czy koszty ryzyka prawnego kredytów walutowych są znormalizowane.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320"/>
        <w:gridCol w:w="2320"/>
        <w:gridCol w:w="2320"/>
        <w:tblGridChange w:id="0">
          <w:tblGrid>
            <w:gridCol w:w="2400"/>
            <w:gridCol w:w="2320"/>
            <w:gridCol w:w="2320"/>
            <w:gridCol w:w="23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Premia na ROE raportowanym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Premia po normalizacji o koszty CHF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Premia po normalizacji, z 10-letnim wygaszaniem ROE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Bank Millennium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+135,1%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−16,5%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+39,4%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mBank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+91,3%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+17,1%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+69,3%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PKO BP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+34,1%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−3,8%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+39,1%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Erste Bank Polska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+25,4%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+0,4%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+33,1%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ING Bank Śląski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+17,6%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+16,3%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+63,8%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Bank Pekao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−0,8%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−9,4%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+17,1%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 powyższej tabeli widoczny jest rozjazd rankingu w zależności czy ewaluacja skupiona jest na wskaźniku ROE czy uwzględnia ona również koszty związane z ryzykiem walutowym. Po ujednoliceniu podstawy kapitałowej obu banków mBank cechuję się najdroższą wyceną (17,1%), z Bankiem Pekao znajdującym się bliżej dołu rankingu (-9,4%).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Ostatnia kolumna stosuje do całej szóstki założenie wyceny DDM. ROE po normalizacji wygasa od razu, liniowo przez dziesięć lat, do poziomu Ke + 3 p.p. przy wypłacie 75%, przy wspólnych dla sektora Ke i g. Kolumny bez wygaszania służą do uszeregowania banków, a kolumna z wygaszaniem pokazuje poziom. Przy tym założeniu żaden bank w sektorze nie wygląda tanio, mBank pozostaje najdroższy (+69,3%), a Pekao staje się najtańszy (+17,1%).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Warta uwagi jest również zróżnicowana wrażliwość na ścieżkę RPP między bankami (10% wobec 6,3% wartości).  Widok na stopy powinien decydować nie tylko o zaangażowaniu w sektor, ale i o doborze waloru wewnątrz niego.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Zdolność dywidendowa jako zmienna regulacyjna. </w:t>
      </w:r>
      <w:r w:rsidDel="00000000" w:rsidR="00000000" w:rsidRPr="00000000">
        <w:rPr>
          <w:rtl w:val="0"/>
        </w:rPr>
        <w:t xml:space="preserve">Wyceny obu banków stoją w 74,8% (mBank) i 70,8% (Pekao) na wartości rezydualnej, na co ma wpływ przede wszystkim stopa wypłaty dochodząca do 75% w 2030 r. O możliwości takich wypłat  rozstrzygają głównie kryteria polityki dywidendowej nadzoru, zamiast wyników banków. Jest to więc główne źródło ryzyka wspólnego dla całego sektora.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Jak musiałby wyglądać rynek aby dzisiejsza cena była uczciwa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Kanał, którym rynek mógłby mieć rację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mBank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Pekao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Czy jest to realistyczne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Niższe ryzyko: implikowana beta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0,50 wobec 1,30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1,02 wobec 1,47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Nie (7,0 i 5,7 błędu standardowego poniżej pomiaru)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Niższy koszt kapitału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7,26% wobec 12,09%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10,36% wobec 13,07%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Nie (Poniżej kosztu kapitału spółek o znacznie niższym ryzyku)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Wyższe stopy NBP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nie domyka (dla Hike mamy −32,2%)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nie domyka (dla Hike −16,3% mamy)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Nie (Górna granica ankiety NBP nie wystarcza)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Trwalsza rentowność: ROE terminalne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23,62% wobec 15,09%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20,77% wobec 16,07%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Tak (jest możliwość domknięcia luki)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Wynikający wzrost długookresowy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5,90%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5,19%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 mBanku wzrost ponad nominalny przyrost PKB (5,80%)</w:t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Wnioski: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luka nie dotyczy stóp</w:t>
      </w:r>
      <w:r w:rsidDel="00000000" w:rsidR="00000000" w:rsidRPr="00000000">
        <w:rPr>
          <w:rtl w:val="0"/>
        </w:rPr>
        <w:t xml:space="preserve">. Nawet scenariusz z górnej granicy 50-procentowego przedziału ankiety NBP pozostawia mBank 32,2% poniżej kursu.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luka nie dotyczy ryzyka</w:t>
      </w:r>
      <w:r w:rsidDel="00000000" w:rsidR="00000000" w:rsidRPr="00000000">
        <w:rPr>
          <w:rtl w:val="0"/>
        </w:rPr>
        <w:t xml:space="preserve">. Aby dzisiejsza cena mBanku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Uzasadnienie dzisiejszej ceny samym kosztem kapitału wymagałoby bety 0,50 dla mBanku — siedem błędów standardowych poniżej pomiaru i wartości niższej niż u typowej spółki użyteczności publicznej. Bank o becie 0,50 nie jest bankiem.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trwałość rentowności jako sposób na domknięcie luki</w:t>
      </w:r>
      <w:r w:rsidDel="00000000" w:rsidR="00000000" w:rsidRPr="00000000">
        <w:rPr>
          <w:rtl w:val="0"/>
        </w:rPr>
        <w:t xml:space="preserve">. Aby dzisiejsza cena była uczciwa, mBank musi utrzymać ROE na poziomie 23,62% w nieskończoność co jest wartością większą niż ta prognozowana przez model w szczytowym momencie (20,47%). Biorąc pod uwagę również wypłaty na poziomie 75% oznaczałoby to wzrost 5,90% rocznie na zawsze, co stanowi przyrost większy niż nominalnego wzrostu PKB (5,80%). Dla banku Pekao założenie jest bardziej realistyczne lecz wciąż wymagające (20,77% i wzrost 5,19%).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Porównanie z konsensusem analityków banków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 celu częściowej diagnozy oraz weryfikacji trafności modelu, projekt został zestawiony z raportami własnymi banków opartych o sentymenty ich grup analityków.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mBank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Bank Pekao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Cena docelowa konsensusu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985,30 zł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260,04 zł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Liczba instytucji -  data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8 - 11.02.2026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16 - 21.08.2026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Rozkład rekomendacji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Nie opublikowane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8 kupuj / 8 trzymać / 0 sprzedaj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Konsensus wobec kursu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−27,1%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+5,9%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Wartość godziwa z modelu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872,03 zł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198,99 zł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Model wobec ceny docelowej konsensusu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−11,5%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−23,5%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Zysk netto 2026: konsensus → model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3 846 → 4 232 mln zł (+10,0%)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5 761 → 5 792 mln zł (+0,5%)</w:t>
            </w:r>
          </w:p>
        </w:tc>
      </w:tr>
    </w:tbl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Wartość godziwa mBanku mieści się w przedziale cen docelowych analityków</w:t>
      </w:r>
      <w:r w:rsidDel="00000000" w:rsidR="00000000" w:rsidRPr="00000000">
        <w:rPr>
          <w:rtl w:val="0"/>
        </w:rPr>
        <w:t xml:space="preserve"> (841,30–1 224,00 zł), choć znajduje się jest bliżej dolnej granicy. Warta podkreślenia jest jednak </w:t>
      </w:r>
      <w:r w:rsidDel="00000000" w:rsidR="00000000" w:rsidRPr="00000000">
        <w:rPr>
          <w:b w:val="1"/>
          <w:bCs w:val="1"/>
          <w:rtl w:val="0"/>
        </w:rPr>
        <w:t xml:space="preserve">średnia cena docelowa z lutego 2026 r., która leżała 27% poniżej lipcowego kursu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2"/>
        <w:rPr>
          <w:color w:val="ff0000"/>
        </w:rPr>
      </w:pPr>
      <w:r w:rsidDel="00000000" w:rsidR="00000000" w:rsidRPr="00000000">
        <w:rPr>
          <w:rtl w:val="0"/>
        </w:rPr>
        <w:t xml:space="preserve">Czego wycena nie rozstrzyga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Przewaga wartości rezydualnej w wycenie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Pomimo wygaszania wartość rezydualna wciąż odpowiada za 74,8%  mBanku i 70,8%  Pekao wartości wyceny.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Wypłata dywidend na poziomie 75% jako dowód istotności.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 scenariuszu gdy dywidendy stoją na poziomie około 60% dla obu banków, ich tempo wzrostu przekraczałoby długookresowy nominalny wzrost PKB. Kierunek jest także odwrotny do intuicji, ponieważ niższa wypłata podnosi wycenę, ze względu na podniesienie retencji zysku.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Przyjęte 75% to górna granica wypłaty deklarowanej przez same banki (30–75% w strategii mBanku na lata 2026–2030, 50–75% w polityce dywidendowej Pekao) i zarazem maksimum dopuszczone przez KNF dla wypłat z zysku za 2025 r. Dla analizy jest to istotne ponieważ przy wypłacie powyżej 75% kurs mBanku przestałby wymagać wzrostu ponad nominalny PKB. takie założenie nie miałoby jednak oparcia ani w deklaracjach banków, ani w stanowisku nadzoru.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Druga połowa 2026 r. nie oparta na raportach. </w:t>
      </w:r>
      <w:r w:rsidDel="00000000" w:rsidR="00000000" w:rsidRPr="00000000">
        <w:rPr>
          <w:rtl w:val="0"/>
        </w:rPr>
        <w:t xml:space="preserve">Ze względu na okres czasowy powstawania projektu, analiza nie ma dostępu do danych zamykających 2026 rok. Rachunek za ten okres opiera się na informacjach zraportowanym już I półroczu, oraz II półroczu którego prognoza oparta jest o pierwsze 2 kwartały i skorygowany poprzez różnicę stóp między scenariuszami. Pozostałe czynniki takie jak prowizje, koszty operacyjne czy odpisy pozostają stałe.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Elementy wykraczające poza zakres modelu: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Struktura terminowa aktywów i pasywów, ryzyko prawne spoza portfela CHF, zmiany regulacyjne, ryzyko wykonania obu strategii czy analiza struktury i wpływu akcjonariatu (dotyczy przede wszystkim mBanku).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Konnkluzja</w:t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Teza inwestycyjna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Preferuję bank Pekao ponad mBank. Bank ten jest tańszy od mBanku w każdym przeanalizowanym przeze mnie scenariuszu (odmienne poziomy Ke, bety czy sposobu wygaszania). Przy korekcie o CHF oba banki mają identyczne P/B, na którym Pekao zarabia o jedną trzecią więcej.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Rekomendacja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Zdecydowanie rekomenduję zakup lub trzymanie akcji Pekao. Ten bank jest wyborem bardziej odpornym na ryzyka rynkowe oraz jest bankiem o stabilniejszej polityce dywidendowej i mniej powiązanym z ryzykiem portfela CHF.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 przypadku mBanku, sugeruję trzymanie lub sprzedaż akcji. Podmiot w dużym stopniu zależny od zewnętrznych akcjonariuszy, historycznie wysokimi kosztami związanymi z kredytami frankowymi oraz faktem wznowienia dywidend dopiero w najbliższym okresie stawia mBank w trudniej sytuacji jako prospekt inwestycyjny. Warto jednak pamiętać, że w przypadku sprzedaży akcji wypłacane w najbliższym okresie 5 lat dywidendy stanowią istotny koszt dla inwestora (około 20%).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>
          <w:color w:val="ff0000"/>
        </w:rPr>
      </w:pPr>
      <w:r w:rsidDel="00000000" w:rsidR="00000000" w:rsidRPr="00000000">
        <w:rPr>
          <w:rtl w:val="0"/>
        </w:rPr>
        <w:t xml:space="preserve">Katalizatory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Przede wszystkim, wiele zależy od ujednolicenia decyzji nadzoru Mbanku o zdolności dywidendowej. Większość wyceny banku zależne jest od realizacji strategii wznowienia dywidend i dojściu do wypłaty na poziomie 75%. Decyzja zarządu powinna zostać podjęta najpóźniej do końca trwania sezonu dywidendowego roku 2027.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 więcej, kluczowa jest pierwsza wypłata mBanku z zysku za 2026 r., która przypadnie na rok 2027. Pierwsze wypłaty dywidend ze ścieżki wskazanej w prognozowanej strategii na horyzont 2027-2030 powinno jednostronnie potwierdzić lub obalić wyznaczoną ścieżkę wzrostu dywidend przechodzącą od 30% do 75%.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Końcowo, istotne jest domknięcie przez mBank swojego portfela związanego z ryzykiem walutowym franka szwajcarskiego w okresie końca 2026 oraz początku 2027 roku. Eliminacja kosztów związanych z zarządzaniem tymi aktywami powinna pozytywnie wpłynąć na poziom wskaźnika ROE, który przybliży wycenę banku do prognozowanej przez projekt wartości godziwej.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Konsekwentnie, elementami, które spowodowałyby nietrafność prognoz modelu byłyby zdarzenia takie jak: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Odstąpienie mBanku od deklarowanej przez własny raport polityki dywidendowej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Niedostateczne domknięcie portfela związanego z CHF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Nieadekwatna wypłata dywidend za rok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Ryzyka nadrzędne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Głównym ryzykiem tezy jest wolniejsze lub brak wygaszania rentowności. Zmiany na poziomie pojedynczych punktów procentowych mogą intensywnie wpłynąć na wyniki. Przy ROE =  Ke+5 p.p. upside mBanku to już −28,9%, a przy braku wygaszania −15,6%.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Dodatkowo, sam sposób zakotwiczenia wygaszania może znacząco wpłynąć na wycenę banków. Najbardziej widoczne jest do dla banku Pekao, którego przewaga nad mBankiem spada z 16,5 to około 6p.p.</w:t>
      </w:r>
    </w:p>
    <w:p w:rsidR="00000000" w:rsidDel="00000000" w:rsidP="00000000" w:rsidRDefault="00000000" w:rsidRPr="00000000" w14:paraId="000000C0">
      <w:pPr>
        <w:rPr>
          <w:color w:val="ff0000"/>
        </w:rPr>
      </w:pPr>
      <w:r w:rsidDel="00000000" w:rsidR="00000000" w:rsidRPr="00000000">
        <w:rPr>
          <w:rtl w:val="0"/>
        </w:rPr>
        <w:t xml:space="preserve">Warto także pamiętać o ryzykach związanych z akcjonariatem mBanku czy o sprawie połączenia banku Pekao z PZU. W przypadku mBanku, Commerzbank, który jest jego głównym akcjonariuszem sam zależny jest od grupy UniCredit (który posiada 49,65% głosów na walnym zgromadzeniu). W przypadku wzrostu udziału UniCredit w Commerzbanku do ponad 50%, wymagałoby to obowiązek ogłoszenia wezwania na akcje co pośrednia ale znacząco przekłada się również na wycenę mBanku. Natomiast po stronie Pekao, termin połączenia z PZU został przesunięty na 31.12.2027, pod warunkiem uchwalenia ustawy do końca 2026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Metoda, źródła i zastrzeżenia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Metoda.</w:t>
      </w:r>
      <w:r w:rsidDel="00000000" w:rsidR="00000000" w:rsidRPr="00000000">
        <w:rPr>
          <w:rtl w:val="0"/>
        </w:rPr>
        <w:t xml:space="preserve"> Model zdyskontowanych dywidend z pięcioletnią prognozą, dziesięcioletnim wygaszaniem rentowności do poziomu Ke + 3 p.p. i wartością rezydualną Gordona na stanie ustalonym, kontrolowany modelem dochodu rezydualnego. Banki nie zostały wycenione DCF, ze względu na ich naturę depozytowo kredytową, która kategoryzowana jest jako działalność operacyjna a nie finansowa.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Parametry.</w:t>
      </w:r>
      <w:r w:rsidDel="00000000" w:rsidR="00000000" w:rsidRPr="00000000">
        <w:rPr>
          <w:rtl w:val="0"/>
        </w:rPr>
        <w:t xml:space="preserve"> Stopa wolna od ryzyka 4,40% (rentowność obligacji 10-letnich 5,30% minus spread default 0,90%, korygowana scenariuszowo), premia za ryzyko 6,01%, przeniesienie stopy krótkiej na długą 0,70, beta wobec WIG20 1,3045 i 1,4685 z okna dwuletniego, 104 obserwacje tygodniowe.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 podstawowe.</w:t>
      </w:r>
      <w:r w:rsidDel="00000000" w:rsidR="00000000" w:rsidRPr="00000000">
        <w:rPr>
          <w:rtl w:val="0"/>
        </w:rPr>
        <w:t xml:space="preserve"> Skonsolidowane sprawozdania finansowe Grupy mBanku oraz grupy Pekao za lata 2021–2025 ·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Ankieta Makroekonomiczna NBP, runda czerwiec 2026, nr 2/2026</w:t>
        </w:r>
      </w:hyperlink>
      <w:r w:rsidDel="00000000" w:rsidR="00000000" w:rsidRPr="00000000">
        <w:rPr>
          <w:rtl w:val="0"/>
        </w:rPr>
        <w:t xml:space="preserve"> (badanie 3–17.06.2026, 21 prognostów) ·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Damodaran, dane o ryzyku krajów, kwiecień 2026</w:t>
        </w:r>
      </w:hyperlink>
      <w:r w:rsidDel="00000000" w:rsidR="00000000" w:rsidRPr="00000000">
        <w:rPr>
          <w:rtl w:val="0"/>
        </w:rPr>
        <w:t xml:space="preserve"> ·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Strategia Grupy mBanku 2026–2030</w:t>
        </w:r>
      </w:hyperlink>
      <w:r w:rsidDel="00000000" w:rsidR="00000000" w:rsidRPr="00000000">
        <w:rPr>
          <w:rtl w:val="0"/>
        </w:rPr>
        <w:t xml:space="preserve"> ·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Polityka dywidendowa Banku Pekao</w:t>
        </w:r>
      </w:hyperlink>
      <w:r w:rsidDel="00000000" w:rsidR="00000000" w:rsidRPr="00000000">
        <w:rPr>
          <w:color w:val="0000ff"/>
          <w:rtl w:val="0"/>
        </w:rPr>
        <w:t xml:space="preserve"> ·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https://www.knf.gov.pl/knf/pl/komponenty/img/Stanowisko_KNF_ws_polityki_dywidendowej_w_2026_roku_96591.pdf</w:t>
        </w:r>
      </w:hyperlink>
      <w:r w:rsidDel="00000000" w:rsidR="00000000" w:rsidRPr="00000000">
        <w:rPr>
          <w:rtl w:val="0"/>
        </w:rPr>
        <w:t xml:space="preserve"> · notowania tygodniowe Stooq.pl.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Raport sporządzony na podstawie pliku źródłowego</w:t>
      </w:r>
      <w:r w:rsidDel="00000000" w:rsidR="00000000" w:rsidRPr="00000000">
        <w:rPr>
          <w:rtl w:val="0"/>
        </w:rPr>
        <w:t xml:space="preserve"> mBank_Pekao_Valuation_Model_v9.xlsx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Pozostałe źródła: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https://www.retailbankerinternational.com/news/unicredit-commerzbank-takeover/</w:t>
        </w:r>
      </w:hyperlink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C8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https://www.rp.pl/banki/art44792691-unicredit-coraz-blizej-przejecia-wlasciciela-mbanku-ma-juz-niemal-polowe-akcji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https://www.commerzbank.de/group/newsroom/press-releases/result-tender-offer-unicredit.html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https://www.rp.pl/banki/art44843831-jak-unicredit-podbija-europejski-rynek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https://www.rp.pl/banki/art43537281-pzu-i-bank-pekao-daja-sobie-wiecej-czasu-na-prace-nad-ewentualna-fuzja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zymon Rosiński" w:id="0" w:date="2026-09-21T18:55:50Z"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świecie trwale wyższych stóp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banki trwale zarabiają więcej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że się znosi wynika z założenia o kalkulacji ROE = Ke + 3p.p.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D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bank.pl/pdf/relacje-inwestorskie/introduction-to-mbank-pol.pdf" TargetMode="External"/><Relationship Id="rId10" Type="http://schemas.openxmlformats.org/officeDocument/2006/relationships/hyperlink" Target="https://pages.stern.nyu.edu/~adamodar/" TargetMode="External"/><Relationship Id="rId13" Type="http://schemas.openxmlformats.org/officeDocument/2006/relationships/hyperlink" Target="https://www.knf.gov.pl/knf/pl/komponenty/img/Stanowisko_KNF_ws_polityki_dywidendowej_w_2026_roku_96591.pdf" TargetMode="External"/><Relationship Id="rId12" Type="http://schemas.openxmlformats.org/officeDocument/2006/relationships/hyperlink" Target="https://www.pekao.com.pl/relacje-inwestorskie/akcje/dywidenda.html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nbp.pl/polityka-pieniezna/ankieta-makroekonomiczna/" TargetMode="External"/><Relationship Id="rId15" Type="http://schemas.openxmlformats.org/officeDocument/2006/relationships/hyperlink" Target="https://www.rp.pl/banki/art44792691-unicredit-coraz-blizej-przejecia-wlasciciela-mbanku-ma-juz-niemal-polowe-akcji" TargetMode="External"/><Relationship Id="rId14" Type="http://schemas.openxmlformats.org/officeDocument/2006/relationships/hyperlink" Target="https://www.retailbankerinternational.com/news/unicredit-commerzbank-takeover/" TargetMode="External"/><Relationship Id="rId17" Type="http://schemas.openxmlformats.org/officeDocument/2006/relationships/hyperlink" Target="https://www.rp.pl/banki/art44843831-jak-unicredit-podbija-europejski-rynek" TargetMode="External"/><Relationship Id="rId16" Type="http://schemas.openxmlformats.org/officeDocument/2006/relationships/hyperlink" Target="https://www.commerzbank.de/group/newsroom/press-releases/result-tender-offer-unicredit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yperlink" Target="https://www.rp.pl/banki/art43537281-pzu-i-bank-pekao-daja-sobie-wiecej-czasu-na-prace-nad-ewentualna-fuzja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L4brp8DQq1Wv9zoK8Rh70hAA==">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