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D3-Demo</w:t>
      </w:r>
    </w:p>
    <w:p>
      <w:pPr>
        <w:spacing w:after="120"/>
        <w:jc w:val="center"/>
      </w:pPr>
      <w:r>
        <w:rPr>
          <w:rFonts w:ascii="Arial" w:cs="Arial" w:eastAsia="Arial" w:hAnsi="Arial"/>
          <w:color w:val="2E75B6"/>
          <w:sz w:val="32"/>
          <w:szCs w:val="32"/>
        </w:rPr>
        <w:t xml:space="preserve">An Event-Driven Semi-Autonomous Exception Loop</w:t>
      </w:r>
    </w:p>
    <w:p>
      <w:pPr>
        <w:spacing w:after="120"/>
        <w:jc w:val="center"/>
      </w:pPr>
      <w:r>
        <w:rPr>
          <w:rFonts w:ascii="Arial" w:cs="Arial" w:eastAsia="Arial" w:hAnsi="Arial"/>
          <w:color w:val="2E75B6"/>
          <w:sz w:val="32"/>
          <w:szCs w:val="32"/>
        </w:rPr>
        <w:t xml:space="preserve">for Supply Chain Fulfillment Disruption Response</w:t>
      </w:r>
    </w:p>
    <w:p>
      <w:pPr>
        <w:spacing w:after="60"/>
      </w:pPr>
    </w:p>
    <w:p>
      <w:pPr>
        <w:spacing w:after="60"/>
        <w:jc w:val="center"/>
      </w:pPr>
      <w:r>
        <w:rPr>
          <w:rFonts w:ascii="Arial" w:cs="Arial" w:eastAsia="Arial" w:hAnsi="Arial"/>
          <w:color w:val="333333"/>
          <w:sz w:val="24"/>
          <w:szCs w:val="24"/>
        </w:rPr>
        <w:t xml:space="preserve">Project Proposal</w:t>
      </w:r>
    </w:p>
    <w:p>
      <w:pPr>
        <w:spacing w:after="60"/>
        <w:jc w:val="center"/>
      </w:pPr>
      <w:r>
        <w:rPr>
          <w:rFonts w:ascii="Arial" w:cs="Arial" w:eastAsia="Arial" w:hAnsi="Arial"/>
          <w:color w:val="666666"/>
          <w:sz w:val="22"/>
          <w:szCs w:val="22"/>
        </w:rPr>
        <w:t xml:space="preserve">Generative Models — Final Project</w:t>
      </w:r>
    </w:p>
    <w:p>
      <w:pPr>
        <w:spacing w:after="60"/>
      </w:pPr>
    </w:p>
    <w:p>
      <w:pPr>
        <w:spacing w:after="60"/>
        <w:jc w:val="center"/>
      </w:pPr>
      <w:r>
        <w:rPr>
          <w:rFonts w:ascii="Arial" w:cs="Arial" w:eastAsia="Arial" w:hAnsi="Arial"/>
          <w:b/>
          <w:bCs/>
          <w:color w:val="333333"/>
          <w:sz w:val="24"/>
          <w:szCs w:val="24"/>
        </w:rPr>
        <w:t xml:space="preserve">Tianshi Wang</w:t>
      </w:r>
    </w:p>
    <w:p>
      <w:pPr>
        <w:spacing w:after="60"/>
        <w:jc w:val="center"/>
      </w:pPr>
      <w:r>
        <w:rPr>
          <w:rFonts w:ascii="Arial" w:cs="Arial" w:eastAsia="Arial" w:hAnsi="Arial"/>
          <w:color w:val="666666"/>
          <w:sz w:val="20"/>
          <w:szCs w:val="20"/>
        </w:rPr>
        <w:t xml:space="preserve">emlyon business school — MSc Data Science &amp; AI Strategy</w:t>
      </w:r>
    </w:p>
    <w:p>
      <w:pPr>
        <w:spacing w:after="200"/>
        <w:jc w:val="center"/>
      </w:pPr>
      <w:r>
        <w:rPr>
          <w:rFonts w:ascii="Arial" w:cs="Arial" w:eastAsia="Arial" w:hAnsi="Arial"/>
          <w:color w:val="666666"/>
          <w:sz w:val="20"/>
          <w:szCs w:val="20"/>
        </w:rPr>
        <w:t xml:space="preserve">April 2026</w:t>
      </w:r>
    </w:p>
    <w:p>
      <w:pPr>
        <w:pageBreakBefore/>
      </w:pPr>
      <w:r>
        <w:br/>
      </w:r>
    </w:p>
    <w:p>
      <w:pPr>
        <w:pStyle w:val="Heading1"/>
      </w:pPr>
      <w:r>
        <w:t xml:space="preserve">1. Project Overview</w:t>
      </w:r>
    </w:p>
    <w:p>
      <w:pPr>
        <w:spacing w:after="120" w:line="276"/>
      </w:pPr>
      <w:r>
        <w:rPr>
          <w:rFonts w:ascii="Arial" w:cs="Arial" w:eastAsia="Arial" w:hAnsi="Arial"/>
          <w:sz w:val="22"/>
          <w:szCs w:val="22"/>
        </w:rPr>
        <w:t xml:space="preserve">This project proposes a demo-level, event-driven, semi-autonomous exception loop for supply chain disruption response. Unlike a single-case recommendation system, the proposed system continuously processes simulated disruption events, updates a structured TwinState world model, reuses specialized reasoning agents to generate bounded operational responses, routes decisions through a policy gate for auto-execution or human approval, writes back simulated outcomes, and uses outcome summary statistics injected as contextual decision support for subsequent events.</w:t>
      </w:r>
    </w:p>
    <w:p>
      <w:pPr>
        <w:spacing w:after="120" w:line="276"/>
      </w:pPr>
      <w:r>
        <w:rPr>
          <w:rFonts w:ascii="Arial" w:cs="Arial" w:eastAsia="Arial" w:hAnsi="Arial"/>
          <w:sz w:val="22"/>
          <w:szCs w:val="22"/>
        </w:rPr>
        <w:t xml:space="preserve">The system preserves an isolated Research Core for benchmark evaluation against pre-labeled oracle truth, but its primary identity is a closed-loop operational demonstrator for semi-autonomous exception handling.</w:t>
      </w:r>
    </w:p>
    <w:p>
      <w:pPr>
        <w:spacing w:after="60"/>
      </w:pPr>
    </w:p>
    <w:p>
      <w:pPr>
        <w:spacing w:after="120" w:line="276"/>
      </w:pPr>
      <w:r>
        <w:rPr>
          <w:rFonts w:ascii="Arial" w:cs="Arial" w:eastAsia="Arial" w:hAnsi="Arial"/>
          <w:b/>
          <w:bCs/>
          <w:sz w:val="22"/>
          <w:szCs w:val="22"/>
        </w:rPr>
        <w:t xml:space="preserve">Primary identity: </w:t>
      </w:r>
      <w:r>
        <w:rPr>
          <w:rFonts w:ascii="Arial" w:cs="Arial" w:eastAsia="Arial" w:hAnsi="Arial"/>
          <w:sz w:val="22"/>
          <w:szCs w:val="22"/>
        </w:rPr>
        <w:t xml:space="preserve">Event-driven semi-autonomous exception loop demonstrator.</w:t>
      </w:r>
    </w:p>
    <w:p>
      <w:pPr>
        <w:spacing w:after="120" w:line="276"/>
      </w:pPr>
      <w:r>
        <w:rPr>
          <w:rFonts w:ascii="Arial" w:cs="Arial" w:eastAsia="Arial" w:hAnsi="Arial"/>
          <w:b/>
          <w:bCs/>
          <w:sz w:val="22"/>
          <w:szCs w:val="22"/>
        </w:rPr>
        <w:t xml:space="preserve">Secondary identity: </w:t>
      </w:r>
      <w:r>
        <w:rPr>
          <w:rFonts w:ascii="Arial" w:cs="Arial" w:eastAsia="Arial" w:hAnsi="Arial"/>
          <w:sz w:val="22"/>
          <w:szCs w:val="22"/>
        </w:rPr>
        <w:t xml:space="preserve">Preserved research core for benchmark evaluation and thesis alignment.</w:t>
      </w:r>
    </w:p>
    <w:p>
      <w:pPr>
        <w:spacing w:after="120" w:line="276"/>
      </w:pPr>
      <w:r>
        <w:rPr>
          <w:rFonts w:ascii="Arial" w:cs="Arial" w:eastAsia="Arial" w:hAnsi="Arial"/>
          <w:b/>
          <w:bCs/>
          <w:sz w:val="22"/>
          <w:szCs w:val="22"/>
        </w:rPr>
        <w:t xml:space="preserve">Engineering foundation: </w:t>
      </w:r>
      <w:r>
        <w:rPr>
          <w:rFonts w:ascii="Arial" w:cs="Arial" w:eastAsia="Arial" w:hAnsi="Arial"/>
          <w:sz w:val="22"/>
          <w:szCs w:val="22"/>
        </w:rPr>
        <w:t xml:space="preserve">Built on a mature V2 codebase with a tested deterministic backbone, structured agent outputs, strict truth boundary protection, and comprehensive test coverage.</w:t>
      </w:r>
    </w:p>
    <w:p>
      <w:pPr>
        <w:pStyle w:val="Heading1"/>
      </w:pPr>
      <w:r>
        <w:t xml:space="preserve">2. Business Problem</w:t>
      </w:r>
    </w:p>
    <w:p>
      <w:pPr>
        <w:spacing w:after="120" w:line="276"/>
      </w:pPr>
      <w:r>
        <w:rPr>
          <w:rFonts w:ascii="Arial" w:cs="Arial" w:eastAsia="Arial" w:hAnsi="Arial"/>
          <w:sz w:val="22"/>
          <w:szCs w:val="22"/>
        </w:rPr>
        <w:t xml:space="preserve">Traditional supply chain control towers provide visibility but fail to close the loop between disruption sensing, response generation, human supervision, and post-hoc review. When fulfillment exceptions occur, operations managers face a coordination problem: they must decide whether to let an AI agent execute its recommendation or override it, often under time pressure and incomplete information.</w:t>
      </w:r>
    </w:p>
    <w:p>
      <w:pPr>
        <w:spacing w:after="120" w:line="276"/>
      </w:pPr>
      <w:r>
        <w:rPr>
          <w:rFonts w:ascii="Arial" w:cs="Arial" w:eastAsia="Arial" w:hAnsi="Arial"/>
          <w:sz w:val="22"/>
          <w:szCs w:val="22"/>
        </w:rPr>
        <w:t xml:space="preserve">The gap is not a single-shot recommendation. Enterprises need a system that can:</w:t>
      </w:r>
    </w:p>
    <w:p>
      <w:pPr>
        <w:pStyle w:val="ListParagraph"/>
        <w:numPr>
          <w:ilvl w:val="0"/>
          <w:numId w:val="2"/>
        </w:numPr>
        <w:spacing w:after="60" w:line="276"/>
      </w:pPr>
      <w:r>
        <w:rPr>
          <w:rFonts w:ascii="Arial" w:cs="Arial" w:eastAsia="Arial" w:hAnsi="Arial"/>
          <w:sz w:val="22"/>
          <w:szCs w:val="22"/>
        </w:rPr>
        <w:t xml:space="preserve">Continuously receive and classify disruption events as they arrive</w:t>
      </w:r>
    </w:p>
    <w:p>
      <w:pPr>
        <w:pStyle w:val="ListParagraph"/>
        <w:numPr>
          <w:ilvl w:val="0"/>
          <w:numId w:val="2"/>
        </w:numPr>
        <w:spacing w:after="60" w:line="276"/>
      </w:pPr>
      <w:r>
        <w:rPr>
          <w:rFonts w:ascii="Arial" w:cs="Arial" w:eastAsia="Arial" w:hAnsi="Arial"/>
          <w:sz w:val="22"/>
          <w:szCs w:val="22"/>
        </w:rPr>
        <w:t xml:space="preserve">Update the operational state in real time (inventory, carrier status, SLA clocks)</w:t>
      </w:r>
    </w:p>
    <w:p>
      <w:pPr>
        <w:pStyle w:val="ListParagraph"/>
        <w:numPr>
          <w:ilvl w:val="0"/>
          <w:numId w:val="2"/>
        </w:numPr>
        <w:spacing w:after="60" w:line="276"/>
      </w:pPr>
      <w:r>
        <w:rPr>
          <w:rFonts w:ascii="Arial" w:cs="Arial" w:eastAsia="Arial" w:hAnsi="Arial"/>
          <w:sz w:val="22"/>
          <w:szCs w:val="22"/>
        </w:rPr>
        <w:t xml:space="preserve">Generate bounded, costed operational responses through specialized agents</w:t>
      </w:r>
    </w:p>
    <w:p>
      <w:pPr>
        <w:pStyle w:val="ListParagraph"/>
        <w:numPr>
          <w:ilvl w:val="0"/>
          <w:numId w:val="2"/>
        </w:numPr>
        <w:spacing w:after="60" w:line="276"/>
      </w:pPr>
      <w:r>
        <w:rPr>
          <w:rFonts w:ascii="Arial" w:cs="Arial" w:eastAsia="Arial" w:hAnsi="Arial"/>
          <w:sz w:val="22"/>
          <w:szCs w:val="22"/>
        </w:rPr>
        <w:t xml:space="preserve">Route decisions through a policy gate: auto-execute low-risk actions, escalate high-risk ones for human approval</w:t>
      </w:r>
    </w:p>
    <w:p>
      <w:pPr>
        <w:pStyle w:val="ListParagraph"/>
        <w:numPr>
          <w:ilvl w:val="0"/>
          <w:numId w:val="2"/>
        </w:numPr>
        <w:spacing w:after="60" w:line="276"/>
      </w:pPr>
      <w:r>
        <w:rPr>
          <w:rFonts w:ascii="Arial" w:cs="Arial" w:eastAsia="Arial" w:hAnsi="Arial"/>
          <w:sz w:val="22"/>
          <w:szCs w:val="22"/>
        </w:rPr>
        <w:t xml:space="preserve">Write back execution outcomes and use them to inform subsequent decisions</w:t>
      </w:r>
    </w:p>
    <w:p>
      <w:pPr>
        <w:spacing w:after="60"/>
      </w:pPr>
    </w:p>
    <w:p>
      <w:pPr>
        <w:spacing w:after="120" w:line="276"/>
      </w:pPr>
      <w:r>
        <w:rPr>
          <w:rFonts w:ascii="Arial" w:cs="Arial" w:eastAsia="Arial" w:hAnsi="Arial"/>
          <w:sz w:val="22"/>
          <w:szCs w:val="22"/>
        </w:rPr>
        <w:t xml:space="preserve">This proposal addresses the closed-loop execution gap: from event detection through decision, execution, outcome observation, and context augmentation — not just recommendation.</w:t>
      </w:r>
    </w:p>
    <w:p>
      <w:pPr>
        <w:pStyle w:val="Heading1"/>
      </w:pPr>
      <w:r>
        <w:t xml:space="preserve">3. System Identity and Boundary</w:t>
      </w:r>
    </w:p>
    <w:p>
      <w:pPr>
        <w:pStyle w:val="Heading2"/>
      </w:pPr>
      <w:r>
        <w:t xml:space="preserve">3.1 What this system is</w:t>
      </w:r>
    </w:p>
    <w:p>
      <w:pPr>
        <w:spacing w:after="120" w:line="276"/>
      </w:pPr>
      <w:r>
        <w:rPr>
          <w:rFonts w:ascii="Arial" w:cs="Arial" w:eastAsia="Arial" w:hAnsi="Arial"/>
          <w:sz w:val="22"/>
          <w:szCs w:val="22"/>
        </w:rPr>
        <w:t xml:space="preserve">A D3-Demo: a demo-level system operating within a bounded, synthetic, fully controlled supply chain environment. All data is synthetic, all execution is simulated, all outcomes are deterministic.</w:t>
      </w:r>
    </w:p>
    <w:p>
      <w:pPr>
        <w:pStyle w:val="ListParagraph"/>
        <w:numPr>
          <w:ilvl w:val="0"/>
          <w:numId w:val="2"/>
        </w:numPr>
        <w:spacing w:after="60" w:line="276"/>
      </w:pPr>
      <w:r>
        <w:rPr>
          <w:rFonts w:ascii="Arial" w:cs="Arial" w:eastAsia="Arial" w:hAnsi="Arial"/>
          <w:b/>
          <w:bCs/>
          <w:sz w:val="22"/>
          <w:szCs w:val="22"/>
        </w:rPr>
        <w:t xml:space="preserve">Runtime environment: </w:t>
      </w:r>
      <w:r>
        <w:rPr>
          <w:rFonts w:ascii="Arial" w:cs="Arial" w:eastAsia="Arial" w:hAnsi="Arial"/>
          <w:sz w:val="22"/>
          <w:szCs w:val="22"/>
        </w:rPr>
        <w:t xml:space="preserve">a 2×2×2×2 synthetic supply chain network (2 suppliers, 2 warehouses, 2 carriers, 2 customer zones) with event-driven state updates.</w:t>
      </w:r>
    </w:p>
    <w:p>
      <w:pPr>
        <w:pStyle w:val="ListParagraph"/>
        <w:numPr>
          <w:ilvl w:val="0"/>
          <w:numId w:val="2"/>
        </w:numPr>
        <w:spacing w:after="60" w:line="276"/>
      </w:pPr>
      <w:r>
        <w:rPr>
          <w:rFonts w:ascii="Arial" w:cs="Arial" w:eastAsia="Arial" w:hAnsi="Arial"/>
          <w:b/>
          <w:bCs/>
          <w:sz w:val="22"/>
          <w:szCs w:val="22"/>
        </w:rPr>
        <w:t xml:space="preserve">Benchmark sidecar: </w:t>
      </w:r>
      <w:r>
        <w:rPr>
          <w:rFonts w:ascii="Arial" w:cs="Arial" w:eastAsia="Arial" w:hAnsi="Arial"/>
          <w:sz w:val="22"/>
          <w:szCs w:val="22"/>
        </w:rPr>
        <w:t xml:space="preserve">20 legacy oracle-backed cases retained in an isolated Research Core for replay evaluation and thesis-aligned metrics.</w:t>
      </w:r>
    </w:p>
    <w:p>
      <w:pPr>
        <w:pStyle w:val="Heading2"/>
      </w:pPr>
      <w:r>
        <w:t xml:space="preserve">3.2 What this system is not</w:t>
      </w:r>
    </w:p>
    <w:p>
      <w:pPr>
        <w:pStyle w:val="ListParagraph"/>
        <w:numPr>
          <w:ilvl w:val="0"/>
          <w:numId w:val="2"/>
        </w:numPr>
        <w:spacing w:after="60" w:line="276"/>
      </w:pPr>
      <w:r>
        <w:rPr>
          <w:rFonts w:ascii="Arial" w:cs="Arial" w:eastAsia="Arial" w:hAnsi="Arial"/>
          <w:sz w:val="22"/>
          <w:szCs w:val="22"/>
        </w:rPr>
        <w:t xml:space="preserve">Not a thesis-first oracle replay system (that role is preserved but secondary)</w:t>
      </w:r>
    </w:p>
    <w:p>
      <w:pPr>
        <w:pStyle w:val="ListParagraph"/>
        <w:numPr>
          <w:ilvl w:val="0"/>
          <w:numId w:val="2"/>
        </w:numPr>
        <w:spacing w:after="60" w:line="276"/>
      </w:pPr>
      <w:r>
        <w:rPr>
          <w:rFonts w:ascii="Arial" w:cs="Arial" w:eastAsia="Arial" w:hAnsi="Arial"/>
          <w:sz w:val="22"/>
          <w:szCs w:val="22"/>
        </w:rPr>
        <w:t xml:space="preserve">Not a production ERP/WMS/TMS integration</w:t>
      </w:r>
    </w:p>
    <w:p>
      <w:pPr>
        <w:pStyle w:val="ListParagraph"/>
        <w:numPr>
          <w:ilvl w:val="0"/>
          <w:numId w:val="2"/>
        </w:numPr>
        <w:spacing w:after="60" w:line="276"/>
      </w:pPr>
      <w:r>
        <w:rPr>
          <w:rFonts w:ascii="Arial" w:cs="Arial" w:eastAsia="Arial" w:hAnsi="Arial"/>
          <w:sz w:val="22"/>
          <w:szCs w:val="22"/>
        </w:rPr>
        <w:t xml:space="preserve">Not a general-purpose supply chain control tower</w:t>
      </w:r>
    </w:p>
    <w:p>
      <w:pPr>
        <w:pStyle w:val="ListParagraph"/>
        <w:numPr>
          <w:ilvl w:val="0"/>
          <w:numId w:val="2"/>
        </w:numPr>
        <w:spacing w:after="60" w:line="276"/>
      </w:pPr>
      <w:r>
        <w:rPr>
          <w:rFonts w:ascii="Arial" w:cs="Arial" w:eastAsia="Arial" w:hAnsi="Arial"/>
          <w:sz w:val="22"/>
          <w:szCs w:val="22"/>
        </w:rPr>
        <w:t xml:space="preserve">Not an enterprise-grade execution OS with multi-user or multi-tenant support</w:t>
      </w:r>
    </w:p>
    <w:p>
      <w:pPr>
        <w:pStyle w:val="Heading2"/>
      </w:pPr>
      <w:r>
        <w:t xml:space="preserve">3.3 What is preserved from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V2 Asset</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 in D3-Demo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TwinState world model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state backbone; extended with event hot-patching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Agent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generation + feasibility gating (reused as-is)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Agent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cost estimation backbone (reused as-is)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Agent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8-field structured recommendation schema (reused as-is)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 RAG stack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grounding layer for agent reasoning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backend + providers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reasoning gateway with fallback chain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module + mapper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Core sidecar; oracle truth isolated from runtime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 FastAPI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remains the default demo surface; existing API assets may be reused later if needed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test suite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safety net for all reused modules</w:t>
            </w:r>
          </w:p>
        </w:tc>
      </w:tr>
    </w:tbl>
    <w:p>
      <w:pPr>
        <w:pStyle w:val="Heading1"/>
      </w:pPr>
      <w:r>
        <w:t xml:space="preserve">4. Core Design Logic</w:t>
      </w:r>
    </w:p>
    <w:p>
      <w:pPr>
        <w:pStyle w:val="Heading2"/>
      </w:pPr>
      <w:r>
        <w:t xml:space="preserve">4.1 Event-driven over case-driven</w:t>
      </w:r>
    </w:p>
    <w:p>
      <w:pPr>
        <w:spacing w:after="120" w:line="276"/>
      </w:pPr>
      <w:r>
        <w:rPr>
          <w:rFonts w:ascii="Arial" w:cs="Arial" w:eastAsia="Arial" w:hAnsi="Arial"/>
          <w:sz w:val="22"/>
          <w:szCs w:val="22"/>
        </w:rPr>
        <w:t xml:space="preserve">The system transitions from a single-case replay model to a continuous event loop. Instead of loading one case JSON and running the pipeline once, the Event Engine generates a stream of disruption events (carrier delay escalation, weather worsening, demand spike, inventory discrepancy, customer cancellation, compliance hold). Each event patches the TwinState and triggers a reasoning cycle.</w:t>
      </w:r>
    </w:p>
    <w:p>
      <w:pPr>
        <w:pStyle w:val="Heading2"/>
      </w:pPr>
      <w:r>
        <w:t xml:space="preserve">4.2 Policy-gated semi-autonomy</w:t>
      </w:r>
    </w:p>
    <w:p>
      <w:pPr>
        <w:spacing w:after="120" w:line="276"/>
      </w:pPr>
      <w:r>
        <w:rPr>
          <w:rFonts w:ascii="Arial" w:cs="Arial" w:eastAsia="Arial" w:hAnsi="Arial"/>
          <w:sz w:val="22"/>
          <w:szCs w:val="22"/>
        </w:rPr>
        <w:t xml:space="preserve">Not fully autonomous, not fully manual. A Policy Gate sits between the Governance Agent and execution, using the risk_level to route decisions:</w:t>
      </w:r>
    </w:p>
    <w:p>
      <w:pPr>
        <w:pStyle w:val="ListParagraph"/>
        <w:numPr>
          <w:ilvl w:val="0"/>
          <w:numId w:val="2"/>
        </w:numPr>
        <w:spacing w:after="60" w:line="276"/>
      </w:pPr>
      <w:r>
        <w:rPr>
          <w:rFonts w:ascii="Arial" w:cs="Arial" w:eastAsia="Arial" w:hAnsi="Arial"/>
          <w:b/>
          <w:bCs/>
          <w:sz w:val="22"/>
          <w:szCs w:val="22"/>
        </w:rPr>
        <w:t xml:space="preserve">LOW risk → auto-execute: </w:t>
      </w:r>
      <w:r>
        <w:rPr>
          <w:rFonts w:ascii="Arial" w:cs="Arial" w:eastAsia="Arial" w:hAnsi="Arial"/>
          <w:sz w:val="22"/>
          <w:szCs w:val="22"/>
        </w:rPr>
        <w:t xml:space="preserve">action is executed immediately through the simulated adapter, with a full audit trail recorded.</w:t>
      </w:r>
    </w:p>
    <w:p>
      <w:pPr>
        <w:pStyle w:val="ListParagraph"/>
        <w:numPr>
          <w:ilvl w:val="0"/>
          <w:numId w:val="2"/>
        </w:numPr>
        <w:spacing w:after="60" w:line="276"/>
      </w:pPr>
      <w:r>
        <w:rPr>
          <w:rFonts w:ascii="Arial" w:cs="Arial" w:eastAsia="Arial" w:hAnsi="Arial"/>
          <w:b/>
          <w:bCs/>
          <w:sz w:val="22"/>
          <w:szCs w:val="22"/>
        </w:rPr>
        <w:t xml:space="preserve">MEDIUM risk → human approval (default): </w:t>
      </w:r>
      <w:r>
        <w:rPr>
          <w:rFonts w:ascii="Arial" w:cs="Arial" w:eastAsia="Arial" w:hAnsi="Arial"/>
          <w:sz w:val="22"/>
          <w:szCs w:val="22"/>
        </w:rPr>
        <w:t xml:space="preserve">action is presented to the human operator for review and approval before execution.</w:t>
      </w:r>
    </w:p>
    <w:p>
      <w:pPr>
        <w:pStyle w:val="ListParagraph"/>
        <w:numPr>
          <w:ilvl w:val="0"/>
          <w:numId w:val="2"/>
        </w:numPr>
        <w:spacing w:after="60" w:line="276"/>
      </w:pPr>
      <w:r>
        <w:rPr>
          <w:rFonts w:ascii="Arial" w:cs="Arial" w:eastAsia="Arial" w:hAnsi="Arial"/>
          <w:b/>
          <w:bCs/>
          <w:sz w:val="22"/>
          <w:szCs w:val="22"/>
        </w:rPr>
        <w:t xml:space="preserve">HIGH risk → human required, no auto-execute: </w:t>
      </w:r>
      <w:r>
        <w:rPr>
          <w:rFonts w:ascii="Arial" w:cs="Arial" w:eastAsia="Arial" w:hAnsi="Arial"/>
          <w:sz w:val="22"/>
          <w:szCs w:val="22"/>
        </w:rPr>
        <w:t xml:space="preserve">action must be explicitly approved by the human operator. No bypass.</w:t>
      </w:r>
    </w:p>
    <w:p>
      <w:pPr>
        <w:spacing w:after="60"/>
      </w:pPr>
    </w:p>
    <w:p>
      <w:pPr>
        <w:spacing w:after="120" w:line="276"/>
      </w:pPr>
      <w:r>
        <w:rPr>
          <w:rFonts w:ascii="Arial" w:cs="Arial" w:eastAsia="Arial" w:hAnsi="Arial"/>
          <w:b/>
          <w:bCs/>
          <w:sz w:val="22"/>
          <w:szCs w:val="22"/>
        </w:rPr>
        <w:t xml:space="preserve">Why semi-autonomy, not full automation. </w:t>
      </w:r>
      <w:r>
        <w:rPr>
          <w:rFonts w:ascii="Arial" w:cs="Arial" w:eastAsia="Arial" w:hAnsi="Arial"/>
          <w:sz w:val="22"/>
          <w:szCs w:val="22"/>
        </w:rPr>
        <w:t xml:space="preserve">This system is not designed to maximize automation. It is designed to demonstrate risk-differentiated operational handling: which actions are safe to auto-execute, which require human judgment, and why policy-gated autonomy is more appropriate for exception handling than blanket automation. The core insight from the original thesis research remains valid: human supervision quality depends on calibration, not on whether supervision exists. D3-Demo operationalizes this insight by making the supervision boundary explicit and configurable through the Policy Gate.</w:t>
      </w:r>
    </w:p>
    <w:p>
      <w:pPr>
        <w:pStyle w:val="Heading2"/>
      </w:pPr>
      <w:r>
        <w:t xml:space="preserve">4.3 Deterministic world model, bounded agentic reasoning</w:t>
      </w:r>
    </w:p>
    <w:p>
      <w:pPr>
        <w:spacing w:after="120" w:line="276"/>
      </w:pPr>
      <w:r>
        <w:rPr>
          <w:rFonts w:ascii="Arial" w:cs="Arial" w:eastAsia="Arial" w:hAnsi="Arial"/>
          <w:sz w:val="22"/>
          <w:szCs w:val="22"/>
        </w:rPr>
        <w:t xml:space="preserve">This principle is inherited directly from V2 and remains non-negotiable: LLM/agents handle reasoning, explanation, and evidence organization. Numeric truth, world mutation, cost logic, and evaluation metrics remain deterministic. LLMs enrich language; they never determine numbers.</w:t>
      </w:r>
    </w:p>
    <w:p>
      <w:pPr>
        <w:spacing w:after="120" w:line="276"/>
      </w:pPr>
      <w:r>
        <w:rPr>
          <w:rFonts w:ascii="Arial" w:cs="Arial" w:eastAsia="Arial" w:hAnsi="Arial"/>
          <w:b/>
          <w:bCs/>
          <w:sz w:val="22"/>
          <w:szCs w:val="22"/>
        </w:rPr>
        <w:t xml:space="preserve">Deterministic-first policy for outcomes: </w:t>
      </w:r>
      <w:r>
        <w:rPr>
          <w:rFonts w:ascii="Arial" w:cs="Arial" w:eastAsia="Arial" w:hAnsi="Arial"/>
          <w:sz w:val="22"/>
          <w:szCs w:val="22"/>
        </w:rPr>
        <w:t xml:space="preserve">event generation may include controlled template variation (timing, severity, affected entities), but execution outcome logic is strictly deterministic for demo stability and replay comparability. This is consistent with the V2 engineering philosophy where all cost calculations, state transitions, and evaluation metrics are pure functions.</w:t>
      </w:r>
    </w:p>
    <w:p>
      <w:pPr>
        <w:pStyle w:val="Heading2"/>
      </w:pPr>
      <w:r>
        <w:t xml:space="preserve">4.4 Research Core as sidecar, not identity</w:t>
      </w:r>
    </w:p>
    <w:p>
      <w:pPr>
        <w:spacing w:after="120" w:line="276"/>
      </w:pPr>
      <w:r>
        <w:rPr>
          <w:rFonts w:ascii="Arial" w:cs="Arial" w:eastAsia="Arial" w:hAnsi="Arial"/>
          <w:sz w:val="22"/>
          <w:szCs w:val="22"/>
        </w:rPr>
        <w:t xml:space="preserve">The Research Core (evaluation module, action code mapper, oracle case JSONs) is preserved in full but repositioned. It operates as an isolated benchmark subsystem: any original case can still be replayed through the pipeline with oracle truth evaluation. Runtime outcome data is stored separately and never contaminates oracle truth.</w:t>
      </w:r>
    </w:p>
    <w:p>
      <w:pPr>
        <w:pStyle w:val="Heading2"/>
      </w:pPr>
      <w:r>
        <w:t xml:space="preserve">4.5 Design non-negotiables</w:t>
      </w:r>
    </w:p>
    <w:p>
      <w:pPr>
        <w:spacing w:after="120" w:line="276"/>
      </w:pPr>
      <w:r>
        <w:rPr>
          <w:rFonts w:ascii="Arial" w:cs="Arial" w:eastAsia="Arial" w:hAnsi="Arial"/>
          <w:sz w:val="22"/>
          <w:szCs w:val="22"/>
        </w:rPr>
        <w:t xml:space="preserve">The following constraints are inherited from the V2 engineering discipline and remain inviolable in D3-Demo:</w:t>
      </w:r>
    </w:p>
    <w:p>
      <w:pPr>
        <w:pStyle w:val="ListParagraph"/>
        <w:numPr>
          <w:ilvl w:val="0"/>
          <w:numId w:val="2"/>
        </w:numPr>
        <w:spacing w:after="60" w:line="276"/>
      </w:pPr>
      <w:r>
        <w:rPr>
          <w:rFonts w:ascii="Arial" w:cs="Arial" w:eastAsia="Arial" w:hAnsi="Arial"/>
          <w:b/>
          <w:bCs/>
          <w:sz w:val="22"/>
          <w:szCs w:val="22"/>
        </w:rPr>
        <w:t xml:space="preserve">Truth boundary: </w:t>
      </w:r>
      <w:r>
        <w:rPr>
          <w:rFonts w:ascii="Arial" w:cs="Arial" w:eastAsia="Arial" w:hAnsi="Arial"/>
          <w:sz w:val="22"/>
          <w:szCs w:val="22"/>
        </w:rPr>
        <w:t xml:space="preserve">evaluation truth comes exclusively from pre-computed oracle case JSONs. Runtime outcomes, agent outputs, and LLM-generated content never substitute for oracle truth.</w:t>
      </w:r>
    </w:p>
    <w:p>
      <w:pPr>
        <w:pStyle w:val="ListParagraph"/>
        <w:numPr>
          <w:ilvl w:val="0"/>
          <w:numId w:val="2"/>
        </w:numPr>
        <w:spacing w:after="60" w:line="276"/>
      </w:pPr>
      <w:r>
        <w:rPr>
          <w:rFonts w:ascii="Arial" w:cs="Arial" w:eastAsia="Arial" w:hAnsi="Arial"/>
          <w:b/>
          <w:bCs/>
          <w:sz w:val="22"/>
          <w:szCs w:val="22"/>
        </w:rPr>
        <w:t xml:space="preserve">Layer separation: </w:t>
      </w:r>
      <w:r>
        <w:rPr>
          <w:rFonts w:ascii="Arial" w:cs="Arial" w:eastAsia="Arial" w:hAnsi="Arial"/>
          <w:sz w:val="22"/>
          <w:szCs w:val="22"/>
        </w:rPr>
        <w:t xml:space="preserve">three identifier layers (operational: EXPEDITE/TRANSFER/COMPENSATE/NO_ACTION; supervision: APPROVE/VERIFY/OVERRIDE; evaluation: AI/ALT1/ALT2) are never mixed. The action code mapper is the only sanctioned bridge.</w:t>
      </w:r>
    </w:p>
    <w:p>
      <w:pPr>
        <w:pStyle w:val="ListParagraph"/>
        <w:numPr>
          <w:ilvl w:val="0"/>
          <w:numId w:val="2"/>
        </w:numPr>
        <w:spacing w:after="60" w:line="276"/>
      </w:pPr>
      <w:r>
        <w:rPr>
          <w:rFonts w:ascii="Arial" w:cs="Arial" w:eastAsia="Arial" w:hAnsi="Arial"/>
          <w:b/>
          <w:bCs/>
          <w:sz w:val="22"/>
          <w:szCs w:val="22"/>
        </w:rPr>
        <w:t xml:space="preserve">Bounded action set: </w:t>
      </w:r>
      <w:r>
        <w:rPr>
          <w:rFonts w:ascii="Arial" w:cs="Arial" w:eastAsia="Arial" w:hAnsi="Arial"/>
          <w:sz w:val="22"/>
          <w:szCs w:val="22"/>
        </w:rPr>
        <w:t xml:space="preserve">operational candidates are constrained to the four action types with TwinState-validated feasibility gating. No open-ended action generation.</w:t>
      </w:r>
    </w:p>
    <w:p>
      <w:pPr>
        <w:pStyle w:val="ListParagraph"/>
        <w:numPr>
          <w:ilvl w:val="0"/>
          <w:numId w:val="2"/>
        </w:numPr>
        <w:spacing w:after="60" w:line="276"/>
      </w:pPr>
      <w:r>
        <w:rPr>
          <w:rFonts w:ascii="Arial" w:cs="Arial" w:eastAsia="Arial" w:hAnsi="Arial"/>
          <w:b/>
          <w:bCs/>
          <w:sz w:val="22"/>
          <w:szCs w:val="22"/>
        </w:rPr>
        <w:t xml:space="preserve">Auditability and traceability: </w:t>
      </w:r>
      <w:r>
        <w:rPr>
          <w:rFonts w:ascii="Arial" w:cs="Arial" w:eastAsia="Arial" w:hAnsi="Arial"/>
          <w:sz w:val="22"/>
          <w:szCs w:val="22"/>
        </w:rPr>
        <w:t xml:space="preserve">every decision produces a structured trace (rationale_trace, evidence_sources, cost_summary) that can be inspected post-hoc. This is not optional — it is the governance backbone.</w:t>
      </w:r>
    </w:p>
    <w:p>
      <w:pPr>
        <w:pStyle w:val="Heading1"/>
      </w:pPr>
      <w:r>
        <w:t xml:space="preserve">5. System Architecture</w:t>
      </w:r>
    </w:p>
    <w:p>
      <w:pPr>
        <w:spacing w:after="120" w:line="276"/>
      </w:pPr>
      <w:r>
        <w:rPr>
          <w:rFonts w:ascii="Arial" w:cs="Arial" w:eastAsia="Arial" w:hAnsi="Arial"/>
          <w:sz w:val="22"/>
          <w:szCs w:val="22"/>
        </w:rPr>
        <w:t xml:space="preserve">The D3-Demo architecture is organized into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 Event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Engine, event templates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 sequence disruption events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 State + Classification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TwinState (hot-patch), event classifier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world model, classify event type/severity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 Reasoning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Cost, Governance agents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candidates, estimate costs, synthesize recommendation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4. Autonomy Control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Gate, approval workspace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auto-execute vs human review</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 Execution + Feedback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adapters, outcome store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 execution, write back outcomes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6. Research Core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module, oracle cases, mapper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 eval (isolated from runtime)</w:t>
            </w:r>
          </w:p>
        </w:tc>
      </w:tr>
    </w:tbl>
    <w:p>
      <w:pPr>
        <w:pStyle w:val="Heading1"/>
      </w:pPr>
      <w:r>
        <w:t xml:space="preserve">6. End-to-End Workflow</w:t>
      </w:r>
    </w:p>
    <w:p>
      <w:pPr>
        <w:spacing w:after="120" w:line="276"/>
      </w:pPr>
      <w:r>
        <w:rPr>
          <w:rFonts w:ascii="Arial" w:cs="Arial" w:eastAsia="Arial" w:hAnsi="Arial"/>
          <w:sz w:val="22"/>
          <w:szCs w:val="22"/>
        </w:rPr>
        <w:t xml:space="preserve">The D3-Demo main loop operates as follows:</w:t>
      </w:r>
    </w:p>
    <w:p>
      <w:pPr>
        <w:pStyle w:val="ListParagraph"/>
        <w:numPr>
          <w:ilvl w:val="0"/>
          <w:numId w:val="3"/>
        </w:numPr>
        <w:spacing w:after="60" w:line="276"/>
      </w:pPr>
      <w:r>
        <w:rPr>
          <w:rFonts w:ascii="Arial" w:cs="Arial" w:eastAsia="Arial" w:hAnsi="Arial"/>
          <w:sz w:val="22"/>
          <w:szCs w:val="22"/>
        </w:rPr>
        <w:t xml:space="preserve">Event arrives — the Event Engine emits a disruption event (e.g., carrier delay escalation from 12h to 36h).</w:t>
      </w:r>
    </w:p>
    <w:p>
      <w:pPr>
        <w:pStyle w:val="ListParagraph"/>
        <w:numPr>
          <w:ilvl w:val="0"/>
          <w:numId w:val="3"/>
        </w:numPr>
        <w:spacing w:after="60" w:line="276"/>
      </w:pPr>
      <w:r>
        <w:rPr>
          <w:rFonts w:ascii="Arial" w:cs="Arial" w:eastAsia="Arial" w:hAnsi="Arial"/>
          <w:sz w:val="22"/>
          <w:szCs w:val="22"/>
        </w:rPr>
        <w:t xml:space="preserve">Event is classified and patched into TwinState — the event classifier determines type, severity, and affected entities; TwinState is hot-patched accordingly.</w:t>
      </w:r>
    </w:p>
    <w:p>
      <w:pPr>
        <w:pStyle w:val="ListParagraph"/>
        <w:numPr>
          <w:ilvl w:val="0"/>
          <w:numId w:val="3"/>
        </w:numPr>
        <w:spacing w:after="60" w:line="276"/>
      </w:pPr>
      <w:r>
        <w:rPr>
          <w:rFonts w:ascii="Arial" w:cs="Arial" w:eastAsia="Arial" w:hAnsi="Arial"/>
          <w:sz w:val="22"/>
          <w:szCs w:val="22"/>
        </w:rPr>
        <w:t xml:space="preserve">Reasoning agents generate response — Operations Agent produces ranked candidates with feasibility gating; Cost Agent estimates costs per candidate; Governance Agent synthesizes the 8-field structured recommendation including risk_level.</w:t>
      </w:r>
    </w:p>
    <w:p>
      <w:pPr>
        <w:pStyle w:val="ListParagraph"/>
        <w:numPr>
          <w:ilvl w:val="0"/>
          <w:numId w:val="3"/>
        </w:numPr>
        <w:spacing w:after="60" w:line="276"/>
      </w:pPr>
      <w:r>
        <w:rPr>
          <w:rFonts w:ascii="Arial" w:cs="Arial" w:eastAsia="Arial" w:hAnsi="Arial"/>
          <w:sz w:val="22"/>
          <w:szCs w:val="22"/>
        </w:rPr>
        <w:t xml:space="preserve">Policy Gate routes the decision — LOW risk actions are auto-executed; MEDIUM and HIGH risk actions are routed to the human approval workspace.</w:t>
      </w:r>
    </w:p>
    <w:p>
      <w:pPr>
        <w:pStyle w:val="ListParagraph"/>
        <w:numPr>
          <w:ilvl w:val="0"/>
          <w:numId w:val="3"/>
        </w:numPr>
        <w:spacing w:after="60" w:line="276"/>
      </w:pPr>
      <w:r>
        <w:rPr>
          <w:rFonts w:ascii="Arial" w:cs="Arial" w:eastAsia="Arial" w:hAnsi="Arial"/>
          <w:sz w:val="22"/>
          <w:szCs w:val="22"/>
        </w:rPr>
        <w:t xml:space="preserve">Approved action goes through Execution Adapter — a simulated adapter applies the action to TwinState (e.g., reroute shipment, adjust inventory, trigger expedite).</w:t>
      </w:r>
    </w:p>
    <w:p>
      <w:pPr>
        <w:pStyle w:val="ListParagraph"/>
        <w:numPr>
          <w:ilvl w:val="0"/>
          <w:numId w:val="3"/>
        </w:numPr>
        <w:spacing w:after="60" w:line="276"/>
      </w:pPr>
      <w:r>
        <w:rPr>
          <w:rFonts w:ascii="Arial" w:cs="Arial" w:eastAsia="Arial" w:hAnsi="Arial"/>
          <w:sz w:val="22"/>
          <w:szCs w:val="22"/>
        </w:rPr>
        <w:t xml:space="preserve">Outcome is generated and written back — the execution adapter produces a deterministic simulated outcome (cost incurred, SLA impact, state changes). This is written to the outcome store.</w:t>
      </w:r>
    </w:p>
    <w:p>
      <w:pPr>
        <w:pStyle w:val="ListParagraph"/>
        <w:numPr>
          <w:ilvl w:val="0"/>
          <w:numId w:val="3"/>
        </w:numPr>
        <w:spacing w:after="60" w:line="276"/>
      </w:pPr>
      <w:r>
        <w:rPr>
          <w:rFonts w:ascii="Arial" w:cs="Arial" w:eastAsia="Arial" w:hAnsi="Arial"/>
          <w:sz w:val="22"/>
          <w:szCs w:val="22"/>
        </w:rPr>
        <w:t xml:space="preserve">Outcome history augments next decision — summary statistics from the outcome store (budget consumed, capacity remaining, recent resolution patterns) are injected into the Governance Agent context for subsequent events.</w:t>
      </w:r>
    </w:p>
    <w:p>
      <w:pPr>
        <w:pStyle w:val="ListParagraph"/>
        <w:numPr>
          <w:ilvl w:val="0"/>
          <w:numId w:val="3"/>
        </w:numPr>
        <w:spacing w:after="60" w:line="276"/>
      </w:pPr>
      <w:r>
        <w:rPr>
          <w:rFonts w:ascii="Arial" w:cs="Arial" w:eastAsia="Arial" w:hAnsi="Arial"/>
          <w:sz w:val="22"/>
          <w:szCs w:val="22"/>
        </w:rPr>
        <w:t xml:space="preserve">Loop continues — the next event arrives; the cycle repeats.</w:t>
      </w:r>
    </w:p>
    <w:p>
      <w:pPr>
        <w:pStyle w:val="Heading1"/>
      </w:pPr>
      <w:r>
        <w:t xml:space="preserve">7. New Functional Scope (D3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disruption event streams from templates. Event types: carrier delay escalation, weather worsening, demand spike, inventory discrepancy, customer cancellation, compliance hold. Event generation includes controlled template variation; execution outcomes remain deterministic.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Policy Gate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Risk-based routing: LOW → auto-execute, MEDIUM → human approval (default), HIGH → human required. Configurable thresholds per risk_level.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Execution Adapters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Simulated execution of EXPEDITE / TRANSFER / COMPENSATE / NO_ACTION. Each adapter applies deterministic state mutations to TwinState and produces a structured 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Outcome Feedback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outcomes (cost incurred, SLA impact, state delta) written to the outcome store. Stored separately from oracle truth.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Outcome Summary Injection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non-ML: outcome history statistics (avg cost, escalation rate, resolution rate, budget remaining) are injected into Governance Agent context for subsequent decisions. No model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Event-Centric UI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stream timeline, current decision panel, outcome history log. Replaces single-case approval page as the primary interface.</w:t>
            </w:r>
          </w:p>
        </w:tc>
      </w:tr>
    </w:tbl>
    <w:p>
      <w:pPr>
        <w:pStyle w:val="Heading1"/>
      </w:pPr>
      <w:r>
        <w:t xml:space="preserve">8. Data Strategy</w:t>
      </w:r>
    </w:p>
    <w:p>
      <w:pPr>
        <w:spacing w:after="120" w:line="276"/>
      </w:pPr>
      <w:r>
        <w:rPr>
          <w:rFonts w:ascii="Arial" w:cs="Arial" w:eastAsia="Arial" w:hAnsi="Arial"/>
          <w:sz w:val="22"/>
          <w:szCs w:val="22"/>
        </w:rPr>
        <w:t xml:space="preserve">The D3-Demo operates entirely on synthetic data within a controlled environment:</w:t>
      </w:r>
    </w:p>
    <w:p>
      <w:pPr>
        <w:pStyle w:val="ListParagraph"/>
        <w:numPr>
          <w:ilvl w:val="0"/>
          <w:numId w:val="2"/>
        </w:numPr>
        <w:spacing w:after="60" w:line="276"/>
      </w:pPr>
      <w:r>
        <w:rPr>
          <w:rFonts w:ascii="Arial" w:cs="Arial" w:eastAsia="Arial" w:hAnsi="Arial"/>
          <w:b/>
          <w:bCs/>
          <w:sz w:val="22"/>
          <w:szCs w:val="22"/>
        </w:rPr>
        <w:t xml:space="preserve">Runtime path: </w:t>
      </w:r>
      <w:r>
        <w:rPr>
          <w:rFonts w:ascii="Arial" w:cs="Arial" w:eastAsia="Arial" w:hAnsi="Arial"/>
          <w:sz w:val="22"/>
          <w:szCs w:val="22"/>
        </w:rPr>
        <w:t xml:space="preserve">synthetic event streams generated from event templates with controlled variation in timing, severity, and affected entities.</w:t>
      </w:r>
    </w:p>
    <w:p>
      <w:pPr>
        <w:pStyle w:val="ListParagraph"/>
        <w:numPr>
          <w:ilvl w:val="0"/>
          <w:numId w:val="2"/>
        </w:numPr>
        <w:spacing w:after="60" w:line="276"/>
      </w:pPr>
      <w:r>
        <w:rPr>
          <w:rFonts w:ascii="Arial" w:cs="Arial" w:eastAsia="Arial" w:hAnsi="Arial"/>
          <w:b/>
          <w:bCs/>
          <w:sz w:val="22"/>
          <w:szCs w:val="22"/>
        </w:rPr>
        <w:t xml:space="preserve">Execution path: </w:t>
      </w:r>
      <w:r>
        <w:rPr>
          <w:rFonts w:ascii="Arial" w:cs="Arial" w:eastAsia="Arial" w:hAnsi="Arial"/>
          <w:sz w:val="22"/>
          <w:szCs w:val="22"/>
        </w:rPr>
        <w:t xml:space="preserve">simulated adapters produce deterministic outcomes grounded in TwinState cost logic. No external system calls. No stochastic outcome generation.</w:t>
      </w:r>
    </w:p>
    <w:p>
      <w:pPr>
        <w:pStyle w:val="ListParagraph"/>
        <w:numPr>
          <w:ilvl w:val="0"/>
          <w:numId w:val="2"/>
        </w:numPr>
        <w:spacing w:after="60" w:line="276"/>
      </w:pPr>
      <w:r>
        <w:rPr>
          <w:rFonts w:ascii="Arial" w:cs="Arial" w:eastAsia="Arial" w:hAnsi="Arial"/>
          <w:b/>
          <w:bCs/>
          <w:sz w:val="22"/>
          <w:szCs w:val="22"/>
        </w:rPr>
        <w:t xml:space="preserve">Outcome path: </w:t>
      </w:r>
      <w:r>
        <w:rPr>
          <w:rFonts w:ascii="Arial" w:cs="Arial" w:eastAsia="Arial" w:hAnsi="Arial"/>
          <w:sz w:val="22"/>
          <w:szCs w:val="22"/>
        </w:rPr>
        <w:t xml:space="preserve">outcomes are written to the outcome store, a data structure completely separate from oracle case JSONs.</w:t>
      </w:r>
    </w:p>
    <w:p>
      <w:pPr>
        <w:pStyle w:val="ListParagraph"/>
        <w:numPr>
          <w:ilvl w:val="0"/>
          <w:numId w:val="2"/>
        </w:numPr>
        <w:spacing w:after="60" w:line="276"/>
      </w:pPr>
      <w:r>
        <w:rPr>
          <w:rFonts w:ascii="Arial" w:cs="Arial" w:eastAsia="Arial" w:hAnsi="Arial"/>
          <w:b/>
          <w:bCs/>
          <w:sz w:val="22"/>
          <w:szCs w:val="22"/>
        </w:rPr>
        <w:t xml:space="preserve">Research sidecar: </w:t>
      </w:r>
      <w:r>
        <w:rPr>
          <w:rFonts w:ascii="Arial" w:cs="Arial" w:eastAsia="Arial" w:hAnsi="Arial"/>
          <w:sz w:val="22"/>
          <w:szCs w:val="22"/>
        </w:rPr>
        <w:t xml:space="preserve">existing oracle-backed cases remain frozen and isolated for benchmark evaluation. They are never modified by the runtime loop.</w:t>
      </w:r>
    </w:p>
    <w:p>
      <w:pPr>
        <w:pStyle w:val="Heading1"/>
      </w:pPr>
      <w:r>
        <w:t xml:space="preserve">9. Evaluation Strategy</w:t>
      </w:r>
    </w:p>
    <w:p>
      <w:pPr>
        <w:pStyle w:val="Heading2"/>
      </w:pPr>
      <w:r>
        <w:t xml:space="preserve">9.1 Runtime / product KPIs</w:t>
      </w:r>
    </w:p>
    <w:p>
      <w:pPr>
        <w:pStyle w:val="ListParagraph"/>
        <w:numPr>
          <w:ilvl w:val="0"/>
          <w:numId w:val="2"/>
        </w:numPr>
        <w:spacing w:after="60" w:line="276"/>
      </w:pPr>
      <w:r>
        <w:rPr>
          <w:rFonts w:ascii="Arial" w:cs="Arial" w:eastAsia="Arial" w:hAnsi="Arial"/>
          <w:sz w:val="22"/>
          <w:szCs w:val="22"/>
        </w:rPr>
        <w:t xml:space="preserve">Event resolution rate (fraction of events resolved without human escalation)</w:t>
      </w:r>
    </w:p>
    <w:p>
      <w:pPr>
        <w:pStyle w:val="ListParagraph"/>
        <w:numPr>
          <w:ilvl w:val="0"/>
          <w:numId w:val="2"/>
        </w:numPr>
        <w:spacing w:after="60" w:line="276"/>
      </w:pPr>
      <w:r>
        <w:rPr>
          <w:rFonts w:ascii="Arial" w:cs="Arial" w:eastAsia="Arial" w:hAnsi="Arial"/>
          <w:sz w:val="22"/>
          <w:szCs w:val="22"/>
        </w:rPr>
        <w:t xml:space="preserve">Average response latency (time from event to approved action)</w:t>
      </w:r>
    </w:p>
    <w:p>
      <w:pPr>
        <w:pStyle w:val="ListParagraph"/>
        <w:numPr>
          <w:ilvl w:val="0"/>
          <w:numId w:val="2"/>
        </w:numPr>
        <w:spacing w:after="60" w:line="276"/>
      </w:pPr>
      <w:r>
        <w:rPr>
          <w:rFonts w:ascii="Arial" w:cs="Arial" w:eastAsia="Arial" w:hAnsi="Arial"/>
          <w:sz w:val="22"/>
          <w:szCs w:val="22"/>
        </w:rPr>
        <w:t xml:space="preserve">Auto-execute vs. escalation ratio (policy gate effectiveness)</w:t>
      </w:r>
    </w:p>
    <w:p>
      <w:pPr>
        <w:pStyle w:val="ListParagraph"/>
        <w:numPr>
          <w:ilvl w:val="0"/>
          <w:numId w:val="2"/>
        </w:numPr>
        <w:spacing w:after="60" w:line="276"/>
      </w:pPr>
      <w:r>
        <w:rPr>
          <w:rFonts w:ascii="Arial" w:cs="Arial" w:eastAsia="Arial" w:hAnsi="Arial"/>
          <w:sz w:val="22"/>
          <w:szCs w:val="22"/>
        </w:rPr>
        <w:t xml:space="preserve">Simulated SLA rescue rate (fraction of events where SLA was preserved)</w:t>
      </w:r>
    </w:p>
    <w:p>
      <w:pPr>
        <w:pStyle w:val="ListParagraph"/>
        <w:numPr>
          <w:ilvl w:val="0"/>
          <w:numId w:val="2"/>
        </w:numPr>
        <w:spacing w:after="60" w:line="276"/>
      </w:pPr>
      <w:r>
        <w:rPr>
          <w:rFonts w:ascii="Arial" w:cs="Arial" w:eastAsia="Arial" w:hAnsi="Arial"/>
          <w:sz w:val="22"/>
          <w:szCs w:val="22"/>
        </w:rPr>
        <w:t xml:space="preserve">Simulated cost-to-recover (average cost per resolved event)</w:t>
      </w:r>
    </w:p>
    <w:p>
      <w:pPr>
        <w:pStyle w:val="ListParagraph"/>
        <w:numPr>
          <w:ilvl w:val="0"/>
          <w:numId w:val="2"/>
        </w:numPr>
        <w:spacing w:after="60" w:line="276"/>
      </w:pPr>
      <w:r>
        <w:rPr>
          <w:rFonts w:ascii="Arial" w:cs="Arial" w:eastAsia="Arial" w:hAnsi="Arial"/>
          <w:sz w:val="22"/>
          <w:szCs w:val="22"/>
        </w:rPr>
        <w:t xml:space="preserve">Outcome summary injection effect (does augmenting context improve subsequent decisions?)</w:t>
      </w:r>
    </w:p>
    <w:p>
      <w:pPr>
        <w:pStyle w:val="Heading2"/>
      </w:pPr>
      <w:r>
        <w:t xml:space="preserve">9.2 Research Core KPIs (sidecar)</w:t>
      </w:r>
    </w:p>
    <w:p>
      <w:pPr>
        <w:spacing w:after="120" w:line="276"/>
      </w:pPr>
      <w:r>
        <w:rPr>
          <w:rFonts w:ascii="Arial" w:cs="Arial" w:eastAsia="Arial" w:hAnsi="Arial"/>
          <w:sz w:val="22"/>
          <w:szCs w:val="22"/>
        </w:rPr>
        <w:t xml:space="preserve">Preserved from V2, computed against frozen oracle truth:</w:t>
      </w:r>
    </w:p>
    <w:p>
      <w:pPr>
        <w:pStyle w:val="ListParagraph"/>
        <w:numPr>
          <w:ilvl w:val="0"/>
          <w:numId w:val="2"/>
        </w:numPr>
        <w:spacing w:after="60" w:line="276"/>
      </w:pPr>
      <w:r>
        <w:rPr>
          <w:rFonts w:ascii="Arial" w:cs="Arial" w:eastAsia="Arial" w:hAnsi="Arial"/>
          <w:sz w:val="22"/>
          <w:szCs w:val="22"/>
        </w:rPr>
        <w:t xml:space="preserve">Regret: chosen_cost − oracle_cost</w:t>
      </w:r>
    </w:p>
    <w:p>
      <w:pPr>
        <w:pStyle w:val="ListParagraph"/>
        <w:numPr>
          <w:ilvl w:val="0"/>
          <w:numId w:val="2"/>
        </w:numPr>
        <w:spacing w:after="60" w:line="276"/>
      </w:pPr>
      <w:r>
        <w:rPr>
          <w:rFonts w:ascii="Arial" w:cs="Arial" w:eastAsia="Arial" w:hAnsi="Arial"/>
          <w:sz w:val="22"/>
          <w:szCs w:val="22"/>
        </w:rPr>
        <w:t xml:space="preserve">Unnecessary override: (human ≠ agent) AND (agent == oracle)</w:t>
      </w:r>
    </w:p>
    <w:p>
      <w:pPr>
        <w:pStyle w:val="ListParagraph"/>
        <w:numPr>
          <w:ilvl w:val="0"/>
          <w:numId w:val="2"/>
        </w:numPr>
        <w:spacing w:after="60" w:line="276"/>
      </w:pPr>
      <w:r>
        <w:rPr>
          <w:rFonts w:ascii="Arial" w:cs="Arial" w:eastAsia="Arial" w:hAnsi="Arial"/>
          <w:sz w:val="22"/>
          <w:szCs w:val="22"/>
        </w:rPr>
        <w:t xml:space="preserve">Override effectiveness: cost_reducing / cost_increasing / neutral</w:t>
      </w:r>
    </w:p>
    <w:p>
      <w:pPr>
        <w:pStyle w:val="ListParagraph"/>
        <w:numPr>
          <w:ilvl w:val="0"/>
          <w:numId w:val="2"/>
        </w:numPr>
        <w:spacing w:after="60" w:line="276"/>
      </w:pPr>
      <w:r>
        <w:rPr>
          <w:rFonts w:ascii="Arial" w:cs="Arial" w:eastAsia="Arial" w:hAnsi="Arial"/>
          <w:sz w:val="22"/>
          <w:szCs w:val="22"/>
        </w:rPr>
        <w:t xml:space="preserve">Calibration quality: relationship between risk_level and override behavior</w:t>
      </w:r>
    </w:p>
    <w:p>
      <w:pPr>
        <w:pStyle w:val="Heading1"/>
      </w:pPr>
      <w:r>
        <w:t xml:space="preserve">10. Course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D3-Demo Mapping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use case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exception loop for supply chain disruption response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selection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for reasoning (GPT-4o-mini / Claude), retrieval for grounding, deterministic simulator for state and outcomes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adaptation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structured outputs + policy gate + event loop orchestration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event loop + simulated execution adapters + event-centric UI</w:t>
            </w:r>
          </w:p>
        </w:tc>
      </w:tr>
    </w:tbl>
    <w:p>
      <w:pPr>
        <w:pStyle w:val="Heading1"/>
      </w:pPr>
      <w:r>
        <w:t xml:space="preserve">11. Innovation and Contribution</w:t>
      </w:r>
    </w:p>
    <w:p>
      <w:pPr>
        <w:pStyle w:val="ListParagraph"/>
        <w:numPr>
          <w:ilvl w:val="0"/>
          <w:numId w:val="3"/>
        </w:numPr>
        <w:spacing w:after="60" w:line="276"/>
      </w:pPr>
      <w:r>
        <w:rPr>
          <w:rFonts w:ascii="Arial" w:cs="Arial" w:eastAsia="Arial" w:hAnsi="Arial"/>
          <w:b/>
          <w:bCs/>
          <w:sz w:val="22"/>
          <w:szCs w:val="22"/>
        </w:rPr>
        <w:t xml:space="preserve">From single-shot recommendation to event-driven loop: </w:t>
      </w:r>
      <w:r>
        <w:rPr>
          <w:rFonts w:ascii="Arial" w:cs="Arial" w:eastAsia="Arial" w:hAnsi="Arial"/>
          <w:sz w:val="22"/>
          <w:szCs w:val="22"/>
        </w:rPr>
        <w:t xml:space="preserve">demonstrating that supply chain exception handling is not a one-off prediction problem but a continuous operational process.</w:t>
      </w:r>
    </w:p>
    <w:p>
      <w:pPr>
        <w:pStyle w:val="ListParagraph"/>
        <w:numPr>
          <w:ilvl w:val="0"/>
          <w:numId w:val="3"/>
        </w:numPr>
        <w:spacing w:after="60" w:line="276"/>
      </w:pPr>
      <w:r>
        <w:rPr>
          <w:rFonts w:ascii="Arial" w:cs="Arial" w:eastAsia="Arial" w:hAnsi="Arial"/>
          <w:b/>
          <w:bCs/>
          <w:sz w:val="22"/>
          <w:szCs w:val="22"/>
        </w:rPr>
        <w:t xml:space="preserve">From read-only supervision to policy-gated semi-autonomy: </w:t>
      </w:r>
      <w:r>
        <w:rPr>
          <w:rFonts w:ascii="Arial" w:cs="Arial" w:eastAsia="Arial" w:hAnsi="Arial"/>
          <w:sz w:val="22"/>
          <w:szCs w:val="22"/>
        </w:rPr>
        <w:t xml:space="preserve">showing that the appropriate level of human involvement depends on risk and action type, not a blanket approve/reject gate.</w:t>
      </w:r>
    </w:p>
    <w:p>
      <w:pPr>
        <w:pStyle w:val="ListParagraph"/>
        <w:numPr>
          <w:ilvl w:val="0"/>
          <w:numId w:val="3"/>
        </w:numPr>
        <w:spacing w:after="60" w:line="276"/>
      </w:pPr>
      <w:r>
        <w:rPr>
          <w:rFonts w:ascii="Arial" w:cs="Arial" w:eastAsia="Arial" w:hAnsi="Arial"/>
          <w:b/>
          <w:bCs/>
          <w:sz w:val="22"/>
          <w:szCs w:val="22"/>
        </w:rPr>
        <w:t xml:space="preserve">From static case replay to execution + outcome + feedback: </w:t>
      </w:r>
      <w:r>
        <w:rPr>
          <w:rFonts w:ascii="Arial" w:cs="Arial" w:eastAsia="Arial" w:hAnsi="Arial"/>
          <w:sz w:val="22"/>
          <w:szCs w:val="22"/>
        </w:rPr>
        <w:t xml:space="preserve">closing the loop between recommendation, execution, and outcome observation within a controlled simulation.</w:t>
      </w:r>
    </w:p>
    <w:p>
      <w:pPr>
        <w:pStyle w:val="ListParagraph"/>
        <w:numPr>
          <w:ilvl w:val="0"/>
          <w:numId w:val="3"/>
        </w:numPr>
        <w:spacing w:after="60" w:line="276"/>
      </w:pPr>
      <w:r>
        <w:rPr>
          <w:rFonts w:ascii="Arial" w:cs="Arial" w:eastAsia="Arial" w:hAnsi="Arial"/>
          <w:b/>
          <w:bCs/>
          <w:sz w:val="22"/>
          <w:szCs w:val="22"/>
        </w:rPr>
        <w:t xml:space="preserve">Dual-track evaluation: </w:t>
      </w:r>
      <w:r>
        <w:rPr>
          <w:rFonts w:ascii="Arial" w:cs="Arial" w:eastAsia="Arial" w:hAnsi="Arial"/>
          <w:sz w:val="22"/>
          <w:szCs w:val="22"/>
        </w:rPr>
        <w:t xml:space="preserve">runtime loop metrics coexist with an isolated research core, demonstrating that product-oriented systems can still support rigorous academic evaluation.</w:t>
      </w:r>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topology rewrite</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outer orchestrator + reuse V2 DAG as inner sub-graph. Fallback: V2 + Policy Gate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credibility</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outcomes in TwinState deterministic cost logic. No stochastic outcomes.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Core contamination</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separation: outcome store is a new module; oracle cases and evaluation module never imported by runtime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scope explosion</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UI: event timeline + decision panel + outcome log. Fallback: Streamlit.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overrun</w:t>
            </w:r>
          </w:p>
        </w:tc>
        <w:tc>
          <w:tcPr>
            <w:tcW w:type="dxa" w:w="2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Scope-cut ladder: drop outcome injection → drop new UI → drop adapters → V2 + Policy Gate.</w:t>
            </w:r>
          </w:p>
        </w:tc>
      </w:tr>
    </w:tbl>
    <w:p>
      <w:pPr>
        <w:pStyle w:val="Heading1"/>
      </w:pPr>
      <w:r>
        <w:t xml:space="preserve">13. Demo Narrative</w:t>
      </w:r>
    </w:p>
    <w:p>
      <w:pPr>
        <w:spacing w:after="120" w:line="276"/>
      </w:pPr>
      <w:r>
        <w:rPr>
          <w:rFonts w:ascii="Arial" w:cs="Arial" w:eastAsia="Arial" w:hAnsi="Arial"/>
          <w:sz w:val="22"/>
          <w:szCs w:val="22"/>
        </w:rPr>
        <w:t xml:space="preserve">The following scenario illustrates a single iteration of the D3-Demo loop as it would appear during a live demonstration. All figures are illustrative.</w:t>
      </w:r>
    </w:p>
    <w:p>
      <w:pPr>
        <w:spacing w:after="60"/>
      </w:pPr>
    </w:p>
    <w:p>
      <w:pPr>
        <w:spacing w:after="120" w:line="276"/>
      </w:pPr>
      <w:r>
        <w:rPr>
          <w:rFonts w:ascii="Arial" w:cs="Arial" w:eastAsia="Arial" w:hAnsi="Arial"/>
          <w:i/>
          <w:iCs/>
          <w:sz w:val="22"/>
          <w:szCs w:val="22"/>
        </w:rPr>
        <w:t xml:space="preserve">A carrier delay escalation event arrives: </w:t>
      </w:r>
      <w:r>
        <w:rPr>
          <w:rFonts w:ascii="Arial" w:cs="Arial" w:eastAsia="Arial" w:hAnsi="Arial"/>
          <w:sz w:val="22"/>
          <w:szCs w:val="22"/>
        </w:rPr>
        <w:t xml:space="preserve">Carrier A’s transit delay worsens from 12 hours to 36 hours, threatening SLA compliance for Customer Zone A. The Event Engine emits this as a severity-HIGH event. TwinState is hot-patched: Carrier A’s delay parameter is updated, and the SLA clock for Zone A’s pending orders is recalculated.</w:t>
      </w:r>
    </w:p>
    <w:p>
      <w:pPr>
        <w:spacing w:after="60"/>
      </w:pPr>
    </w:p>
    <w:p>
      <w:pPr>
        <w:spacing w:after="120" w:line="276"/>
      </w:pPr>
      <w:r>
        <w:rPr>
          <w:rFonts w:ascii="Arial" w:cs="Arial" w:eastAsia="Arial" w:hAnsi="Arial"/>
          <w:i/>
          <w:iCs/>
          <w:sz w:val="22"/>
          <w:szCs w:val="22"/>
        </w:rPr>
        <w:t xml:space="preserve">The reasoning sub-graph runs: </w:t>
      </w:r>
      <w:r>
        <w:rPr>
          <w:rFonts w:ascii="Arial" w:cs="Arial" w:eastAsia="Arial" w:hAnsi="Arial"/>
          <w:sz w:val="22"/>
          <w:szCs w:val="22"/>
        </w:rPr>
        <w:t xml:space="preserve">Operations Agent generates three candidates (EXPEDITE via Carrier B at $5,200, TRANSFER to Warehouse B at $4,800, COMPENSATE customers at $3,100). Cost Agent confirms deterministic cost estimates. Governance Agent synthesizes an 8-field recommendation: risk_level HIGH, recommended action EXPEDITE, with rationale trace citing SOP-03 (carrier contingency protocol) and evidence from the SLA threshold calculation.</w:t>
      </w:r>
    </w:p>
    <w:p>
      <w:pPr>
        <w:spacing w:after="60"/>
      </w:pPr>
    </w:p>
    <w:p>
      <w:pPr>
        <w:spacing w:after="120" w:line="276"/>
      </w:pPr>
      <w:r>
        <w:rPr>
          <w:rFonts w:ascii="Arial" w:cs="Arial" w:eastAsia="Arial" w:hAnsi="Arial"/>
          <w:i/>
          <w:iCs/>
          <w:sz w:val="22"/>
          <w:szCs w:val="22"/>
        </w:rPr>
        <w:t xml:space="preserve">Policy Gate routes to human: </w:t>
      </w:r>
      <w:r>
        <w:rPr>
          <w:rFonts w:ascii="Arial" w:cs="Arial" w:eastAsia="Arial" w:hAnsi="Arial"/>
          <w:sz w:val="22"/>
          <w:szCs w:val="22"/>
        </w:rPr>
        <w:t xml:space="preserve">HIGH risk → human required. The event appears in the approval workspace with the full governance recommendation displayed. The human operator reviews the rationale trace and approves the EXPEDITE action.</w:t>
      </w:r>
    </w:p>
    <w:p>
      <w:pPr>
        <w:spacing w:after="60"/>
      </w:pPr>
    </w:p>
    <w:p>
      <w:pPr>
        <w:spacing w:after="120" w:line="276"/>
      </w:pPr>
      <w:r>
        <w:rPr>
          <w:rFonts w:ascii="Arial" w:cs="Arial" w:eastAsia="Arial" w:hAnsi="Arial"/>
          <w:i/>
          <w:iCs/>
          <w:sz w:val="22"/>
          <w:szCs w:val="22"/>
        </w:rPr>
        <w:t xml:space="preserve">Execution and feedback: </w:t>
      </w:r>
      <w:r>
        <w:rPr>
          <w:rFonts w:ascii="Arial" w:cs="Arial" w:eastAsia="Arial" w:hAnsi="Arial"/>
          <w:sz w:val="22"/>
          <w:szCs w:val="22"/>
        </w:rPr>
        <w:t xml:space="preserve">the expedite adapter applies the action to TwinState (Carrier B assigned, cost $5,200 recorded, SLA rescued). The outcome is written to the outcome store. Budget remaining and carrier capacity are updated.</w:t>
      </w:r>
    </w:p>
    <w:p>
      <w:pPr>
        <w:spacing w:after="60"/>
      </w:pPr>
    </w:p>
    <w:p>
      <w:pPr>
        <w:spacing w:after="120" w:line="276"/>
      </w:pPr>
      <w:r>
        <w:rPr>
          <w:rFonts w:ascii="Arial" w:cs="Arial" w:eastAsia="Arial" w:hAnsi="Arial"/>
          <w:i/>
          <w:iCs/>
          <w:sz w:val="22"/>
          <w:szCs w:val="22"/>
        </w:rPr>
        <w:t xml:space="preserve">Next event: </w:t>
      </w:r>
      <w:r>
        <w:rPr>
          <w:rFonts w:ascii="Arial" w:cs="Arial" w:eastAsia="Arial" w:hAnsi="Arial"/>
          <w:sz w:val="22"/>
          <w:szCs w:val="22"/>
        </w:rPr>
        <w:t xml:space="preserve">a demand spike event arrives for Zone A. The reasoning agents now operate on the updated TwinState (reduced budget, Carrier B already in use) and with outcome summary injection showing the recent expedite cost. The Governance Agent adjusts its recommendation accordingly. The loop continues.</w:t>
      </w:r>
    </w:p>
    <w:p>
      <w:pPr>
        <w:spacing w:after="60"/>
      </w:pPr>
    </w:p>
    <w:p>
      <w:pPr>
        <w:pBdr>
          <w:top w:val="single" w:color="2E75B6" w:sz="6" w:space="8"/>
        </w:pBdr>
        <w:spacing w:before="240"/>
      </w:pPr>
      <w:r>
        <w:rPr>
          <w:rFonts w:ascii="Arial" w:cs="Arial" w:eastAsia="Arial" w:hAnsi="Arial"/>
          <w:i/>
          <w:iCs/>
          <w:color w:val="999999"/>
          <w:sz w:val="20"/>
          <w:szCs w:val="20"/>
        </w:rPr>
        <w:t xml:space="preserve">End of Project Proposal</w:t>
      </w:r>
    </w:p>
    <w:p>
      <w:pPr>
        <w:spacing w:after="60"/>
      </w:pPr>
    </w:p>
    <w:p>
      <w:pPr>
        <w:spacing w:after="120" w:line="276"/>
      </w:pPr>
      <w:r>
        <w:rPr>
          <w:rFonts w:ascii="Arial" w:cs="Arial" w:eastAsia="Arial" w:hAnsi="Arial"/>
          <w:i/>
          <w:iCs/>
          <w:color w:val="999999"/>
          <w:sz w:val="22"/>
          <w:szCs w:val="22"/>
        </w:rPr>
        <w:t xml:space="preserve">Companion documents: </w:t>
      </w:r>
      <w:r>
        <w:rPr>
          <w:rFonts w:ascii="Arial" w:cs="Arial" w:eastAsia="Arial" w:hAnsi="Arial"/>
          <w:color w:val="999999"/>
          <w:sz w:val="22"/>
          <w:szCs w:val="22"/>
        </w:rPr>
        <w:t xml:space="preserve">D3_Demo_Implementation_Roadmap.docx • D3_Demo_Path_C_Vision.docx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D3-Demo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2026-04-15T18:02:06.538Z</dcterms:created>
  <dcterms:modified xsi:type="dcterms:W3CDTF">2026-04-15T18:02:06.539Z</dcterms:modified>
</cp:coreProperties>
</file>

<file path=docProps/custom.xml><?xml version="1.0" encoding="utf-8"?>
<Properties xmlns="http://schemas.openxmlformats.org/officeDocument/2006/custom-properties" xmlns:vt="http://schemas.openxmlformats.org/officeDocument/2006/docPropsVTypes"/>
</file>