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E00D1">
      <w:pPr>
        <w:pStyle w:val="2"/>
        <w:rPr>
          <w:rFonts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客知增长 Agent 跨经营模式推广方案</w:t>
      </w:r>
    </w:p>
    <w:p w14:paraId="2A19F3F8">
      <w:pPr>
        <w:pStyle w:val="14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不同广告主如何使用同一套 Agent 获得可验证的经营价值</w:t>
      </w:r>
    </w:p>
    <w:p w14:paraId="3BD6C416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核心结论</w:t>
      </w:r>
    </w:p>
    <w:p w14:paraId="15A53532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Style w:val="16"/>
          <w:rFonts w:hint="eastAsia" w:ascii="微软雅黑" w:hAnsi="微软雅黑" w:eastAsia="微软雅黑"/>
          <w:color w:val="000000"/>
          <w:sz w:val="21"/>
          <w:szCs w:val="21"/>
        </w:rPr>
        <w:t>最需要重新设计的是经营决策闭环。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现有 Agent 主要依据广告数据生成投放建议；跨经营模式后，系统还必须理解客户如何赚钱、什么结果代表增长、哪些经营条件限制策略，以及何时可以确认效果。</w:t>
      </w:r>
    </w:p>
    <w:p w14:paraId="0982BDA8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建议增加经营模式适配层，将工作链路统一为：</w:t>
      </w:r>
      <w:r>
        <w:rPr>
          <w:rStyle w:val="16"/>
          <w:rFonts w:hint="eastAsia" w:ascii="微软雅黑" w:hAnsi="微软雅黑" w:eastAsia="微软雅黑"/>
          <w:color w:val="000000"/>
          <w:sz w:val="21"/>
          <w:szCs w:val="21"/>
        </w:rPr>
        <w:t>经营目标 → 业务反馈 → 约束下决策 → 分阶段评估 → 记忆更新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。客户隔离、证据追溯、人工审批和执行审计等能力继续作为通用底座复用。</w:t>
      </w:r>
    </w:p>
    <w:p w14:paraId="0C408B2A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为什么必须重设计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3480"/>
        <w:gridCol w:w="3208"/>
      </w:tblGrid>
      <w:tr w14:paraId="3F84D1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9987FE6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关键差异</w:t>
            </w:r>
          </w:p>
        </w:tc>
        <w:tc>
          <w:tcPr>
            <w:tcW w:w="209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424FB8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主要风险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A3A53C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重设计要求</w:t>
            </w:r>
          </w:p>
        </w:tc>
      </w:tr>
      <w:tr w14:paraId="26CCAE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D601CBE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增长定义不同</w:t>
            </w:r>
          </w:p>
        </w:tc>
        <w:tc>
          <w:tcPr>
            <w:tcW w:w="209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7EB2F67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订单、留资或预约改善，不代表利润、成交或核销改善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2F5AB5F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用经营结果定义目标，并设置保护指标</w:t>
            </w:r>
          </w:p>
        </w:tc>
      </w:tr>
      <w:tr w14:paraId="7FAE46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1C56157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反馈链路不同</w:t>
            </w:r>
          </w:p>
        </w:tc>
        <w:tc>
          <w:tcPr>
            <w:tcW w:w="209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B0CD57F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广告平台只能看到前端转化，无法判断最终价值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91896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连接订单、CRM、门店或订阅系统</w:t>
            </w:r>
          </w:p>
        </w:tc>
      </w:tr>
      <w:tr w14:paraId="5CB4DA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23F5E23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经营约束不同</w:t>
            </w:r>
          </w:p>
        </w:tc>
        <w:tc>
          <w:tcPr>
            <w:tcW w:w="209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3859CFB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建议可能与库存、销售容量或门店产能冲突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FEDF272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将经营约束纳入策略校验和停止条件</w:t>
            </w:r>
          </w:p>
        </w:tc>
      </w:tr>
      <w:tr w14:paraId="1A4D67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49A7AAD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结果周期不同</w:t>
            </w:r>
          </w:p>
        </w:tc>
        <w:tc>
          <w:tcPr>
            <w:tcW w:w="2095" w:type="pct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F96249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过早复盘会把未成熟数据写成有效经验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BC296D4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按退款、成交、核销或续费周期分阶段判断</w:t>
            </w:r>
          </w:p>
        </w:tc>
      </w:tr>
    </w:tbl>
    <w:p w14:paraId="486C4DED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Style w:val="16"/>
          <w:rFonts w:hint="eastAsia" w:ascii="微软雅黑" w:hAnsi="微软雅黑" w:eastAsia="微软雅黑"/>
          <w:color w:val="000000"/>
          <w:sz w:val="21"/>
          <w:szCs w:val="21"/>
        </w:rPr>
        <w:t>最大的风险是错误学习。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如果目标或反馈口径错误，Agent 会把局部指标改善当作成功，并将错误结论写入客户记忆。长期记忆越丰富，后续偏差反而越稳定。</w:t>
      </w:r>
    </w:p>
    <w:p w14:paraId="04F0917F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总体方案</w:t>
      </w:r>
    </w:p>
    <w:p w14:paraId="488FF436">
      <w:pPr>
        <w:pStyle w:val="4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三层产品结构</w:t>
      </w:r>
    </w:p>
    <w:p w14:paraId="203CE968">
      <w:pPr>
        <w:pStyle w:val="4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5271135" cy="2966720"/>
            <wp:effectExtent l="0" t="0" r="1905" b="5080"/>
            <wp:docPr id="1" name="图片 1" descr="exec-186e1668-3127-43ca-ad03-512dd16ebe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xec-186e1668-3127-43ca-ad03-512dd16ebe1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4296"/>
        <w:gridCol w:w="2510"/>
      </w:tblGrid>
      <w:tr w14:paraId="3446E5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C955398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BC5426C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主要内容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B26E25B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作用</w:t>
            </w:r>
          </w:p>
        </w:tc>
      </w:tr>
      <w:tr w14:paraId="2195AC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DC520D8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客户实例配置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6340297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客户目标、口径、预算、风险边界、数据条件和观察周期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1A6DED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适应同一经营模式内的客户差异</w:t>
            </w:r>
          </w:p>
        </w:tc>
      </w:tr>
      <w:tr w14:paraId="4CF525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6376084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经营模式适配层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305B87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目标、记忆、反馈、策略和评估五类规则模板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F4CC411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沉淀可复用的行业经营逻辑</w:t>
            </w:r>
          </w:p>
        </w:tc>
      </w:tr>
      <w:tr w14:paraId="134989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51BAFC3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通用 Agent 底座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5E2B809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记忆管理、证据追溯、审批执行、权限隔离和审计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613003E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保证服务效率和操作安全</w:t>
            </w:r>
          </w:p>
        </w:tc>
      </w:tr>
    </w:tbl>
    <w:p w14:paraId="1D645A87">
      <w:pPr>
        <w:pStyle w:val="4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经营模式适配层的五项配置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403"/>
      </w:tblGrid>
      <w:tr w14:paraId="49F10E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CEC577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配置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596601D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需要明确的内容</w:t>
            </w:r>
          </w:p>
        </w:tc>
      </w:tr>
      <w:tr w14:paraId="56A7DA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AD6481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目标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E69E013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主要经营指标、过程指标、保护指标及计算口径</w:t>
            </w:r>
          </w:p>
        </w:tc>
      </w:tr>
      <w:tr w14:paraId="3E8084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F65E2D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记忆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C5D5A01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该模式需要保存的经营事实、临时约束和已验证经验</w:t>
            </w:r>
          </w:p>
        </w:tc>
      </w:tr>
      <w:tr w14:paraId="26DE3B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4A09AD7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反馈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304670D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业务事件、数据来源、关联方式、更新时间和结果成熟条件</w:t>
            </w:r>
          </w:p>
        </w:tc>
      </w:tr>
      <w:tr w14:paraId="589986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1B9BD2A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策略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452D835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可执行动作、适用条件、经营约束、风险和停止条件</w:t>
            </w:r>
          </w:p>
        </w:tc>
      </w:tr>
      <w:tr w14:paraId="5119F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DFA908F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评估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05792E1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早期信号、最终结果、观察周期和记忆更新规则</w:t>
            </w:r>
          </w:p>
        </w:tc>
      </w:tr>
    </w:tbl>
    <w:p w14:paraId="5D130A5C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不同经营模式的配置重点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2230"/>
        <w:gridCol w:w="2773"/>
        <w:gridCol w:w="2339"/>
      </w:tblGrid>
      <w:tr w14:paraId="171286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6914E20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经营模式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35ECCFF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真正要优化的结果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DAEB70F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必须纳入的约束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6EC1763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成熟结果</w:t>
            </w:r>
          </w:p>
        </w:tc>
      </w:tr>
      <w:tr w14:paraId="2BAD7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BCCBDA8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电商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4EF6D41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退款后收入、贡献收益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A65578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毛利、库存、促销节奏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A137C04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退款及履约完成后的结果</w:t>
            </w:r>
          </w:p>
        </w:tc>
      </w:tr>
      <w:tr w14:paraId="5CD039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C82BF6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线索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06EDE45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有效线索成本、成交成本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A014B05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有效标准、销售容量、成交周期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C26B6A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CRM 中的有效线索与成交</w:t>
            </w:r>
          </w:p>
        </w:tc>
      </w:tr>
      <w:tr w14:paraId="48EFF8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D3E7C9E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本地门店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44AFE37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到店成本、核销收益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AA467E3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服务半径、营业时间、预约容量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582B9D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到店、核销和取消结果</w:t>
            </w:r>
          </w:p>
        </w:tc>
      </w:tr>
      <w:tr w14:paraId="062DBC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017B8B7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订阅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B5C820A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付费获客成本、回收周期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5DB82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试用规则、留存和续费周期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51537B4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付费、留存与续费结果</w:t>
            </w:r>
          </w:p>
        </w:tc>
      </w:tr>
    </w:tbl>
    <w:p w14:paraId="0CD8A4CB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Style w:val="16"/>
          <w:rFonts w:hint="eastAsia" w:ascii="微软雅黑" w:hAnsi="微软雅黑" w:eastAsia="微软雅黑"/>
          <w:color w:val="000000"/>
          <w:sz w:val="21"/>
          <w:szCs w:val="21"/>
        </w:rPr>
        <w:t>数据不足时必须降级运行。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Agent 可以整理记忆、检查约束和分析平台内指标，但不得声称改善了经营结果，也不得把过程指标变化写成已验证经验。</w:t>
      </w:r>
    </w:p>
    <w:p w14:paraId="46B930AC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策略和复盘如何改</w:t>
      </w:r>
      <w:bookmarkStart w:id="0" w:name="_GoBack"/>
      <w:bookmarkEnd w:id="0"/>
      <w:r>
        <w:rPr>
          <w:rFonts w:hint="eastAsia" w:ascii="微软雅黑" w:hAnsi="微软雅黑" w:eastAsia="微软雅黑"/>
          <w:color w:val="000000"/>
        </w:rPr>
        <w:t>变</w:t>
      </w:r>
    </w:p>
    <w:p w14:paraId="2A765364">
      <w:pPr>
        <w:pStyle w:val="3"/>
        <w:rPr>
          <w:rFonts w:hint="eastAsia" w:ascii="微软雅黑" w:hAnsi="微软雅黑" w:eastAsia="微软雅黑"/>
          <w:color w:val="000000"/>
          <w:lang w:eastAsia="zh-CN"/>
        </w:rPr>
      </w:pPr>
      <w:r>
        <w:rPr>
          <w:rFonts w:hint="eastAsia" w:ascii="微软雅黑" w:hAnsi="微软雅黑" w:eastAsia="微软雅黑"/>
          <w:color w:val="000000"/>
          <w:lang w:eastAsia="zh-CN"/>
        </w:rPr>
        <w:drawing>
          <wp:inline distT="0" distB="0" distL="114300" distR="114300">
            <wp:extent cx="5271135" cy="2966720"/>
            <wp:effectExtent l="0" t="0" r="1905" b="5080"/>
            <wp:docPr id="2" name="图片 2" descr="exec-6593037e-c577-4370-8c1d-ab7ba21f51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xec-6593037e-c577-4370-8c1d-ab7ba21f51e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D182">
      <w:pPr>
        <w:pStyle w:val="4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策略输出</w:t>
      </w:r>
    </w:p>
    <w:p w14:paraId="698A9791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每条建议只保留决策所需的信息：经营目标、关键证据、具体调整、业务前提、风险、观察指标、停止条件和确认人。诊断结果按处理方式分为三类：</w:t>
      </w:r>
    </w:p>
    <w:p w14:paraId="358EB9CA">
      <w:pPr>
        <w:numPr>
          <w:ilvl w:val="0"/>
          <w:numId w:val="1"/>
        </w:numPr>
        <w:spacing w:after="60"/>
        <w:ind w:left="1120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投放内可解决：由优化师确认预算、素材、人群、地域或时段调整。</w:t>
      </w:r>
    </w:p>
    <w:p w14:paraId="26FBFE43">
      <w:pPr>
        <w:numPr>
          <w:ilvl w:val="0"/>
          <w:numId w:val="1"/>
        </w:numPr>
        <w:spacing w:after="60"/>
        <w:ind w:left="1120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需要客户协同：向销售、门店或运营人员生成明确待办。</w:t>
      </w:r>
    </w:p>
    <w:p w14:paraId="5E507D1C">
      <w:pPr>
        <w:numPr>
          <w:ilvl w:val="0"/>
          <w:numId w:val="1"/>
        </w:numPr>
        <w:spacing w:after="60"/>
        <w:ind w:left="1120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超出服务范围：说明缺失条件，暂停依赖该条件的策略。</w:t>
      </w:r>
    </w:p>
    <w:p w14:paraId="6BD74CAD">
      <w:pPr>
        <w:pStyle w:val="4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分阶段复盘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3891"/>
        <w:gridCol w:w="3218"/>
      </w:tblGrid>
      <w:tr w14:paraId="69802C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49FF4C5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8E5D9AD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判断内容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DB2E4D9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能否写入长期记忆</w:t>
            </w:r>
          </w:p>
        </w:tc>
      </w:tr>
      <w:tr w14:paraId="64A74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C1F55AD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执行复盘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B39BFAC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是否按批准版本执行，接口是否成功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803353F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不能</w:t>
            </w:r>
          </w:p>
        </w:tc>
      </w:tr>
      <w:tr w14:paraId="237297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B264E74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早期复盘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66CD3A6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点击、留资、试用激活等过程信号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3E81E78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只能记录为待验证假设</w:t>
            </w:r>
          </w:p>
        </w:tc>
      </w:tr>
      <w:tr w14:paraId="191C50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4BD4803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成熟复盘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2645E5F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退款、成交、核销或续费等最终结果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E349E56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证据充分且经人工确认后可以</w:t>
            </w:r>
          </w:p>
        </w:tc>
      </w:tr>
    </w:tbl>
    <w:p w14:paraId="01E74BA5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/>
          <w:color w:val="000000"/>
          <w:sz w:val="21"/>
          <w:szCs w:val="21"/>
        </w:rPr>
        <w:t>没有对照实验或可靠比较时，只能描述执行后的变化，不能直接把变化归因于 Agent。</w:t>
      </w:r>
    </w:p>
    <w:p w14:paraId="15C62BE9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用户需求和商业价值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2657"/>
        <w:gridCol w:w="4715"/>
      </w:tblGrid>
      <w:tr w14:paraId="447A8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13452A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90B8F5C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核心需求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DE54C94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产品设计与验收</w:t>
            </w:r>
          </w:p>
        </w:tc>
      </w:tr>
      <w:tr w14:paraId="4DA53C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77CC9AB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优化师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7DC383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减少查找、切换和返工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84D602C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突出关键证据与风险；衡量包含审核的总耗时和改写率</w:t>
            </w:r>
          </w:p>
        </w:tc>
      </w:tr>
      <w:tr w14:paraId="364283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2DBC9CC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代理商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A949A9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稳定服务质量并改善单客户毛利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56C819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核算服务工时、模型成本、维护成本和释放产能的实际用途</w:t>
            </w:r>
          </w:p>
        </w:tc>
      </w:tr>
      <w:tr w14:paraId="6F0BE8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C2213AD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广告主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B727AF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看懂预算带来的经营结果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43E6112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用经营语言说明结果、风险和待决策事项</w:t>
            </w:r>
          </w:p>
        </w:tc>
      </w:tr>
      <w:tr w14:paraId="14AEFA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4337C36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业务人员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B8097D8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低负担反馈成交或履约结果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1EF58D5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优先同步现有系统，只补充影响判断的关键信息</w:t>
            </w:r>
          </w:p>
        </w:tc>
      </w:tr>
    </w:tbl>
    <w:p w14:paraId="35DBAE65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Style w:val="16"/>
          <w:rFonts w:hint="eastAsia" w:ascii="微软雅黑" w:hAnsi="微软雅黑" w:eastAsia="微软雅黑"/>
          <w:color w:val="000000"/>
          <w:sz w:val="21"/>
          <w:szCs w:val="21"/>
        </w:rPr>
        <w:t>商业上必须先筛选适配客户。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优先选择任务重复、目标清晰、业务数据可关联且接入成本可控的客户。数据不完整的客户先使用基础协作能力；具备完整反馈链路后，再开放经营优化。</w:t>
      </w:r>
    </w:p>
    <w:p w14:paraId="5C33A627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Style w:val="16"/>
          <w:rFonts w:hint="eastAsia" w:ascii="微软雅黑" w:hAnsi="微软雅黑" w:eastAsia="微软雅黑"/>
          <w:color w:val="000000"/>
          <w:sz w:val="21"/>
          <w:szCs w:val="21"/>
        </w:rPr>
        <w:t xml:space="preserve">单客户净收益 = 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可兑现的人工成本节省 + 新增服务毛利 - 模型、接入、维护和审核成本。代理商提效与广告主经营改善应分别核算，避免把释放工时直接解释为客户增长。</w:t>
      </w:r>
    </w:p>
    <w:p w14:paraId="06511FDF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实施方案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4148"/>
        <w:gridCol w:w="3193"/>
      </w:tblGrid>
      <w:tr w14:paraId="161971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DE279DB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345CA4F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主要动作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185EE00">
            <w:pPr>
              <w:spacing w:before="140" w:after="240"/>
              <w:jc w:val="center"/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  <w:sz w:val="18"/>
                <w:szCs w:val="18"/>
              </w:rPr>
              <w:t>通过标准</w:t>
            </w:r>
          </w:p>
        </w:tc>
      </w:tr>
      <w:tr w14:paraId="734A41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A756C1B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标准化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7163E4C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先建立电商和线索两类模板，统一指标、事件、约束与复盘规则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C1BDF3A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配置可复用，不需逐客户重新开发</w:t>
            </w:r>
          </w:p>
        </w:tc>
      </w:tr>
      <w:tr w14:paraId="73EE5C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4E04979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影子运行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084442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使用真实授权数据生成建议但不执行，与人工方案比较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8CF8958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约束遵守、建议质量和总耗时达到试点要求</w:t>
            </w:r>
          </w:p>
        </w:tc>
      </w:tr>
      <w:tr w14:paraId="616694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07DFB4E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小流量试点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805A268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限定客户、账户、预算和动作，保留人工确认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58E4A20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经营指标达到预设目标且风险可控</w:t>
            </w:r>
          </w:p>
        </w:tc>
      </w:tr>
      <w:tr w14:paraId="4D97BF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BBF1FF4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分别准入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211C064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按经营模式单独评测，不跨模式沿用结论</w:t>
            </w:r>
          </w:p>
        </w:tc>
        <w:tc>
          <w:tcPr>
            <w:tcW w:w="0" w:type="auto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BF49C7C">
            <w:pPr>
              <w:spacing w:before="140" w:after="240"/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安全、质量、效率、商业收益和持续使用均达标</w:t>
            </w:r>
          </w:p>
        </w:tc>
      </w:tr>
    </w:tbl>
    <w:p w14:paraId="0DB91084">
      <w:pPr>
        <w:pStyle w:val="3"/>
        <w:rPr>
          <w:rFonts w:hint="eastAsia"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最终建议</w:t>
      </w:r>
    </w:p>
    <w:p w14:paraId="7432CCAD">
      <w:pPr>
        <w:pStyle w:val="7"/>
        <w:rPr>
          <w:rFonts w:hint="eastAsia" w:ascii="微软雅黑" w:hAnsi="微软雅黑" w:eastAsia="微软雅黑"/>
          <w:color w:val="000000"/>
          <w:sz w:val="21"/>
          <w:szCs w:val="21"/>
        </w:rPr>
      </w:pPr>
      <w:r>
        <w:rPr>
          <w:rStyle w:val="16"/>
          <w:rFonts w:hint="eastAsia" w:ascii="微软雅黑" w:hAnsi="微软雅黑" w:eastAsia="微软雅黑"/>
          <w:color w:val="000000"/>
          <w:sz w:val="21"/>
          <w:szCs w:val="21"/>
        </w:rPr>
        <w:t>将经营模式适配层作为跨客户推广的第一优先级。</w:t>
      </w:r>
      <w:r>
        <w:rPr>
          <w:rFonts w:hint="eastAsia" w:ascii="微软雅黑" w:hAnsi="微软雅黑" w:eastAsia="微软雅黑"/>
          <w:color w:val="000000"/>
          <w:sz w:val="21"/>
          <w:szCs w:val="21"/>
        </w:rPr>
        <w:t>先证明 Agent 能用正确的经营目标、完整的业务反馈和适当的观察周期做出判断，再扩大策略自动化范围。这样可以避免错误经验被持续放大，同时控制定制成本，使优化师效率、代理商收益和广告主经营结果采用一致的验证标准。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D90D3B"/>
    <w:multiLevelType w:val="multilevel"/>
    <w:tmpl w:val="26D90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C2CF9"/>
    <w:rsid w:val="005F202E"/>
    <w:rsid w:val="00B06A63"/>
    <w:rsid w:val="00DC2CF9"/>
    <w:rsid w:val="1FDB450E"/>
    <w:rsid w:val="6424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0"/>
    <w:qFormat/>
    <w:uiPriority w:val="9"/>
    <w:pPr>
      <w:spacing w:after="160"/>
      <w:jc w:val="center"/>
      <w:outlineLvl w:val="0"/>
    </w:pPr>
    <w:rPr>
      <w:b/>
      <w:bCs/>
      <w:kern w:val="36"/>
      <w:sz w:val="40"/>
      <w:szCs w:val="40"/>
    </w:rPr>
  </w:style>
  <w:style w:type="paragraph" w:styleId="3">
    <w:name w:val="heading 2"/>
    <w:basedOn w:val="1"/>
    <w:link w:val="11"/>
    <w:qFormat/>
    <w:uiPriority w:val="9"/>
    <w:pPr>
      <w:keepNext/>
      <w:spacing w:before="360" w:after="140"/>
      <w:outlineLvl w:val="1"/>
    </w:pPr>
    <w:rPr>
      <w:b/>
      <w:bCs/>
      <w:sz w:val="30"/>
      <w:szCs w:val="30"/>
    </w:rPr>
  </w:style>
  <w:style w:type="paragraph" w:styleId="4">
    <w:name w:val="heading 3"/>
    <w:basedOn w:val="1"/>
    <w:link w:val="12"/>
    <w:qFormat/>
    <w:uiPriority w:val="9"/>
    <w:pPr>
      <w:keepNext/>
      <w:spacing w:before="240" w:after="100"/>
      <w:outlineLvl w:val="2"/>
    </w:pPr>
    <w:rPr>
      <w:b/>
      <w:bCs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after="140"/>
    </w:pPr>
  </w:style>
  <w:style w:type="character" w:customStyle="1" w:styleId="10">
    <w:name w:val="标题 1 字符"/>
    <w:basedOn w:val="9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1">
    <w:name w:val="标题 2 字符"/>
    <w:basedOn w:val="9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2">
    <w:name w:val="标题 3 字符"/>
    <w:basedOn w:val="9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13">
    <w:name w:val="msonormal"/>
    <w:basedOn w:val="1"/>
    <w:qFormat/>
    <w:uiPriority w:val="0"/>
    <w:pPr>
      <w:spacing w:after="140"/>
    </w:pPr>
  </w:style>
  <w:style w:type="paragraph" w:customStyle="1" w:styleId="14">
    <w:name w:val="subtitle"/>
    <w:basedOn w:val="1"/>
    <w:uiPriority w:val="0"/>
    <w:pPr>
      <w:spacing w:after="440"/>
      <w:jc w:val="center"/>
    </w:pPr>
    <w:rPr>
      <w:color w:val="555555"/>
      <w:sz w:val="22"/>
      <w:szCs w:val="22"/>
    </w:rPr>
  </w:style>
  <w:style w:type="paragraph" w:customStyle="1" w:styleId="15">
    <w:name w:val="key"/>
    <w:basedOn w:val="1"/>
    <w:qFormat/>
    <w:uiPriority w:val="0"/>
    <w:pPr>
      <w:spacing w:after="60"/>
    </w:pPr>
    <w:rPr>
      <w:b/>
      <w:bCs/>
    </w:rPr>
  </w:style>
  <w:style w:type="character" w:customStyle="1" w:styleId="16">
    <w:name w:val="key1"/>
    <w:basedOn w:val="9"/>
    <w:qFormat/>
    <w:uiPriority w:val="0"/>
    <w:rPr>
      <w:b/>
      <w:bCs/>
    </w:rPr>
  </w:style>
  <w:style w:type="character" w:customStyle="1" w:styleId="17">
    <w:name w:val="页眉 字符"/>
    <w:basedOn w:val="9"/>
    <w:link w:val="6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8">
    <w:name w:val="页脚 字符"/>
    <w:basedOn w:val="9"/>
    <w:link w:val="5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1934</Words>
  <Characters>1970</Characters>
  <Lines>15</Lines>
  <Paragraphs>4</Paragraphs>
  <TotalTime>0</TotalTime>
  <ScaleCrop>false</ScaleCrop>
  <LinksUpToDate>false</LinksUpToDate>
  <CharactersWithSpaces>1998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2026-09-09T15:34:00Z</dcterms:created>
  <dc:creator/>
  <cp:lastModifiedBy/>
  <dcterms:modified xsi:type="dcterms:W3CDTF">2026-09-09T15:36:07Z</dcterms:modified>
  <dc:title>客知增长 Agent 跨经营模式推广重设计方案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eyJoZGlkIjoiNzA0ZWY3ZmQ5MjNiMDRkNDVjNmMyNmUxZmM1MjNkYmEiLCJ1c2VySWQiOiIxNjYyNTAyMTc4In0=</vt:lpwstr>
  </property>
  <property fmtid="{D5CDD505-2E9C-101B-9397-08002B2CF9AE}" pid="3" name="KSOProductBuildVer">
    <vt:lpwstr>2052-12.1.0.28043</vt:lpwstr>
  </property>
  <property fmtid="{D5CDD505-2E9C-101B-9397-08002B2CF9AE}" pid="4" name="ICV">
    <vt:lpwstr>CA999A68586248739956DC45D8080CCD_12</vt:lpwstr>
  </property>
</Properties>
</file>