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361A" w14:textId="77777777" w:rsidR="009C0AC1" w:rsidRPr="009C0AC1" w:rsidRDefault="009C0AC1" w:rsidP="009C0AC1">
      <w:pPr>
        <w:rPr>
          <w:b/>
          <w:bCs/>
        </w:rPr>
      </w:pPr>
      <w:r w:rsidRPr="009C0AC1">
        <w:rPr>
          <w:b/>
          <w:bCs/>
        </w:rPr>
        <w:t>TIVIDY System Design: Architecture and Execution Plan</w:t>
      </w:r>
    </w:p>
    <w:p w14:paraId="711371D0" w14:textId="77777777" w:rsidR="009C0AC1" w:rsidRPr="009C0AC1" w:rsidRDefault="009C0AC1" w:rsidP="009C0AC1">
      <w:pPr>
        <w:rPr>
          <w:b/>
          <w:bCs/>
        </w:rPr>
      </w:pPr>
      <w:r w:rsidRPr="009C0AC1">
        <w:rPr>
          <w:b/>
          <w:bCs/>
        </w:rPr>
        <w:t>1. The Intake and Approval Pipeline</w:t>
      </w:r>
    </w:p>
    <w:p w14:paraId="120227D6" w14:textId="77777777" w:rsidR="009C0AC1" w:rsidRPr="009C0AC1" w:rsidRDefault="009C0AC1" w:rsidP="009C0AC1">
      <w:r w:rsidRPr="009C0AC1">
        <w:t xml:space="preserve">The proposed generic workflow operates as an </w:t>
      </w:r>
      <w:r w:rsidRPr="009C0AC1">
        <w:rPr>
          <w:b/>
          <w:bCs/>
        </w:rPr>
        <w:t>Intake and Approval Pipeline</w:t>
      </w:r>
      <w:r w:rsidRPr="009C0AC1">
        <w:t xml:space="preserve">. Originally conceptualized around admissions, this architecture has been abstracted to be entirely domain-agnostic, structured into three core stages: </w:t>
      </w:r>
    </w:p>
    <w:p w14:paraId="77BEE62D" w14:textId="77777777" w:rsidR="009C0AC1" w:rsidRPr="009C0AC1" w:rsidRDefault="009C0AC1" w:rsidP="009C0AC1">
      <w:pPr>
        <w:numPr>
          <w:ilvl w:val="0"/>
          <w:numId w:val="1"/>
        </w:numPr>
      </w:pPr>
      <w:r w:rsidRPr="009C0AC1">
        <w:rPr>
          <w:b/>
          <w:bCs/>
        </w:rPr>
        <w:t>Ingest &amp; Normalize:</w:t>
      </w:r>
      <w:r w:rsidRPr="009C0AC1">
        <w:t xml:space="preserve"> The engine accepts raw inputs, validates the data structure against a template, and extracts key attributes into a standardized format. </w:t>
      </w:r>
    </w:p>
    <w:p w14:paraId="71913758" w14:textId="77777777" w:rsidR="009C0AC1" w:rsidRPr="009C0AC1" w:rsidRDefault="009C0AC1" w:rsidP="009C0AC1">
      <w:pPr>
        <w:numPr>
          <w:ilvl w:val="0"/>
          <w:numId w:val="1"/>
        </w:numPr>
      </w:pPr>
      <w:r w:rsidRPr="009C0AC1">
        <w:rPr>
          <w:b/>
          <w:bCs/>
        </w:rPr>
        <w:t>Evaluate &amp; Filter:</w:t>
      </w:r>
      <w:r w:rsidRPr="009C0AC1">
        <w:t xml:space="preserve"> The normalized data is passed through a dynamic rules evaluator that executes logical comparisons against user-defined thresholds, flagging items for progression or rejection. </w:t>
      </w:r>
    </w:p>
    <w:p w14:paraId="6B05137E" w14:textId="77777777" w:rsidR="009C0AC1" w:rsidRPr="009C0AC1" w:rsidRDefault="009C0AC1" w:rsidP="009C0AC1">
      <w:pPr>
        <w:numPr>
          <w:ilvl w:val="0"/>
          <w:numId w:val="1"/>
        </w:numPr>
      </w:pPr>
      <w:r w:rsidRPr="009C0AC1">
        <w:rPr>
          <w:b/>
          <w:bCs/>
        </w:rPr>
        <w:t>Authorise &amp; Route:</w:t>
      </w:r>
      <w:r w:rsidRPr="009C0AC1">
        <w:t xml:space="preserve"> The workflow pauses to trigger a notification or API request to a designated authority, waiting for an external action (Approve or Reject) to finalize the state transition. </w:t>
      </w:r>
    </w:p>
    <w:p w14:paraId="3CC9B199" w14:textId="77777777" w:rsidR="009C0AC1" w:rsidRPr="009C0AC1" w:rsidRDefault="009C0AC1" w:rsidP="009C0AC1">
      <w:r w:rsidRPr="009C0AC1">
        <w:t xml:space="preserve">This Intake and Approval Pipeline </w:t>
      </w:r>
      <w:proofErr w:type="gramStart"/>
      <w:r w:rsidRPr="009C0AC1">
        <w:t>satisfies</w:t>
      </w:r>
      <w:proofErr w:type="gramEnd"/>
      <w:r w:rsidRPr="009C0AC1">
        <w:t xml:space="preserve"> the core requirement of the TIVIDY system to operate as a generic workflow manager. By treating incoming information as abstract items and mapping attributes to generic variables, the engine can execute any process that follows a validation and approval lifecycle without requiring modifications to the core classes. The specific admissions scenario will serve only as a demonstration of the engine, rather than defining the engine's architecture. </w:t>
      </w:r>
    </w:p>
    <w:p w14:paraId="20AF18EB" w14:textId="77777777" w:rsidR="009C0AC1" w:rsidRPr="009C0AC1" w:rsidRDefault="009C0AC1" w:rsidP="009C0AC1">
      <w:pPr>
        <w:rPr>
          <w:b/>
          <w:bCs/>
        </w:rPr>
      </w:pPr>
      <w:r w:rsidRPr="009C0AC1">
        <w:rPr>
          <w:b/>
          <w:bCs/>
        </w:rPr>
        <w:t>2. Design Pattern Integration</w:t>
      </w:r>
    </w:p>
    <w:p w14:paraId="785BBD25" w14:textId="77777777" w:rsidR="009C0AC1" w:rsidRPr="009C0AC1" w:rsidRDefault="009C0AC1" w:rsidP="009C0AC1">
      <w:r w:rsidRPr="009C0AC1">
        <w:t xml:space="preserve">To </w:t>
      </w:r>
      <w:proofErr w:type="spellStart"/>
      <w:r w:rsidRPr="009C0AC1">
        <w:t>fulfill</w:t>
      </w:r>
      <w:proofErr w:type="spellEnd"/>
      <w:r w:rsidRPr="009C0AC1">
        <w:t xml:space="preserve"> the requirement of utilizing meaningful Gang of Four design patterns that solve genuine structural problems, the following patterns will drive the architecture of this specific pipeline: </w:t>
      </w:r>
    </w:p>
    <w:p w14:paraId="7274231C" w14:textId="77777777" w:rsidR="009C0AC1" w:rsidRPr="009C0AC1" w:rsidRDefault="009C0AC1" w:rsidP="009C0AC1">
      <w:pPr>
        <w:numPr>
          <w:ilvl w:val="0"/>
          <w:numId w:val="2"/>
        </w:numPr>
      </w:pPr>
      <w:r w:rsidRPr="009C0AC1">
        <w:rPr>
          <w:b/>
          <w:bCs/>
        </w:rPr>
        <w:t>Builder (Assigned Focus):</w:t>
      </w:r>
      <w:r w:rsidRPr="009C0AC1">
        <w:t xml:space="preserve"> A </w:t>
      </w:r>
      <w:proofErr w:type="spellStart"/>
      <w:r w:rsidRPr="009C0AC1">
        <w:t>WorkflowBuilder</w:t>
      </w:r>
      <w:proofErr w:type="spellEnd"/>
      <w:r w:rsidRPr="009C0AC1">
        <w:t xml:space="preserve"> will construct the complex </w:t>
      </w:r>
      <w:proofErr w:type="spellStart"/>
      <w:r w:rsidRPr="009C0AC1">
        <w:t>WorkflowDefinition</w:t>
      </w:r>
      <w:proofErr w:type="spellEnd"/>
      <w:r w:rsidRPr="009C0AC1">
        <w:t xml:space="preserve"> object. This strictly separates the static description of the process from the independent running instances, allowing for the step-by-step configuration of stages, evaluation rules, and participant assignments before an instance is instantiated. </w:t>
      </w:r>
    </w:p>
    <w:p w14:paraId="6C73CDF3" w14:textId="77777777" w:rsidR="009C0AC1" w:rsidRPr="009C0AC1" w:rsidRDefault="009C0AC1" w:rsidP="009C0AC1">
      <w:pPr>
        <w:numPr>
          <w:ilvl w:val="0"/>
          <w:numId w:val="2"/>
        </w:numPr>
      </w:pPr>
      <w:r w:rsidRPr="009C0AC1">
        <w:rPr>
          <w:b/>
          <w:bCs/>
        </w:rPr>
        <w:t>Facade (Assigned Focus):</w:t>
      </w:r>
      <w:r w:rsidRPr="009C0AC1">
        <w:t xml:space="preserve"> A </w:t>
      </w:r>
      <w:proofErr w:type="spellStart"/>
      <w:r w:rsidRPr="009C0AC1">
        <w:t>WorkflowEngineFacade</w:t>
      </w:r>
      <w:proofErr w:type="spellEnd"/>
      <w:r w:rsidRPr="009C0AC1">
        <w:t xml:space="preserve"> will provide a unified interface for the system's boundary layers. It will handle incoming data payloads during the Ingest phase and manage external API triggers during the Authorise phase. This completely shields external systems and UI components from the engine's complex internal state management and routing. </w:t>
      </w:r>
    </w:p>
    <w:p w14:paraId="31B0C8F5" w14:textId="77777777" w:rsidR="009C0AC1" w:rsidRPr="009C0AC1" w:rsidRDefault="009C0AC1" w:rsidP="009C0AC1">
      <w:pPr>
        <w:numPr>
          <w:ilvl w:val="0"/>
          <w:numId w:val="2"/>
        </w:numPr>
      </w:pPr>
      <w:r w:rsidRPr="009C0AC1">
        <w:rPr>
          <w:b/>
          <w:bCs/>
        </w:rPr>
        <w:t>Strategy:</w:t>
      </w:r>
      <w:r w:rsidRPr="009C0AC1">
        <w:t xml:space="preserve"> This will be applied in the Evaluate &amp; Filter phase. By encapsulating different evaluation thresholds and routing rules into interchangeable strategy </w:t>
      </w:r>
      <w:r w:rsidRPr="009C0AC1">
        <w:lastRenderedPageBreak/>
        <w:t xml:space="preserve">objects, the system avoids large centralized if/else chains and manual type checks. </w:t>
      </w:r>
    </w:p>
    <w:p w14:paraId="661A2536" w14:textId="77777777" w:rsidR="009C0AC1" w:rsidRPr="009C0AC1" w:rsidRDefault="009C0AC1" w:rsidP="009C0AC1">
      <w:pPr>
        <w:numPr>
          <w:ilvl w:val="0"/>
          <w:numId w:val="2"/>
        </w:numPr>
      </w:pPr>
      <w:r w:rsidRPr="009C0AC1">
        <w:rPr>
          <w:b/>
          <w:bCs/>
        </w:rPr>
        <w:t>State:</w:t>
      </w:r>
      <w:r w:rsidRPr="009C0AC1">
        <w:t xml:space="preserve"> This pattern will manage the lifecycle of individual work items. As running work changes over time (e.g., created, available, started, completed, rejected), the State pattern ensures operations are only executed if they are valid for the item's current phase in the Intake and Approval Pipeline. </w:t>
      </w:r>
    </w:p>
    <w:p w14:paraId="14126A07" w14:textId="77777777" w:rsidR="009C0AC1" w:rsidRPr="009C0AC1" w:rsidRDefault="009C0AC1" w:rsidP="009C0AC1">
      <w:pPr>
        <w:numPr>
          <w:ilvl w:val="0"/>
          <w:numId w:val="2"/>
        </w:numPr>
      </w:pPr>
      <w:r w:rsidRPr="009C0AC1">
        <w:rPr>
          <w:b/>
          <w:bCs/>
        </w:rPr>
        <w:t>Observer:</w:t>
      </w:r>
      <w:r w:rsidRPr="009C0AC1">
        <w:t xml:space="preserve"> During the Authorise &amp; Route phase, this pattern will handle external communication. When a work item changes state or triggers an event, multiple interested parts of the system or external monitors can react without tightly coupling the core workflow model to the notification mechanisms. </w:t>
      </w:r>
    </w:p>
    <w:p w14:paraId="217A471E" w14:textId="77777777" w:rsidR="009C0AC1" w:rsidRPr="009C0AC1" w:rsidRDefault="009C0AC1" w:rsidP="009C0AC1">
      <w:pPr>
        <w:rPr>
          <w:b/>
          <w:bCs/>
        </w:rPr>
      </w:pPr>
      <w:r w:rsidRPr="009C0AC1">
        <w:rPr>
          <w:b/>
          <w:bCs/>
        </w:rPr>
        <w:t>3. Execution Plan for Practical 6</w:t>
      </w:r>
    </w:p>
    <w:p w14:paraId="6B0702B1" w14:textId="77777777" w:rsidR="009C0AC1" w:rsidRPr="009C0AC1" w:rsidRDefault="009C0AC1" w:rsidP="009C0AC1">
      <w:r w:rsidRPr="009C0AC1">
        <w:t xml:space="preserve">Because Practical 6 focuses on research and design without requiring a complete C++11 implementation, the immediate execution plan </w:t>
      </w:r>
      <w:proofErr w:type="spellStart"/>
      <w:r w:rsidRPr="009C0AC1">
        <w:t>centers</w:t>
      </w:r>
      <w:proofErr w:type="spellEnd"/>
      <w:r w:rsidRPr="009C0AC1">
        <w:t xml:space="preserve"> on translating this generic pipeline into rigorous UML models: </w:t>
      </w:r>
    </w:p>
    <w:p w14:paraId="06FF345E" w14:textId="77777777" w:rsidR="009C0AC1" w:rsidRPr="009C0AC1" w:rsidRDefault="009C0AC1" w:rsidP="009C0AC1">
      <w:pPr>
        <w:numPr>
          <w:ilvl w:val="0"/>
          <w:numId w:val="3"/>
        </w:numPr>
      </w:pPr>
      <w:r w:rsidRPr="009C0AC1">
        <w:rPr>
          <w:b/>
          <w:bCs/>
        </w:rPr>
        <w:t>Activity Diagrams:</w:t>
      </w:r>
      <w:r w:rsidRPr="009C0AC1">
        <w:t xml:space="preserve"> Model the generic three-step Intake and Approval execution pipeline, ensuring actions, decisions, and </w:t>
      </w:r>
      <w:proofErr w:type="spellStart"/>
      <w:r w:rsidRPr="009C0AC1">
        <w:t>swimlanes</w:t>
      </w:r>
      <w:proofErr w:type="spellEnd"/>
      <w:r w:rsidRPr="009C0AC1">
        <w:t xml:space="preserve"> accurately reflect the abstract data flow from ingestion to final routing. </w:t>
      </w:r>
    </w:p>
    <w:p w14:paraId="0788BB91" w14:textId="77777777" w:rsidR="009C0AC1" w:rsidRPr="009C0AC1" w:rsidRDefault="009C0AC1" w:rsidP="009C0AC1">
      <w:pPr>
        <w:numPr>
          <w:ilvl w:val="0"/>
          <w:numId w:val="3"/>
        </w:numPr>
      </w:pPr>
      <w:r w:rsidRPr="009C0AC1">
        <w:rPr>
          <w:b/>
          <w:bCs/>
        </w:rPr>
        <w:t>Class Diagram:</w:t>
      </w:r>
      <w:r w:rsidRPr="009C0AC1">
        <w:t xml:space="preserve"> Map the Builder, Facade, Strategy, State, and Observer participants to the TIVIDY class structure. Clear visual notation will be used to highlight these pattern collaborations across the subsystems. </w:t>
      </w:r>
    </w:p>
    <w:p w14:paraId="23904CBF" w14:textId="77777777" w:rsidR="009C0AC1" w:rsidRPr="009C0AC1" w:rsidRDefault="009C0AC1" w:rsidP="009C0AC1">
      <w:pPr>
        <w:numPr>
          <w:ilvl w:val="0"/>
          <w:numId w:val="3"/>
        </w:numPr>
      </w:pPr>
      <w:r w:rsidRPr="009C0AC1">
        <w:rPr>
          <w:b/>
          <w:bCs/>
        </w:rPr>
        <w:t>Runtime Behaviour Diagrams:</w:t>
      </w:r>
      <w:r w:rsidRPr="009C0AC1">
        <w:t xml:space="preserve"> Develop Sequence Diagrams showcasing the interactions during the Ingest and Authorise phases, and a State Diagram detailing the lifecycle and valid transitions of a generic work item. </w:t>
      </w:r>
    </w:p>
    <w:p w14:paraId="71DCEF29" w14:textId="77777777" w:rsidR="009C0AC1" w:rsidRDefault="009C0AC1" w:rsidP="009C0AC1">
      <w:pPr>
        <w:numPr>
          <w:ilvl w:val="0"/>
          <w:numId w:val="3"/>
        </w:numPr>
      </w:pPr>
      <w:r w:rsidRPr="009C0AC1">
        <w:rPr>
          <w:b/>
          <w:bCs/>
        </w:rPr>
        <w:t>Documentation and Repository Management:</w:t>
      </w:r>
      <w:r w:rsidRPr="009C0AC1">
        <w:t xml:space="preserve"> Record these specific architectural choices, pattern justifications, and the refinement into the generic Intake and Approval Pipeline in the project's design history. All diagrams, research, and design decisions will be committed to the team's GitHub repository. </w:t>
      </w:r>
    </w:p>
    <w:p w14:paraId="454C2911" w14:textId="77777777" w:rsidR="00A90201" w:rsidRDefault="00A90201" w:rsidP="00A90201">
      <w:pPr>
        <w:spacing w:before="100" w:beforeAutospacing="1" w:after="120"/>
      </w:pPr>
    </w:p>
    <w:p w14:paraId="38CB7DCC" w14:textId="77777777" w:rsidR="00A90201" w:rsidRDefault="00A90201" w:rsidP="00A90201">
      <w:pPr>
        <w:spacing w:before="100" w:beforeAutospacing="1" w:after="120"/>
      </w:pPr>
    </w:p>
    <w:p w14:paraId="00ADEE0D" w14:textId="77777777" w:rsidR="00A90201" w:rsidRDefault="00A90201" w:rsidP="00A90201">
      <w:pPr>
        <w:spacing w:before="100" w:beforeAutospacing="1" w:after="120"/>
      </w:pPr>
    </w:p>
    <w:p w14:paraId="1D95F61E" w14:textId="77777777" w:rsidR="00A90201" w:rsidRDefault="00A90201" w:rsidP="00A90201">
      <w:pPr>
        <w:spacing w:before="100" w:beforeAutospacing="1" w:after="120"/>
      </w:pPr>
    </w:p>
    <w:p w14:paraId="4139D1DC" w14:textId="77777777" w:rsidR="00A90201" w:rsidRDefault="00A90201" w:rsidP="00A90201">
      <w:pPr>
        <w:spacing w:before="100" w:beforeAutospacing="1" w:after="120"/>
        <w:rPr>
          <w:b/>
          <w:bCs/>
          <w:sz w:val="32"/>
          <w:szCs w:val="32"/>
        </w:rPr>
      </w:pPr>
    </w:p>
    <w:p w14:paraId="50EC0343" w14:textId="0B045B93" w:rsidR="003410FF" w:rsidRPr="00A90201" w:rsidRDefault="00A90201" w:rsidP="00A90201">
      <w:pPr>
        <w:spacing w:before="100" w:beforeAutospacing="1" w:after="120"/>
        <w:rPr>
          <w:b/>
          <w:bCs/>
          <w:sz w:val="28"/>
          <w:szCs w:val="28"/>
        </w:rPr>
      </w:pPr>
      <w:r w:rsidRPr="00A90201">
        <w:rPr>
          <w:b/>
          <w:bCs/>
          <w:sz w:val="28"/>
          <w:szCs w:val="28"/>
        </w:rPr>
        <w:lastRenderedPageBreak/>
        <w:t>Examples of scenarios where this type of pipeline is used:</w:t>
      </w:r>
    </w:p>
    <w:p w14:paraId="59461112" w14:textId="77777777" w:rsidR="00A90201" w:rsidRPr="00A90201" w:rsidRDefault="00A90201" w:rsidP="00A90201">
      <w:pPr>
        <w:rPr>
          <w:color w:val="EE0000"/>
        </w:rPr>
      </w:pPr>
      <w:r w:rsidRPr="00A90201">
        <w:rPr>
          <w:color w:val="EE0000"/>
        </w:rPr>
        <w:t>1. Insurance Claims Adjudication (First Notice of Loss to Settlement)</w:t>
      </w:r>
    </w:p>
    <w:p w14:paraId="7009C271" w14:textId="77777777" w:rsidR="00A90201" w:rsidRPr="00A90201" w:rsidRDefault="00A90201" w:rsidP="00A90201">
      <w:r w:rsidRPr="00A90201">
        <w:t>Modern insurance workflow engines handle thousands of claims daily using this exact progression:</w:t>
      </w:r>
    </w:p>
    <w:p w14:paraId="41756043" w14:textId="77777777" w:rsidR="00A90201" w:rsidRPr="00A90201" w:rsidRDefault="00A90201" w:rsidP="00A90201">
      <w:pPr>
        <w:numPr>
          <w:ilvl w:val="0"/>
          <w:numId w:val="4"/>
        </w:numPr>
      </w:pPr>
      <w:r w:rsidRPr="00A90201">
        <w:t>Ingest &amp; Normalize: The engine receives First Notice of Loss (FNOL) data from web forms, mobile apps, or police reports, parsing unstructured fields into a standardized claim entity.</w:t>
      </w:r>
    </w:p>
    <w:p w14:paraId="4EFAC3E1" w14:textId="77777777" w:rsidR="00A90201" w:rsidRPr="00A90201" w:rsidRDefault="00A90201" w:rsidP="00A90201">
      <w:pPr>
        <w:numPr>
          <w:ilvl w:val="0"/>
          <w:numId w:val="4"/>
        </w:numPr>
      </w:pPr>
      <w:r w:rsidRPr="00A90201">
        <w:t>Evaluate &amp; Filter: Automated rule engines screen the normalized claim against policy coverage limits, deductible thresholds, and fraud detection algorithms.</w:t>
      </w:r>
    </w:p>
    <w:p w14:paraId="05396AE7" w14:textId="77777777" w:rsidR="00A90201" w:rsidRDefault="00A90201" w:rsidP="00A90201">
      <w:pPr>
        <w:numPr>
          <w:ilvl w:val="0"/>
          <w:numId w:val="4"/>
        </w:numPr>
      </w:pPr>
      <w:r w:rsidRPr="00A90201">
        <w:t xml:space="preserve">Authorise &amp; Route: Low-risk, low-value claims under a specific financial threshold receive automated clearance, whereas high-value claims or flagged anomalies are routed to a human claims </w:t>
      </w:r>
      <w:proofErr w:type="spellStart"/>
      <w:r w:rsidRPr="00A90201">
        <w:t>adjuster’s</w:t>
      </w:r>
      <w:proofErr w:type="spellEnd"/>
      <w:r w:rsidRPr="00A90201">
        <w:t xml:space="preserve"> worklist for formal sign-off.</w:t>
      </w:r>
    </w:p>
    <w:p w14:paraId="46A39BF2" w14:textId="77777777" w:rsidR="00AB3541" w:rsidRDefault="00AB3541" w:rsidP="00AB3541">
      <w:pPr>
        <w:ind w:left="720"/>
      </w:pPr>
    </w:p>
    <w:p w14:paraId="4A978EDE" w14:textId="43132052" w:rsidR="0008448D" w:rsidRPr="0008448D" w:rsidRDefault="0008448D" w:rsidP="0008448D">
      <w:pPr>
        <w:ind w:left="360"/>
      </w:pPr>
      <w:r w:rsidRPr="00AB3541">
        <w:rPr>
          <w:u w:val="single"/>
        </w:rPr>
        <w:t>Sources:</w:t>
      </w:r>
      <w:r>
        <w:br/>
      </w:r>
      <w:r w:rsidRPr="0008448D">
        <w:t xml:space="preserve"> </w:t>
      </w:r>
      <w:proofErr w:type="spellStart"/>
      <w:r w:rsidRPr="0008448D">
        <w:rPr>
          <w:b/>
          <w:bCs/>
        </w:rPr>
        <w:t>Kognitos</w:t>
      </w:r>
      <w:proofErr w:type="spellEnd"/>
      <w:r w:rsidRPr="0008448D">
        <w:rPr>
          <w:b/>
          <w:bCs/>
        </w:rPr>
        <w:t>.</w:t>
      </w:r>
      <w:r w:rsidRPr="0008448D">
        <w:t xml:space="preserve"> (2026). </w:t>
      </w:r>
      <w:r w:rsidRPr="0008448D">
        <w:rPr>
          <w:i/>
          <w:iCs/>
        </w:rPr>
        <w:t>What Is Insurance Claims Automation? A Complete Guide.</w:t>
      </w:r>
    </w:p>
    <w:p w14:paraId="3350B41D" w14:textId="77777777" w:rsidR="0008448D" w:rsidRPr="0008448D" w:rsidRDefault="0008448D" w:rsidP="0008448D">
      <w:pPr>
        <w:numPr>
          <w:ilvl w:val="0"/>
          <w:numId w:val="7"/>
        </w:numPr>
      </w:pPr>
      <w:r w:rsidRPr="0008448D">
        <w:rPr>
          <w:b/>
          <w:bCs/>
        </w:rPr>
        <w:t>URL:</w:t>
      </w:r>
      <w:r w:rsidRPr="0008448D">
        <w:t xml:space="preserve"> </w:t>
      </w:r>
      <w:hyperlink r:id="rId5" w:tgtFrame="_blank" w:history="1">
        <w:r w:rsidRPr="0008448D">
          <w:rPr>
            <w:rStyle w:val="Hyperlink"/>
          </w:rPr>
          <w:t>https://www.kognitos.com/blog/how-insurance-companies-are-automating-claims-processing/</w:t>
        </w:r>
      </w:hyperlink>
    </w:p>
    <w:p w14:paraId="3A1A91BB" w14:textId="77777777" w:rsidR="0008448D" w:rsidRPr="0008448D" w:rsidRDefault="0008448D" w:rsidP="0008448D">
      <w:pPr>
        <w:numPr>
          <w:ilvl w:val="0"/>
          <w:numId w:val="7"/>
        </w:numPr>
      </w:pPr>
      <w:r w:rsidRPr="0008448D">
        <w:rPr>
          <w:b/>
          <w:bCs/>
        </w:rPr>
        <w:t>Relevance:</w:t>
      </w:r>
      <w:r w:rsidRPr="0008448D">
        <w:t xml:space="preserve"> Details the exact intake-to-settlement lifecycle using automated triage, data validation, and routing exceptions to human adjusters.</w:t>
      </w:r>
    </w:p>
    <w:p w14:paraId="28557A91" w14:textId="318BDCDE" w:rsidR="0008448D" w:rsidRPr="0008448D" w:rsidRDefault="0008448D" w:rsidP="0008448D">
      <w:pPr>
        <w:ind w:left="360"/>
      </w:pPr>
      <w:r w:rsidRPr="0008448D">
        <w:rPr>
          <w:b/>
          <w:bCs/>
        </w:rPr>
        <w:t>Assured.</w:t>
      </w:r>
      <w:r w:rsidRPr="0008448D">
        <w:t xml:space="preserve"> (2026). </w:t>
      </w:r>
      <w:r w:rsidRPr="0008448D">
        <w:rPr>
          <w:i/>
          <w:iCs/>
        </w:rPr>
        <w:t>Straight-Through Processing in Insurance Claims.</w:t>
      </w:r>
    </w:p>
    <w:p w14:paraId="724BD906" w14:textId="77777777" w:rsidR="0008448D" w:rsidRPr="0008448D" w:rsidRDefault="0008448D" w:rsidP="0008448D">
      <w:pPr>
        <w:numPr>
          <w:ilvl w:val="0"/>
          <w:numId w:val="8"/>
        </w:numPr>
      </w:pPr>
      <w:r w:rsidRPr="0008448D">
        <w:rPr>
          <w:b/>
          <w:bCs/>
        </w:rPr>
        <w:t>URL:</w:t>
      </w:r>
      <w:r w:rsidRPr="0008448D">
        <w:t xml:space="preserve"> </w:t>
      </w:r>
      <w:hyperlink r:id="rId6" w:tgtFrame="_blank" w:history="1">
        <w:r w:rsidRPr="0008448D">
          <w:rPr>
            <w:rStyle w:val="Hyperlink"/>
          </w:rPr>
          <w:t>https://www.assured.com/blog/straight-through-processing-insurance</w:t>
        </w:r>
      </w:hyperlink>
    </w:p>
    <w:p w14:paraId="62D1BEE7" w14:textId="30126C9D" w:rsidR="0008448D" w:rsidRPr="0008448D" w:rsidRDefault="0008448D" w:rsidP="0008448D">
      <w:pPr>
        <w:numPr>
          <w:ilvl w:val="0"/>
          <w:numId w:val="8"/>
        </w:numPr>
      </w:pPr>
      <w:r w:rsidRPr="0008448D">
        <w:rPr>
          <w:b/>
          <w:bCs/>
        </w:rPr>
        <w:t>Relevance:</w:t>
      </w:r>
      <w:r w:rsidRPr="0008448D">
        <w:t xml:space="preserve"> Outlines the structured pipeline of Intake &amp; Data Capture </w:t>
      </w:r>
      <w:r>
        <w:t>~&gt;</w:t>
      </w:r>
      <w:r w:rsidRPr="0008448D">
        <w:t xml:space="preserve"> Policy Verification </w:t>
      </w:r>
      <w:r>
        <w:t>~&gt;</w:t>
      </w:r>
      <w:r w:rsidRPr="0008448D">
        <w:t xml:space="preserve"> Fraud Scoring </w:t>
      </w:r>
      <w:r>
        <w:t>~&gt;</w:t>
      </w:r>
      <w:r w:rsidRPr="0008448D">
        <w:t xml:space="preserve"> Automated Triage.</w:t>
      </w:r>
    </w:p>
    <w:p w14:paraId="1EC07F2C" w14:textId="23958A59" w:rsidR="0008448D" w:rsidRDefault="0008448D" w:rsidP="0008448D">
      <w:pPr>
        <w:ind w:left="360"/>
      </w:pPr>
    </w:p>
    <w:p w14:paraId="46805395" w14:textId="77777777" w:rsidR="00AB3541" w:rsidRDefault="00AB3541" w:rsidP="0008448D">
      <w:pPr>
        <w:ind w:left="360"/>
      </w:pPr>
    </w:p>
    <w:p w14:paraId="33DAC956" w14:textId="77777777" w:rsidR="00AB3541" w:rsidRDefault="00AB3541" w:rsidP="0008448D">
      <w:pPr>
        <w:ind w:left="360"/>
      </w:pPr>
    </w:p>
    <w:p w14:paraId="2EB01193" w14:textId="77777777" w:rsidR="00FD7FEF" w:rsidRDefault="00FD7FEF" w:rsidP="00A90201"/>
    <w:p w14:paraId="7600E891" w14:textId="77777777" w:rsidR="00FD7FEF" w:rsidRDefault="00FD7FEF" w:rsidP="00A90201"/>
    <w:p w14:paraId="05F0BFBD" w14:textId="77777777" w:rsidR="00FD7FEF" w:rsidRDefault="00FD7FEF" w:rsidP="00A90201"/>
    <w:p w14:paraId="751A7596" w14:textId="77777777" w:rsidR="00FD7FEF" w:rsidRDefault="00FD7FEF" w:rsidP="00A90201"/>
    <w:p w14:paraId="7ECC7EBD" w14:textId="77777777" w:rsidR="00FD7FEF" w:rsidRDefault="00FD7FEF" w:rsidP="00A90201"/>
    <w:p w14:paraId="16F53CE9" w14:textId="77777777" w:rsidR="00330634" w:rsidRDefault="00330634" w:rsidP="00A90201">
      <w:pPr>
        <w:rPr>
          <w:color w:val="EE0000"/>
        </w:rPr>
      </w:pPr>
    </w:p>
    <w:p w14:paraId="66B24186" w14:textId="77777777" w:rsidR="00330634" w:rsidRDefault="00330634" w:rsidP="00A90201">
      <w:pPr>
        <w:rPr>
          <w:color w:val="EE0000"/>
        </w:rPr>
      </w:pPr>
    </w:p>
    <w:p w14:paraId="177F3AE9" w14:textId="77777777" w:rsidR="00330634" w:rsidRDefault="00330634" w:rsidP="00A90201">
      <w:pPr>
        <w:rPr>
          <w:color w:val="EE0000"/>
        </w:rPr>
      </w:pPr>
    </w:p>
    <w:p w14:paraId="33A245C5" w14:textId="77777777" w:rsidR="00330634" w:rsidRDefault="00330634" w:rsidP="00A90201">
      <w:pPr>
        <w:rPr>
          <w:color w:val="EE0000"/>
        </w:rPr>
      </w:pPr>
    </w:p>
    <w:p w14:paraId="1613B609" w14:textId="77777777" w:rsidR="00330634" w:rsidRDefault="00330634" w:rsidP="00A90201">
      <w:pPr>
        <w:rPr>
          <w:color w:val="EE0000"/>
        </w:rPr>
      </w:pPr>
    </w:p>
    <w:p w14:paraId="30C9FFBC" w14:textId="77777777" w:rsidR="00330634" w:rsidRDefault="00330634" w:rsidP="00A90201">
      <w:pPr>
        <w:rPr>
          <w:color w:val="EE0000"/>
        </w:rPr>
      </w:pPr>
    </w:p>
    <w:p w14:paraId="3DF09576" w14:textId="77777777" w:rsidR="00330634" w:rsidRDefault="00330634" w:rsidP="00A90201">
      <w:pPr>
        <w:rPr>
          <w:color w:val="EE0000"/>
        </w:rPr>
      </w:pPr>
    </w:p>
    <w:p w14:paraId="06C6E36F" w14:textId="5064968E" w:rsidR="00A90201" w:rsidRPr="00A90201" w:rsidRDefault="00A90201" w:rsidP="00A90201">
      <w:pPr>
        <w:rPr>
          <w:color w:val="EE0000"/>
        </w:rPr>
      </w:pPr>
      <w:r w:rsidRPr="00A90201">
        <w:rPr>
          <w:color w:val="EE0000"/>
        </w:rPr>
        <w:t>2. FinTech / Banking: KYC (Know Your Customer) &amp; Loan Origination</w:t>
      </w:r>
    </w:p>
    <w:p w14:paraId="170FBFB1" w14:textId="77777777" w:rsidR="00A90201" w:rsidRPr="00A90201" w:rsidRDefault="00A90201" w:rsidP="00A90201">
      <w:r w:rsidRPr="00A90201">
        <w:t>Regulatory compliance and lending systems rely on deterministic filtering paired with authority sign-off:</w:t>
      </w:r>
    </w:p>
    <w:p w14:paraId="52399CC7" w14:textId="77777777" w:rsidR="00A90201" w:rsidRPr="00A90201" w:rsidRDefault="00A90201" w:rsidP="00A90201">
      <w:pPr>
        <w:numPr>
          <w:ilvl w:val="0"/>
          <w:numId w:val="5"/>
        </w:numPr>
      </w:pPr>
      <w:r w:rsidRPr="00A90201">
        <w:t>Ingest &amp; Normalize: Customer identification documents (IDs, bank statements, proof of address) are ingested and converted into standardized applicant schema attributes.</w:t>
      </w:r>
    </w:p>
    <w:p w14:paraId="07404FF8" w14:textId="77777777" w:rsidR="00A90201" w:rsidRPr="00A90201" w:rsidRDefault="00A90201" w:rsidP="00A90201">
      <w:pPr>
        <w:numPr>
          <w:ilvl w:val="0"/>
          <w:numId w:val="5"/>
        </w:numPr>
      </w:pPr>
      <w:r w:rsidRPr="00A90201">
        <w:t>Evaluate &amp; Filter: The data is evaluated against credit scoring matrices, anti-money laundering (AML) watchlists, and debt-to-income thresholds.</w:t>
      </w:r>
    </w:p>
    <w:p w14:paraId="4948901F" w14:textId="77777777" w:rsidR="00A90201" w:rsidRPr="00A90201" w:rsidRDefault="00A90201" w:rsidP="00A90201">
      <w:pPr>
        <w:numPr>
          <w:ilvl w:val="0"/>
          <w:numId w:val="5"/>
        </w:numPr>
      </w:pPr>
      <w:r w:rsidRPr="00A90201">
        <w:t>Authorise &amp; Route: If the automated risk score falls in a "</w:t>
      </w:r>
      <w:proofErr w:type="spellStart"/>
      <w:r w:rsidRPr="00A90201">
        <w:t>gray</w:t>
      </w:r>
      <w:proofErr w:type="spellEnd"/>
      <w:r w:rsidRPr="00A90201">
        <w:t xml:space="preserve"> zone" between definite approval and outright rejection, the application triggers a task routed to a senior compliance officer or risk underwriter.</w:t>
      </w:r>
    </w:p>
    <w:p w14:paraId="2270A4CC" w14:textId="77777777" w:rsidR="00FD7FEF" w:rsidRDefault="00FD7FEF" w:rsidP="00A90201">
      <w:pPr>
        <w:rPr>
          <w:color w:val="EE0000"/>
        </w:rPr>
      </w:pPr>
    </w:p>
    <w:p w14:paraId="7B0A82B2" w14:textId="77777777" w:rsidR="00FD7FEF" w:rsidRDefault="00FD7FEF" w:rsidP="00A90201">
      <w:pPr>
        <w:rPr>
          <w:color w:val="EE0000"/>
        </w:rPr>
      </w:pPr>
    </w:p>
    <w:p w14:paraId="37F1FD78" w14:textId="77777777" w:rsidR="00FD7FEF" w:rsidRDefault="00FD7FEF" w:rsidP="00A90201">
      <w:pPr>
        <w:rPr>
          <w:color w:val="EE0000"/>
        </w:rPr>
      </w:pPr>
    </w:p>
    <w:p w14:paraId="5CA9C8AE" w14:textId="77777777" w:rsidR="00FD7FEF" w:rsidRDefault="00FD7FEF" w:rsidP="00A90201">
      <w:pPr>
        <w:rPr>
          <w:color w:val="EE0000"/>
        </w:rPr>
      </w:pPr>
    </w:p>
    <w:p w14:paraId="15C09293" w14:textId="77777777" w:rsidR="00FD7FEF" w:rsidRDefault="00FD7FEF" w:rsidP="00A90201">
      <w:pPr>
        <w:rPr>
          <w:color w:val="EE0000"/>
        </w:rPr>
      </w:pPr>
    </w:p>
    <w:p w14:paraId="4B174C69" w14:textId="77777777" w:rsidR="00FD7FEF" w:rsidRDefault="00FD7FEF" w:rsidP="00A90201">
      <w:pPr>
        <w:rPr>
          <w:color w:val="EE0000"/>
        </w:rPr>
      </w:pPr>
    </w:p>
    <w:p w14:paraId="11AE847A" w14:textId="77777777" w:rsidR="00FD7FEF" w:rsidRDefault="00FD7FEF" w:rsidP="00A90201">
      <w:pPr>
        <w:rPr>
          <w:color w:val="EE0000"/>
        </w:rPr>
      </w:pPr>
    </w:p>
    <w:p w14:paraId="45C62429" w14:textId="77777777" w:rsidR="00FD7FEF" w:rsidRDefault="00FD7FEF" w:rsidP="00A90201">
      <w:pPr>
        <w:rPr>
          <w:color w:val="EE0000"/>
        </w:rPr>
      </w:pPr>
    </w:p>
    <w:p w14:paraId="2D2C2787" w14:textId="77777777" w:rsidR="00FD7FEF" w:rsidRDefault="00FD7FEF" w:rsidP="00A90201">
      <w:pPr>
        <w:rPr>
          <w:color w:val="EE0000"/>
        </w:rPr>
      </w:pPr>
    </w:p>
    <w:p w14:paraId="040607CD" w14:textId="77777777" w:rsidR="00FD7FEF" w:rsidRDefault="00FD7FEF" w:rsidP="00A90201">
      <w:pPr>
        <w:rPr>
          <w:color w:val="EE0000"/>
        </w:rPr>
      </w:pPr>
    </w:p>
    <w:p w14:paraId="40ED97E1" w14:textId="77777777" w:rsidR="00FD7FEF" w:rsidRDefault="00FD7FEF" w:rsidP="00A90201">
      <w:pPr>
        <w:rPr>
          <w:color w:val="EE0000"/>
        </w:rPr>
      </w:pPr>
    </w:p>
    <w:p w14:paraId="549ED5C3" w14:textId="4ECB06C1" w:rsidR="00330634" w:rsidRDefault="00330634" w:rsidP="00330634">
      <w:pPr>
        <w:tabs>
          <w:tab w:val="left" w:pos="714"/>
        </w:tabs>
        <w:rPr>
          <w:color w:val="EE0000"/>
        </w:rPr>
      </w:pPr>
    </w:p>
    <w:p w14:paraId="7FCDC37C" w14:textId="5628D65B" w:rsidR="00A90201" w:rsidRPr="00A90201" w:rsidRDefault="00A90201" w:rsidP="00A90201">
      <w:r w:rsidRPr="00A90201">
        <w:rPr>
          <w:color w:val="EE0000"/>
        </w:rPr>
        <w:lastRenderedPageBreak/>
        <w:t>3. Procurement and Accounts Payable (Invoice Processing)</w:t>
      </w:r>
    </w:p>
    <w:p w14:paraId="13D15E2A" w14:textId="77777777" w:rsidR="00A90201" w:rsidRPr="00A90201" w:rsidRDefault="00A90201" w:rsidP="00A90201">
      <w:r w:rsidRPr="00A90201">
        <w:t>Corporate resource management platforms (e.g., SAP, Coupa) process requisitions and vendor invoices through an identical three-step lifecycle:</w:t>
      </w:r>
    </w:p>
    <w:p w14:paraId="62163D4F" w14:textId="77777777" w:rsidR="00A90201" w:rsidRPr="00A90201" w:rsidRDefault="00A90201" w:rsidP="00A90201">
      <w:pPr>
        <w:numPr>
          <w:ilvl w:val="0"/>
          <w:numId w:val="6"/>
        </w:numPr>
      </w:pPr>
      <w:r w:rsidRPr="00A90201">
        <w:t>Ingest &amp; Normalize: Invoices arrive via EDI, email, or PDF and are normalized into standard purchase data.</w:t>
      </w:r>
    </w:p>
    <w:p w14:paraId="0A3AE78E" w14:textId="77777777" w:rsidR="00A90201" w:rsidRPr="00A90201" w:rsidRDefault="00A90201" w:rsidP="00A90201">
      <w:pPr>
        <w:numPr>
          <w:ilvl w:val="0"/>
          <w:numId w:val="6"/>
        </w:numPr>
      </w:pPr>
      <w:r w:rsidRPr="00A90201">
        <w:t>Evaluate &amp; Filter: The engine performs automated "three-way matching" (matching the invoice line items, purchase order, and receiving slip) and checks spending thresholds.</w:t>
      </w:r>
    </w:p>
    <w:p w14:paraId="1A650E3C" w14:textId="4B2B2D38" w:rsidR="00A90201" w:rsidRDefault="00A90201" w:rsidP="0096283F">
      <w:pPr>
        <w:numPr>
          <w:ilvl w:val="0"/>
          <w:numId w:val="6"/>
        </w:numPr>
      </w:pPr>
      <w:r w:rsidRPr="00A90201">
        <w:t>Authorise &amp; Route: Invoices with discrepancies or amounts exceeding organizational delegation-of-authority limits are paused and dispatched to department heads for manual approval.</w:t>
      </w:r>
    </w:p>
    <w:p w14:paraId="48D74D29" w14:textId="77777777" w:rsidR="00AB3541" w:rsidRDefault="00AB3541" w:rsidP="00AB3541">
      <w:pPr>
        <w:rPr>
          <w:u w:val="single"/>
        </w:rPr>
      </w:pPr>
      <w:r w:rsidRPr="00AB3541">
        <w:rPr>
          <w:u w:val="single"/>
        </w:rPr>
        <w:t>Sources:</w:t>
      </w:r>
    </w:p>
    <w:p w14:paraId="1974D57A" w14:textId="29160C6D" w:rsidR="00AB3541" w:rsidRPr="00AB3541" w:rsidRDefault="00AB3541" w:rsidP="00AB3541">
      <w:pPr>
        <w:rPr>
          <w:u w:val="single"/>
        </w:rPr>
      </w:pPr>
      <w:r w:rsidRPr="00AB3541">
        <w:rPr>
          <w:u w:val="single"/>
        </w:rPr>
        <w:t xml:space="preserve"> </w:t>
      </w:r>
      <w:proofErr w:type="spellStart"/>
      <w:r w:rsidRPr="00AB3541">
        <w:rPr>
          <w:b/>
          <w:bCs/>
          <w:u w:val="single"/>
        </w:rPr>
        <w:t>Precoro</w:t>
      </w:r>
      <w:proofErr w:type="spellEnd"/>
      <w:r w:rsidRPr="00AB3541">
        <w:rPr>
          <w:b/>
          <w:bCs/>
          <w:u w:val="single"/>
        </w:rPr>
        <w:t>.</w:t>
      </w:r>
      <w:r w:rsidRPr="00AB3541">
        <w:rPr>
          <w:u w:val="single"/>
        </w:rPr>
        <w:t xml:space="preserve"> (2026). </w:t>
      </w:r>
      <w:r w:rsidRPr="00AB3541">
        <w:rPr>
          <w:i/>
          <w:iCs/>
          <w:u w:val="single"/>
        </w:rPr>
        <w:t>3-Way Matching in Accounts Payable: How It Works and Why It Matters.</w:t>
      </w:r>
    </w:p>
    <w:p w14:paraId="322E68F0" w14:textId="77777777" w:rsidR="00AB3541" w:rsidRPr="00AB3541" w:rsidRDefault="00AB3541" w:rsidP="00AB3541">
      <w:pPr>
        <w:numPr>
          <w:ilvl w:val="0"/>
          <w:numId w:val="9"/>
        </w:numPr>
        <w:rPr>
          <w:u w:val="single"/>
        </w:rPr>
      </w:pPr>
      <w:r w:rsidRPr="00AB3541">
        <w:rPr>
          <w:b/>
          <w:bCs/>
          <w:u w:val="single"/>
        </w:rPr>
        <w:t>URL:</w:t>
      </w:r>
      <w:r w:rsidRPr="00AB3541">
        <w:rPr>
          <w:u w:val="single"/>
        </w:rPr>
        <w:t xml:space="preserve"> </w:t>
      </w:r>
      <w:hyperlink r:id="rId7" w:tgtFrame="_blank" w:history="1">
        <w:r w:rsidRPr="00AB3541">
          <w:rPr>
            <w:rStyle w:val="Hyperlink"/>
          </w:rPr>
          <w:t>https://precoro.com/blog/why-implementing-3-way-matching-is-important/</w:t>
        </w:r>
      </w:hyperlink>
    </w:p>
    <w:p w14:paraId="397C7AD5" w14:textId="77777777" w:rsidR="00AB3541" w:rsidRDefault="00AB3541" w:rsidP="00AB3541">
      <w:pPr>
        <w:numPr>
          <w:ilvl w:val="0"/>
          <w:numId w:val="9"/>
        </w:numPr>
        <w:rPr>
          <w:u w:val="single"/>
        </w:rPr>
      </w:pPr>
      <w:r w:rsidRPr="00AB3541">
        <w:rPr>
          <w:b/>
          <w:bCs/>
          <w:u w:val="single"/>
        </w:rPr>
        <w:t>Relevance:</w:t>
      </w:r>
      <w:r w:rsidRPr="00AB3541">
        <w:rPr>
          <w:u w:val="single"/>
        </w:rPr>
        <w:t xml:space="preserve"> Explains the workflow of ingesting vendor invoices, applying automated tolerance logic (evaluation phase), and routing mismatches for manual investigation.</w:t>
      </w:r>
    </w:p>
    <w:p w14:paraId="1D38429A" w14:textId="77777777" w:rsidR="000F2C29" w:rsidRPr="00AB3541" w:rsidRDefault="000F2C29" w:rsidP="000F2C29">
      <w:pPr>
        <w:ind w:left="720"/>
        <w:rPr>
          <w:u w:val="single"/>
        </w:rPr>
      </w:pPr>
    </w:p>
    <w:p w14:paraId="77810754" w14:textId="275CDEFF" w:rsidR="00AB3541" w:rsidRPr="00AB3541" w:rsidRDefault="00AB3541" w:rsidP="00AB3541">
      <w:pPr>
        <w:rPr>
          <w:u w:val="single"/>
        </w:rPr>
      </w:pPr>
      <w:proofErr w:type="spellStart"/>
      <w:r w:rsidRPr="00AB3541">
        <w:rPr>
          <w:b/>
          <w:bCs/>
          <w:u w:val="single"/>
        </w:rPr>
        <w:t>Tipalti</w:t>
      </w:r>
      <w:proofErr w:type="spellEnd"/>
      <w:r w:rsidRPr="00AB3541">
        <w:rPr>
          <w:b/>
          <w:bCs/>
          <w:u w:val="single"/>
        </w:rPr>
        <w:t>.</w:t>
      </w:r>
      <w:r w:rsidRPr="00AB3541">
        <w:rPr>
          <w:u w:val="single"/>
        </w:rPr>
        <w:t xml:space="preserve"> (2026). </w:t>
      </w:r>
      <w:r w:rsidRPr="00AB3541">
        <w:rPr>
          <w:i/>
          <w:iCs/>
          <w:u w:val="single"/>
        </w:rPr>
        <w:t>What is a 3-Way Match? How It Works in the AP Process.</w:t>
      </w:r>
    </w:p>
    <w:p w14:paraId="2C032C6F" w14:textId="77777777" w:rsidR="00AB3541" w:rsidRPr="00AB3541" w:rsidRDefault="00AB3541" w:rsidP="00AB3541">
      <w:pPr>
        <w:numPr>
          <w:ilvl w:val="0"/>
          <w:numId w:val="10"/>
        </w:numPr>
        <w:rPr>
          <w:u w:val="single"/>
        </w:rPr>
      </w:pPr>
      <w:r w:rsidRPr="00AB3541">
        <w:rPr>
          <w:b/>
          <w:bCs/>
          <w:u w:val="single"/>
        </w:rPr>
        <w:t>URL:</w:t>
      </w:r>
      <w:r w:rsidRPr="00AB3541">
        <w:rPr>
          <w:u w:val="single"/>
        </w:rPr>
        <w:t xml:space="preserve"> </w:t>
      </w:r>
      <w:hyperlink r:id="rId8" w:tgtFrame="_blank" w:history="1">
        <w:r w:rsidRPr="00AB3541">
          <w:rPr>
            <w:rStyle w:val="Hyperlink"/>
          </w:rPr>
          <w:t>https://tipalti.com/en-eu/resources/learn/3-way-match/</w:t>
        </w:r>
      </w:hyperlink>
    </w:p>
    <w:p w14:paraId="10CC6F2D" w14:textId="77777777" w:rsidR="00AB3541" w:rsidRPr="00AB3541" w:rsidRDefault="00AB3541" w:rsidP="00AB3541">
      <w:pPr>
        <w:numPr>
          <w:ilvl w:val="0"/>
          <w:numId w:val="10"/>
        </w:numPr>
        <w:rPr>
          <w:u w:val="single"/>
        </w:rPr>
      </w:pPr>
      <w:r w:rsidRPr="00AB3541">
        <w:rPr>
          <w:b/>
          <w:bCs/>
          <w:u w:val="single"/>
        </w:rPr>
        <w:t>Relevance:</w:t>
      </w:r>
      <w:r w:rsidRPr="00AB3541">
        <w:rPr>
          <w:u w:val="single"/>
        </w:rPr>
        <w:t xml:space="preserve"> Validates the pipeline of cross-referencing incoming structured data (invoices) against predefined constraints (purchase orders) before authorizing payment.</w:t>
      </w:r>
    </w:p>
    <w:p w14:paraId="1C65938E" w14:textId="0C2D81C0" w:rsidR="00AB3541" w:rsidRPr="00AB3541" w:rsidRDefault="00AB3541" w:rsidP="00AB3541">
      <w:pPr>
        <w:rPr>
          <w:u w:val="single"/>
        </w:rPr>
      </w:pPr>
      <w:r w:rsidRPr="00AB3541">
        <w:rPr>
          <w:u w:val="single"/>
        </w:rPr>
        <w:br/>
      </w:r>
    </w:p>
    <w:sectPr w:rsidR="00AB3541" w:rsidRPr="00AB3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E67"/>
    <w:multiLevelType w:val="multilevel"/>
    <w:tmpl w:val="1FD0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B5838"/>
    <w:multiLevelType w:val="multilevel"/>
    <w:tmpl w:val="246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833CB"/>
    <w:multiLevelType w:val="multilevel"/>
    <w:tmpl w:val="676C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C6FEB"/>
    <w:multiLevelType w:val="multilevel"/>
    <w:tmpl w:val="D08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52BB7"/>
    <w:multiLevelType w:val="multilevel"/>
    <w:tmpl w:val="8504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C5885"/>
    <w:multiLevelType w:val="multilevel"/>
    <w:tmpl w:val="7630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B738C"/>
    <w:multiLevelType w:val="multilevel"/>
    <w:tmpl w:val="20B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D07A8"/>
    <w:multiLevelType w:val="multilevel"/>
    <w:tmpl w:val="E2C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14F5B"/>
    <w:multiLevelType w:val="multilevel"/>
    <w:tmpl w:val="3AF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35F86"/>
    <w:multiLevelType w:val="multilevel"/>
    <w:tmpl w:val="E57A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722821">
    <w:abstractNumId w:val="3"/>
  </w:num>
  <w:num w:numId="2" w16cid:durableId="89547032">
    <w:abstractNumId w:val="7"/>
  </w:num>
  <w:num w:numId="3" w16cid:durableId="1356270081">
    <w:abstractNumId w:val="0"/>
  </w:num>
  <w:num w:numId="4" w16cid:durableId="793838660">
    <w:abstractNumId w:val="6"/>
  </w:num>
  <w:num w:numId="5" w16cid:durableId="1061947826">
    <w:abstractNumId w:val="8"/>
  </w:num>
  <w:num w:numId="6" w16cid:durableId="875696529">
    <w:abstractNumId w:val="4"/>
  </w:num>
  <w:num w:numId="7" w16cid:durableId="1408652351">
    <w:abstractNumId w:val="1"/>
  </w:num>
  <w:num w:numId="8" w16cid:durableId="1645769248">
    <w:abstractNumId w:val="5"/>
  </w:num>
  <w:num w:numId="9" w16cid:durableId="1622884673">
    <w:abstractNumId w:val="9"/>
  </w:num>
  <w:num w:numId="10" w16cid:durableId="186985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00"/>
    <w:rsid w:val="00004875"/>
    <w:rsid w:val="0008448D"/>
    <w:rsid w:val="000F2C29"/>
    <w:rsid w:val="00330634"/>
    <w:rsid w:val="003410FF"/>
    <w:rsid w:val="003C2297"/>
    <w:rsid w:val="00455D00"/>
    <w:rsid w:val="006E59FE"/>
    <w:rsid w:val="0096283F"/>
    <w:rsid w:val="009C0AC1"/>
    <w:rsid w:val="00A90201"/>
    <w:rsid w:val="00AB3541"/>
    <w:rsid w:val="00D90097"/>
    <w:rsid w:val="00FD7F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85F10"/>
  <w15:chartTrackingRefBased/>
  <w15:docId w15:val="{DD31D8BF-0123-4E11-A422-BCB118CF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D00"/>
    <w:rPr>
      <w:rFonts w:eastAsiaTheme="majorEastAsia" w:cstheme="majorBidi"/>
      <w:color w:val="272727" w:themeColor="text1" w:themeTint="D8"/>
    </w:rPr>
  </w:style>
  <w:style w:type="paragraph" w:styleId="Title">
    <w:name w:val="Title"/>
    <w:basedOn w:val="Normal"/>
    <w:next w:val="Normal"/>
    <w:link w:val="TitleChar"/>
    <w:uiPriority w:val="10"/>
    <w:qFormat/>
    <w:rsid w:val="00455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D00"/>
    <w:pPr>
      <w:spacing w:before="160"/>
      <w:jc w:val="center"/>
    </w:pPr>
    <w:rPr>
      <w:i/>
      <w:iCs/>
      <w:color w:val="404040" w:themeColor="text1" w:themeTint="BF"/>
    </w:rPr>
  </w:style>
  <w:style w:type="character" w:customStyle="1" w:styleId="QuoteChar">
    <w:name w:val="Quote Char"/>
    <w:basedOn w:val="DefaultParagraphFont"/>
    <w:link w:val="Quote"/>
    <w:uiPriority w:val="29"/>
    <w:rsid w:val="00455D00"/>
    <w:rPr>
      <w:i/>
      <w:iCs/>
      <w:color w:val="404040" w:themeColor="text1" w:themeTint="BF"/>
    </w:rPr>
  </w:style>
  <w:style w:type="paragraph" w:styleId="ListParagraph">
    <w:name w:val="List Paragraph"/>
    <w:basedOn w:val="Normal"/>
    <w:uiPriority w:val="34"/>
    <w:qFormat/>
    <w:rsid w:val="00455D00"/>
    <w:pPr>
      <w:ind w:left="720"/>
      <w:contextualSpacing/>
    </w:pPr>
  </w:style>
  <w:style w:type="character" w:styleId="IntenseEmphasis">
    <w:name w:val="Intense Emphasis"/>
    <w:basedOn w:val="DefaultParagraphFont"/>
    <w:uiPriority w:val="21"/>
    <w:qFormat/>
    <w:rsid w:val="00455D00"/>
    <w:rPr>
      <w:i/>
      <w:iCs/>
      <w:color w:val="0F4761" w:themeColor="accent1" w:themeShade="BF"/>
    </w:rPr>
  </w:style>
  <w:style w:type="paragraph" w:styleId="IntenseQuote">
    <w:name w:val="Intense Quote"/>
    <w:basedOn w:val="Normal"/>
    <w:next w:val="Normal"/>
    <w:link w:val="IntenseQuoteChar"/>
    <w:uiPriority w:val="30"/>
    <w:qFormat/>
    <w:rsid w:val="00455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D00"/>
    <w:rPr>
      <w:i/>
      <w:iCs/>
      <w:color w:val="0F4761" w:themeColor="accent1" w:themeShade="BF"/>
    </w:rPr>
  </w:style>
  <w:style w:type="character" w:styleId="IntenseReference">
    <w:name w:val="Intense Reference"/>
    <w:basedOn w:val="DefaultParagraphFont"/>
    <w:uiPriority w:val="32"/>
    <w:qFormat/>
    <w:rsid w:val="00455D00"/>
    <w:rPr>
      <w:b/>
      <w:bCs/>
      <w:smallCaps/>
      <w:color w:val="0F4761" w:themeColor="accent1" w:themeShade="BF"/>
      <w:spacing w:val="5"/>
    </w:rPr>
  </w:style>
  <w:style w:type="paragraph" w:styleId="NormalWeb">
    <w:name w:val="Normal (Web)"/>
    <w:basedOn w:val="Normal"/>
    <w:uiPriority w:val="99"/>
    <w:semiHidden/>
    <w:unhideWhenUsed/>
    <w:rsid w:val="0008448D"/>
    <w:rPr>
      <w:rFonts w:ascii="Times New Roman" w:hAnsi="Times New Roman" w:cs="Times New Roman"/>
    </w:rPr>
  </w:style>
  <w:style w:type="character" w:styleId="Hyperlink">
    <w:name w:val="Hyperlink"/>
    <w:basedOn w:val="DefaultParagraphFont"/>
    <w:uiPriority w:val="99"/>
    <w:unhideWhenUsed/>
    <w:rsid w:val="0008448D"/>
    <w:rPr>
      <w:color w:val="467886" w:themeColor="hyperlink"/>
      <w:u w:val="single"/>
    </w:rPr>
  </w:style>
  <w:style w:type="character" w:styleId="UnresolvedMention">
    <w:name w:val="Unresolved Mention"/>
    <w:basedOn w:val="DefaultParagraphFont"/>
    <w:uiPriority w:val="99"/>
    <w:semiHidden/>
    <w:unhideWhenUsed/>
    <w:rsid w:val="00084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palti.com/en-eu/resources/learn/3-way-match/" TargetMode="External"/><Relationship Id="rId3" Type="http://schemas.openxmlformats.org/officeDocument/2006/relationships/settings" Target="settings.xml"/><Relationship Id="rId7" Type="http://schemas.openxmlformats.org/officeDocument/2006/relationships/hyperlink" Target="https://precoro.com/blog/why-implementing-3-way-matching-is-importa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ssured.com/blog/straight-through-processing-insurance" TargetMode="External"/><Relationship Id="rId5" Type="http://schemas.openxmlformats.org/officeDocument/2006/relationships/hyperlink" Target="https://www.kognitos.com/blog/how-insurance-companies-are-automating-claims-process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1211</Words>
  <Characters>6905</Characters>
  <Application>Microsoft Office Word</Application>
  <DocSecurity>0</DocSecurity>
  <Lines>57</Lines>
  <Paragraphs>16</Paragraphs>
  <ScaleCrop>false</ScaleCrop>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ATS Mthemba</dc:creator>
  <cp:keywords/>
  <dc:description/>
  <cp:lastModifiedBy>Mr. ATS Mthemba</cp:lastModifiedBy>
  <cp:revision>10</cp:revision>
  <dcterms:created xsi:type="dcterms:W3CDTF">2026-10-05T06:53:00Z</dcterms:created>
  <dcterms:modified xsi:type="dcterms:W3CDTF">2026-10-05T10:48:00Z</dcterms:modified>
</cp:coreProperties>
</file>