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EndPr/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1359A9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6E2EA9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библиотеки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 точки зрения оказываемых услуг и выполняемых функций, с последующим обозначением пользователей будущей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информационной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Библиотека – общедоступный источник знаний и основная база для процесса самообразования.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Поддержание фондов библиотеки состоит из систематического выявления нужных для данной библиотеки изданий и приобретения их. От своевременности и должной укомплектованности в значительной мере зависит уровень обслуживания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lastRenderedPageBreak/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Субъекты 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Входная информация - информация: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Средние показатели работы библиотеки: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Читаемость (Ч) Показатель характеризует интенсивность чтения.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Среднее число книг, выданных одному читателю в год, исчисляется путем деления количества выданных за год документов (В) на число читателей, зарегистрированных за год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Ч=В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Посещаемость (Пос.) Показатель характеризует активность посещения читателями библиотеки.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числа посещений за год (П), на число читателей.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Пос.= П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Обращаемость книжного фонда. (Об) Характеризует степень использования книжного фонда.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книговыдач за год (В) на количество книжного фонда библиотеки (Ф).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 = В : Ф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Книгообеспеченность (К) Показатель характеризует величину книжного фонда в отношении к числу читателей, т. е. его достаточность.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документов имеющихся в библиотеке на конец года (Ф) на число зарегистрированных читателей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К=Ф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Методика составления рейтинга книг. Рейтинг - понятие, характеризующее соотносительные значимость, место, вес, позицию данного объекта (книги) по сравнению с другими объектами этого класса (типа). В данном случае составляется и формируется в виде графика (например, 20 самых популярных книг) для обеспечения администрации библиотеки информации о наиболее читаемых книгах.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Хранимая процедура - процедура с операторами SQL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Хранимые процедуры уменьшают целостность приложений и БД, гарантируют актуальность коллективно используемых операций и вычислений. Уменьшается сопровождение таких процедур, а также безопасность (нет прямого доступа к данным).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Следует помнить, что перегрузка хранимых процедур прикладной логикой может перегрузить сервер, что приведет к потере производительности. Эта проблема особенно актуальна при разработке крупных информационных систем, в которых к серверу может одновременно обращаться большое количество клиентов. Поэтому в большинстве случаев следует принимать компромиссные решения: часть логики приложения размещать на стороне сервера, часть - на стороне клиента. Такие клиент-</w:t>
      </w: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серверные системы называются системами с разделенной логикой. Данная схема при удачном разделении логики позволяет получить более сбалансированную загрузку клиентов и сервера, но при этом затрудняется сопровождение приложений.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Создание архитектуры клиент-сервер возможно и на основе многотерминальной системы. В этом случае в многозадачной среде сервера приложений выполняются программы пользователей, а клиентские узлы вырождены и представлены терминалами. Подобная схема информационной системы характерна для UNIX.</w:t>
      </w:r>
      <w:r w:rsidRPr="00935D9C">
        <w:rPr>
          <w:rFonts w:ascii="Times New Roman" w:hAnsi="Times New Roman"/>
          <w:sz w:val="28"/>
          <w:szCs w:val="28"/>
        </w:rPr>
        <w:t>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Cтатистика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br/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 xml:space="preserve">ИС «1С: </w:t>
      </w:r>
      <w:r w:rsidRPr="00C73D92">
        <w:rPr>
          <w:rFonts w:ascii="Times New Roman" w:hAnsi="Times New Roman"/>
          <w:sz w:val="28"/>
          <w:szCs w:val="28"/>
        </w:rPr>
        <w:t>Библиотека</w:t>
      </w:r>
      <w:r w:rsidRPr="00C73D92">
        <w:rPr>
          <w:rFonts w:ascii="Times New Roman" w:hAnsi="Times New Roman"/>
          <w:sz w:val="28"/>
          <w:szCs w:val="28"/>
        </w:rPr>
        <w:t>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 поиска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3. Каталог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F014B" w:rsidRPr="00FA57B7" w:rsidRDefault="003D25CF" w:rsidP="00181B5C">
      <w:pPr>
        <w:pStyle w:val="2"/>
      </w:pPr>
      <w:bookmarkStart w:id="41" w:name="_Toc511980000"/>
      <w:r w:rsidRPr="00FA57B7"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2.1.1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E72C52">
      <w:pPr>
        <w:pStyle w:val="2"/>
        <w:rPr>
          <w:rFonts w:cs="Times New Roman"/>
          <w:szCs w:val="28"/>
        </w:rPr>
      </w:pPr>
      <w:bookmarkStart w:id="42" w:name="_Toc511980001"/>
      <w:r w:rsidRPr="00FA57B7">
        <w:t>Физическое проектирование</w:t>
      </w:r>
      <w:r w:rsidR="008A31AE">
        <w:t xml:space="preserve"> базы данных</w:t>
      </w:r>
      <w:bookmarkEnd w:id="42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9B6DD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6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01D5B" wp14:editId="79D85107">
            <wp:extent cx="5940425" cy="307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E7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  <w:r w:rsidR="00B722E7"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3" w:name="_Toc511980002"/>
      <w:r w:rsidRPr="00FA57B7">
        <w:lastRenderedPageBreak/>
        <w:t>Проектирование структуры системы</w:t>
      </w:r>
      <w:bookmarkEnd w:id="43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</w:rPr>
        <w:lastRenderedPageBreak/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59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4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628EF">
        <w:rPr>
          <w:rFonts w:ascii="Times New Roman" w:hAnsi="Times New Roman" w:cs="Times New Roman"/>
          <w:sz w:val="28"/>
          <w:szCs w:val="28"/>
        </w:rPr>
        <w:t>. Общая диаграмма классов</w:t>
      </w:r>
      <w:bookmarkStart w:id="44" w:name="_GoBack"/>
      <w:bookmarkEnd w:id="44"/>
    </w:p>
    <w:p w:rsidR="00B01E55" w:rsidRP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1E1C44" w:rsidRPr="00FA57B7" w:rsidRDefault="0091469F" w:rsidP="00181B5C">
      <w:pPr>
        <w:pStyle w:val="10"/>
      </w:pPr>
      <w:bookmarkStart w:id="45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7"/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48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4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4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4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например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5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5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51" w:name="_Toc511980009"/>
      <w:r>
        <w:rPr>
          <w:szCs w:val="28"/>
        </w:rPr>
        <w:t>Результаты тестирования с примерами экранных форм</w:t>
      </w:r>
      <w:bookmarkEnd w:id="51"/>
    </w:p>
    <w:p w:rsidR="00A37905" w:rsidRPr="00FA57B7" w:rsidRDefault="00A37905" w:rsidP="00E13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bookmarkStart w:id="52" w:name="_Toc511980010"/>
      <w:r w:rsidRPr="00B86127">
        <w:rPr>
          <w:rFonts w:eastAsia="Times New Roman"/>
        </w:rPr>
        <w:lastRenderedPageBreak/>
        <w:t>ЗАКЛЮЧЕНИЕ</w:t>
      </w:r>
      <w:bookmarkEnd w:id="5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A9" w:rsidRDefault="001359A9" w:rsidP="00DE38F7">
      <w:pPr>
        <w:spacing w:after="0" w:line="240" w:lineRule="auto"/>
      </w:pPr>
      <w:r>
        <w:separator/>
      </w:r>
    </w:p>
  </w:endnote>
  <w:endnote w:type="continuationSeparator" w:id="0">
    <w:p w:rsidR="001359A9" w:rsidRDefault="001359A9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683" w:rsidRPr="00DE38F7" w:rsidRDefault="003F5683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28EF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A9" w:rsidRDefault="001359A9" w:rsidP="00DE38F7">
      <w:pPr>
        <w:spacing w:after="0" w:line="240" w:lineRule="auto"/>
      </w:pPr>
      <w:r>
        <w:separator/>
      </w:r>
    </w:p>
  </w:footnote>
  <w:footnote w:type="continuationSeparator" w:id="0">
    <w:p w:rsidR="001359A9" w:rsidRDefault="001359A9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8524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359A9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51AF"/>
    <w:rsid w:val="002F6404"/>
    <w:rsid w:val="00301E28"/>
    <w:rsid w:val="003029DE"/>
    <w:rsid w:val="0030390D"/>
    <w:rsid w:val="00313849"/>
    <w:rsid w:val="003142A8"/>
    <w:rsid w:val="00317EA6"/>
    <w:rsid w:val="00324593"/>
    <w:rsid w:val="00324D1D"/>
    <w:rsid w:val="00331FCA"/>
    <w:rsid w:val="00346391"/>
    <w:rsid w:val="00355038"/>
    <w:rsid w:val="00363B44"/>
    <w:rsid w:val="00363F32"/>
    <w:rsid w:val="00373230"/>
    <w:rsid w:val="003808E3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25CF"/>
    <w:rsid w:val="003D2EB6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FF5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3DF6-F4FF-43A6-AA4D-3FD2B2AF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27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360</cp:revision>
  <dcterms:created xsi:type="dcterms:W3CDTF">2016-02-28T12:16:00Z</dcterms:created>
  <dcterms:modified xsi:type="dcterms:W3CDTF">2018-04-30T20:18:00Z</dcterms:modified>
</cp:coreProperties>
</file>