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jjqn0qeqcr4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10.79999999999995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Desarrollo de la Interfaz Web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Se avanzó en la estructuración de las vistas principales del sistema en Streamlit, asegurando la navegación modular y la integración inicial de componentes visuales. </w:t>
            </w:r>
          </w:p>
          <w:p w:rsidR="00000000" w:rsidDel="00000000" w:rsidP="00000000" w:rsidRDefault="00000000" w:rsidRPr="00000000" w14:paraId="0000000F">
            <w:pPr>
              <w:spacing w:line="310.79999999999995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Implementación de la Base de Datos Relacional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Se diseñó, estructuró y conectó con éxito una base de datos centralizada en PostgreSQL, la cual gestiona de forma persistente y segura la información operativa del negocio a través de tablas normalizadas (Cliente, Proveedor, Proyecto, Presupuesto, Factura_Compra y Factura_Venta) </w:t>
            </w:r>
          </w:p>
          <w:p w:rsidR="00000000" w:rsidDel="00000000" w:rsidP="00000000" w:rsidRDefault="00000000" w:rsidRPr="00000000" w14:paraId="00000010">
            <w:pPr>
              <w:spacing w:line="310.79999999999995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Inicio de Pruebas del Módulo de Inteligencia Artificial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Se dio inicio a la fase de experimentación y pruebas técnicas para el motor de predicción y análisis de series temporales dentro de una rama de desarrollo aislada.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7962239583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las vistas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76475" cy="1276350"/>
                  <wp:effectExtent b="0" l="0" r="0" t="0"/>
                  <wp:docPr id="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Planilla de requerimientos Funcionales y no funcionales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1397000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del modelo relacional de la base de datos 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1822739"/>
                  <wp:effectExtent b="0" l="0" r="0" t="0"/>
                  <wp:docPr id="35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822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7962239583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2159000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7962239583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2146300"/>
                  <wp:effectExtent b="0" l="0" r="0" t="0"/>
                  <wp:docPr id="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99999999999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2159000"/>
                  <wp:effectExtent b="0" l="0" r="0" t="0"/>
                  <wp:docPr id="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4819.6114908854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</w:t>
            </w:r>
            <w:r w:rsidDel="00000000" w:rsidR="00000000" w:rsidRPr="00000000">
              <w:rPr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tu plan de trabajo, enfocándote</w:t>
            </w:r>
            <w:r w:rsidDel="00000000" w:rsidR="00000000" w:rsidRPr="00000000">
              <w:rPr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especialmente en la</w:t>
            </w:r>
            <w:r w:rsidDel="00000000" w:rsidR="00000000" w:rsidRPr="00000000">
              <w:rPr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columna de estado de avance y ajustes.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3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230"/>
        <w:gridCol w:w="1425"/>
        <w:gridCol w:w="1170"/>
        <w:gridCol w:w="1080"/>
        <w:gridCol w:w="1275"/>
        <w:gridCol w:w="1350"/>
        <w:gridCol w:w="1455"/>
        <w:tblGridChange w:id="0">
          <w:tblGrid>
            <w:gridCol w:w="1335"/>
            <w:gridCol w:w="1230"/>
            <w:gridCol w:w="1425"/>
            <w:gridCol w:w="1170"/>
            <w:gridCol w:w="1080"/>
            <w:gridCol w:w="1275"/>
            <w:gridCol w:w="1350"/>
            <w:gridCol w:w="14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soluciones integrales e innovadoras.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Front End.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la lógica y conexión a BD.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Modelado y construcción de Base de Datos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Computadores con conexión a internet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 digitales de código abierto.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 2 y 3 semanas. Sprints de duración variable.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Tomás Vega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Natanael Yañez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Moisés Roa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 gratuitas de fácil uso.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 múltiples herramientas.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 End: En curso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 End: En curso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Conexión a BD: En curso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Construcción de BD: Terminada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Factores Facilitadores: </w:t>
            </w:r>
            <w:r w:rsidDel="00000000" w:rsidR="00000000" w:rsidRPr="00000000">
              <w:rPr>
                <w:b w:val="1"/>
                <w:bCs w:val="1"/>
                <w:color w:val="548dd4"/>
                <w:rtl w:val="0"/>
              </w:rPr>
              <w:t xml:space="preserve">Tener un espacio propio para probar: Trabajar en ramas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branch</w:t>
            </w:r>
            <w:r w:rsidDel="00000000" w:rsidR="00000000" w:rsidRPr="00000000">
              <w:rPr>
                <w:b w:val="1"/>
                <w:bCs w:val="1"/>
                <w:color w:val="548dd4"/>
                <w:rtl w:val="0"/>
              </w:rPr>
              <w:t xml:space="preserve">) nos ha dado la libertad de experimentar con el código, probar diferentes librerías y hacer pruebas unitarias con datos simulados sin interferir o deshacer el trabajo de otros miembros del equipo.</w:t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Dificultad</w:t>
            </w:r>
            <w:r w:rsidDel="00000000" w:rsidR="00000000" w:rsidRPr="00000000">
              <w:rPr>
                <w:color w:val="1f386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548dd4"/>
                <w:rtl w:val="0"/>
              </w:rPr>
              <w:t xml:space="preserve">Al principio, el framework definido (Scikit-Learn) era muy básico y nos dimos cuenta de que no iba a funcionar bien con datos de alta variabilidad (montos de facturas) a lo largo del tiempo al ser demasiado lineal.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Actividad Ajustada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Migración del modelo base de predicción de Scikit-Learn (Regresión Lineal)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Prophet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(Meta) para el módulo de análisis y pronóstico de series temporales.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Limitación del modelo inicial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Scikit-Learn procesa el tiempo como una variable puramente lineal, lo que impide capturar de forma correcta las fluctuaciones estacionales típicas del negocio (como ciclos semanales, mensuales o peaks por fechas clave).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justifica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6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0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3QkrL5s2JfSo+Cb56JaJUp/YA==">CgMxLjAyDmguNWpqcW4wcWVxY3I0OAByITFOQ2d0REgwb3FxSzJ4U2tuODFFem9KQklmeXk3WU1lVg==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