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AuthenticQR Licensee/Admin Procedure Guide</w:t>
      </w:r>
    </w:p>
    <w:p>
      <w:r>
        <w:t xml:space="preserve"/>
      </w:r>
    </w:p>
    <w:p>
      <w:pPr>
        <w:spacing w:after="80"/>
      </w:pPr>
      <w:r>
        <w:t xml:space="preserve">Document ID: AQR-SOP-LA-001</w:t>
      </w:r>
    </w:p>
    <w:p>
      <w:pPr>
        <w:spacing w:after="80"/>
      </w:pPr>
      <w:r>
        <w:t xml:space="preserve">Version: 1.0</w:t>
      </w:r>
    </w:p>
    <w:p>
      <w:pPr>
        <w:spacing w:after="80"/>
      </w:pPr>
      <w:r>
        <w:t xml:space="preserve">Last Updated: 2026-02-16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1. Purpose</w:t>
      </w:r>
    </w:p>
    <w:p>
      <w:pPr>
        <w:spacing w:after="80"/>
      </w:pPr>
      <w:r>
        <w:t xml:space="preserve">Define the controlled operating procedure for Licensee/Admin users managing manufacturer accounts and QR inventory allocation.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 Scope</w:t>
      </w:r>
    </w:p>
    <w:p>
      <w:pPr>
        <w:spacing w:after="80"/>
      </w:pPr>
      <w:r>
        <w:t xml:space="preserve">This procedure applies to organization-scoped Licensee/Admin accounts.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3. Preconditions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Active Licensee/Admin account.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Organization assignment configured.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least one manufacturer profile available (or ability to create one).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4. Procedure</w:t>
      </w:r>
    </w:p>
    <w:p>
      <w:pPr>
        <w:pStyle w:val="Heading3"/>
        <w:spacing w:before="180" w:after="80"/>
      </w:pPr>
      <w:r>
        <w:t xml:space="preserve">4.1 Sign in</w:t>
      </w:r>
    </w:p>
    <w:p>
      <w:pPr>
        <w:spacing w:after="60"/>
      </w:pPr>
      <w:r>
        <w:t xml:space="preserve">1. Open the login page.</w:t>
      </w:r>
    </w:p>
    <w:p>
      <w:pPr>
        <w:spacing w:after="60"/>
      </w:pPr>
      <w:r>
        <w:t xml:space="preserve">2. Enter Licensee/Admin credentials and select Sign in.</w:t>
      </w:r>
    </w:p>
    <w:p>
      <w:pPr>
        <w:spacing w:after="60"/>
      </w:pPr>
      <w:r>
        <w:t xml:space="preserve">3. Confirm access to QR Requests, Batches, Manufacturers, and Audit Logs.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Licensee Login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4.2 Create or invite manufacturer user</w:t>
      </w:r>
    </w:p>
    <w:p>
      <w:pPr>
        <w:spacing w:after="60"/>
      </w:pPr>
      <w:r>
        <w:t xml:space="preserve">1. Open Manufacturers.</w:t>
      </w:r>
    </w:p>
    <w:p>
      <w:pPr>
        <w:spacing w:after="60"/>
      </w:pPr>
      <w:r>
        <w:t xml:space="preserve">2. Select Add Manufacturer.</w:t>
      </w:r>
    </w:p>
    <w:p>
      <w:pPr>
        <w:spacing w:after="60"/>
      </w:pPr>
      <w:r>
        <w:t xml:space="preserve">3. Enter user profile and email.</w:t>
      </w:r>
    </w:p>
    <w:p>
      <w:pPr>
        <w:spacing w:after="60"/>
      </w:pPr>
      <w:r>
        <w:t xml:space="preserve">4. Use invite mode and submit.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Create Manufacturer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4.3 Request new QR inventory</w:t>
      </w:r>
    </w:p>
    <w:p>
      <w:pPr>
        <w:spacing w:after="60"/>
      </w:pPr>
      <w:r>
        <w:t xml:space="preserve">1. Open QR Requests.</w:t>
      </w:r>
    </w:p>
    <w:p>
      <w:pPr>
        <w:spacing w:after="60"/>
      </w:pPr>
      <w:r>
        <w:t xml:space="preserve">2. Enter quantity and optional note.</w:t>
      </w:r>
    </w:p>
    <w:p>
      <w:pPr>
        <w:spacing w:after="60"/>
      </w:pPr>
      <w:r>
        <w:t xml:space="preserve">3. Select Submit Request.</w:t>
      </w:r>
    </w:p>
    <w:p>
      <w:pPr>
        <w:spacing w:after="60"/>
      </w:pPr>
      <w:r>
        <w:t xml:space="preserve">4. Track approval status.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Request QR Inventory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4.4 Assign received batch to manufacturer</w:t>
      </w:r>
    </w:p>
    <w:p>
      <w:pPr>
        <w:spacing w:after="60"/>
      </w:pPr>
      <w:r>
        <w:t xml:space="preserve">1. Open Batches.</w:t>
      </w:r>
    </w:p>
    <w:p>
      <w:pPr>
        <w:spacing w:after="60"/>
      </w:pPr>
      <w:r>
        <w:t xml:space="preserve">2. Select a received batch with available quantity.</w:t>
      </w:r>
    </w:p>
    <w:p>
      <w:pPr>
        <w:spacing w:after="60"/>
      </w:pPr>
      <w:r>
        <w:t xml:space="preserve">3. Open Assign Manufacturer.</w:t>
      </w:r>
    </w:p>
    <w:p>
      <w:pPr>
        <w:spacing w:after="60"/>
      </w:pPr>
      <w:r>
        <w:t xml:space="preserve">4. Select manufacturer and quantity.</w:t>
      </w:r>
    </w:p>
    <w:p>
      <w:pPr>
        <w:spacing w:after="60"/>
      </w:pPr>
      <w:r>
        <w:t xml:space="preserve">5. Submit assignment.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Assign Batch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5. Acceptance Criteria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Manufacturer can view assigned batch.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overlapping allocation ranges.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Assignment event appears in audit and trace timeline.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6. Nonconformance and Escalation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assignment fails with quantity errors, refresh and verify remaining balance.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manufacturer cannot view batches, verify assignment target and account activation.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Escalate unresolved allocation defects with batch ID, quantity, and timestamp.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7. Mandatory Compliance Statements</w:t>
      </w:r>
    </w:p>
    <w:p>
      <w:pPr>
        <w:pStyle w:val="Heading3"/>
        <w:spacing w:before="180" w:after="80"/>
      </w:pPr>
      <w:r>
        <w:t xml:space="preserve">7.1 UK GDPR &amp; Data Protection notice</w:t>
      </w:r>
    </w:p>
    <w:p>
      <w:pPr>
        <w:spacing w:after="80"/>
      </w:pPr>
      <w:r>
        <w:t xml:space="preserve">{{APP_NAME}} processes personal data in accordance with UK GDPR and the Data Protection Act 2018. Data protection queries must be directed to {{DPO_EMAIL}} or {{SUPER_ADMIN_EMAIL}}.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7.2 Security &amp; Access Control statement</w:t>
      </w:r>
    </w:p>
    <w:p>
      <w:pPr>
        <w:spacing w:after="80"/>
      </w:pPr>
      <w:r>
        <w:t xml:space="preserve">The platform enforces role-based access control (Super Admin, Licensee, Manufacturer), encrypted HTTPS communication, secure password handling, and audit logging of critical actions.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7.3 Incident Response &amp; Fraud Reporting</w:t>
      </w:r>
    </w:p>
    <w:p>
      <w:pPr>
        <w:spacing w:after="80"/>
      </w:pPr>
      <w:r>
        <w:t xml:space="preserve">Controlled process: report intake -&gt; review -&gt; containment -&gt; documentation -&gt; resolution.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7.4 QR Code Usage &amp; Non-Duplication policy</w:t>
      </w:r>
    </w:p>
    <w:p>
      <w:pPr>
        <w:spacing w:after="80"/>
      </w:pPr>
      <w:r>
        <w:t xml:space="preserve">All QR codes are unique, traceable, and single-use where applicable. QR codes must not be duplicated, altered, or reused.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7.5 Audit Logging notice</w:t>
      </w:r>
    </w:p>
    <w:p>
      <w:pPr>
        <w:spacing w:after="80"/>
      </w:pPr>
      <w:r>
        <w:t xml:space="preserve">Administrative actions, QR allocations, fraud reports, and login attempts are logged and retained for {{RETENTION_DAYS}} days.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7.6 Acceptable Use clause</w:t>
      </w:r>
    </w:p>
    <w:p>
      <w:pPr>
        <w:spacing w:after="80"/>
      </w:pPr>
      <w:r>
        <w:t xml:space="preserve">Unauthorized access, reverse engineering, misuse of fraud reporting, or interference with system security is prohibited.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7.7 Hosting &amp; Disclaimer statement</w:t>
      </w:r>
    </w:p>
    <w:p>
      <w:pPr>
        <w:spacing w:after="80"/>
      </w:pPr>
      <w:r>
        <w:t xml:space="preserve">The platform is hosted via {{HOSTING_PROVIDER}} with reasonable security controls and is provided on a best-effort basis.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68aff24c2d3eaa4fdfa4644226e78a2c825e9d25.undefined"/><Relationship Id="rId7" Type="http://schemas.openxmlformats.org/officeDocument/2006/relationships/image" Target="media/4333a0483d76509f5ee8a184d9643b004edbe061.undefined"/><Relationship Id="rId8" Type="http://schemas.openxmlformats.org/officeDocument/2006/relationships/image" Target="media/8cb0512277ec607971f29300a5eb0560f605243b.undefined"/><Relationship Id="rId9" Type="http://schemas.openxmlformats.org/officeDocument/2006/relationships/image" Target="media/e82e517f560644cb66ba2329365506c9c5e91ca6.undefined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LICENSEE_ADMIN_GUIDE</dc:title>
  <dc:creator>AuthenticQR</dc:creator>
  <cp:lastModifiedBy>Un-named</cp:lastModifiedBy>
  <cp:revision>1</cp:revision>
  <dcterms:created xsi:type="dcterms:W3CDTF">2026-02-16T11:02:25.292Z</dcterms:created>
  <dcterms:modified xsi:type="dcterms:W3CDTF">2026-02-16T11:02:25.292Z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