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Super Admin Procedure Guide</w:t>
      </w:r>
    </w:p>
    <w:p>
      <w:r>
        <w:t xml:space="preserve"/>
      </w:r>
    </w:p>
    <w:p>
      <w:pPr>
        <w:spacing w:after="80"/>
      </w:pPr>
      <w:r>
        <w:t xml:space="preserve">Document ID: AQR-SOP-SA-001</w:t>
      </w:r>
    </w:p>
    <w:p>
      <w:pPr>
        <w:spacing w:after="80"/>
      </w:pPr>
      <w:r>
        <w:t xml:space="preserve">Version: 1.0</w:t>
      </w:r>
    </w:p>
    <w:p>
      <w:pPr>
        <w:spacing w:after="80"/>
      </w:pPr>
      <w:r>
        <w:t xml:space="preserve">Last Updated: 2026-02-16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Define the controlled operating procedure for Super Admin users managing tenants, inventory approvals, and incident response.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Scope</w:t>
      </w:r>
    </w:p>
    <w:p>
      <w:pPr>
        <w:spacing w:after="80"/>
      </w:pPr>
      <w:r>
        <w:t xml:space="preserve">This procedure applies to platform-level Super Admin accounts.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Preconditions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 Super Admin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 sign-in credentials.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Center access enabled.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Procedure</w:t>
      </w:r>
    </w:p>
    <w:p>
      <w:pPr>
        <w:pStyle w:val="Heading3"/>
        <w:spacing w:before="180" w:after="80"/>
      </w:pPr>
      <w:r>
        <w:t xml:space="preserve">4.1 Sign in and verify scope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Super Admin credentials and select Sign in.</w:t>
      </w:r>
    </w:p>
    <w:p>
      <w:pPr>
        <w:spacing w:after="60"/>
      </w:pPr>
      <w:r>
        <w:t xml:space="preserve">3. Confirm navigation includes Licensees, QR Requests, and IR Center.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Create a licensee tenant</w:t>
      </w:r>
    </w:p>
    <w:p>
      <w:pPr>
        <w:spacing w:after="60"/>
      </w:pPr>
      <w:r>
        <w:t xml:space="preserve">1. Open Licensees.</w:t>
      </w:r>
    </w:p>
    <w:p>
      <w:pPr>
        <w:spacing w:after="60"/>
      </w:pPr>
      <w:r>
        <w:t xml:space="preserve">2. Select Add Licensee.</w:t>
      </w:r>
    </w:p>
    <w:p>
      <w:pPr>
        <w:spacing w:after="60"/>
      </w:pPr>
      <w:r>
        <w:t xml:space="preserve">3. Enter organization details.</w:t>
      </w:r>
    </w:p>
    <w:p>
      <w:pPr>
        <w:spacing w:after="60"/>
      </w:pPr>
      <w:r>
        <w:t xml:space="preserve">4. Submit and confirm tenant creation.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Licensee Tenant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Approve QR inventory requests</w:t>
      </w:r>
    </w:p>
    <w:p>
      <w:pPr>
        <w:spacing w:after="60"/>
      </w:pPr>
      <w:r>
        <w:t xml:space="preserve">1. Open QR Requests.</w:t>
      </w:r>
    </w:p>
    <w:p>
      <w:pPr>
        <w:spacing w:after="60"/>
      </w:pPr>
      <w:r>
        <w:t xml:space="preserve">2. Filter pending requests.</w:t>
      </w:r>
    </w:p>
    <w:p>
      <w:pPr>
        <w:spacing w:after="60"/>
      </w:pPr>
      <w:r>
        <w:t xml:space="preserve">3. Review request details.</w:t>
      </w:r>
    </w:p>
    <w:p>
      <w:pPr>
        <w:spacing w:after="60"/>
      </w:pPr>
      <w:r>
        <w:t xml:space="preserve">4. Approve or reject.</w:t>
      </w:r>
    </w:p>
    <w:p>
      <w:r>
        <w:t xml:space="preserve"/>
      </w:r>
    </w:p>
    <w:p>
      <w:pPr>
        <w:spacing w:after="80"/>
      </w:pPr>
      <w:r>
        <w:t xml:space="preserve">Acceptance criterion: approved requests allocate the next available QR sequence.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Approve QR Request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Operate Incident Response</w:t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Review incidents, alerts, and policies.</w:t>
      </w:r>
    </w:p>
    <w:p>
      <w:pPr>
        <w:spacing w:after="60"/>
      </w:pPr>
      <w:r>
        <w:t xml:space="preserve">3. Prioritize by severity and assign ownership.</w:t>
      </w:r>
    </w:p>
    <w:p>
      <w:pPr>
        <w:spacing w:after="60"/>
      </w:pPr>
      <w:r>
        <w:t xml:space="preserve">4. Apply containment actions only with documented reason.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 Dashboard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4.5 Configure policy rules</w:t>
      </w:r>
    </w:p>
    <w:p>
      <w:pPr>
        <w:spacing w:after="60"/>
      </w:pPr>
      <w:r>
        <w:t xml:space="preserve">1. Open IR Center &gt; Policies.</w:t>
      </w:r>
    </w:p>
    <w:p>
      <w:pPr>
        <w:spacing w:after="60"/>
      </w:pPr>
      <w:r>
        <w:t xml:space="preserve">2. Select New policy.</w:t>
      </w:r>
    </w:p>
    <w:p>
      <w:pPr>
        <w:spacing w:after="60"/>
      </w:pPr>
      <w:r>
        <w:t xml:space="preserve">3. Configure thresholds and scope.</w:t>
      </w:r>
    </w:p>
    <w:p>
      <w:pPr>
        <w:spacing w:after="60"/>
      </w:pPr>
      <w:r>
        <w:t xml:space="preserve">4. Enable rule and validate alert behavior.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Policy Rule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4.6 Execute containment and communications</w:t>
      </w:r>
    </w:p>
    <w:p>
      <w:pPr>
        <w:spacing w:after="60"/>
      </w:pPr>
      <w:r>
        <w:t xml:space="preserve">1. Open incident detail.</w:t>
      </w:r>
    </w:p>
    <w:p>
      <w:pPr>
        <w:spacing w:after="60"/>
      </w:pPr>
      <w:r>
        <w:t xml:space="preserve">2. Apply action with reason.</w:t>
      </w:r>
    </w:p>
    <w:p>
      <w:pPr>
        <w:spacing w:after="60"/>
      </w:pPr>
      <w:r>
        <w:t xml:space="preserve">3. Compose and send stakeholder communication.</w:t>
      </w:r>
    </w:p>
    <w:p>
      <w:pPr>
        <w:spacing w:after="60"/>
      </w:pPr>
      <w:r>
        <w:t xml:space="preserve">4. Confirm timeline logging.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Actions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Communications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Records and Evidence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timeline entries.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 for approvals/actions.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Communication status records.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Nonconformance and Escalation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approvals fail repeatedly, collect request ID, timestamp, and actor email.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email delivery fails, validate SMTP configuration and sender domain policy.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Escalate platform failures to the engineering owner with incident ID and logs.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Mandatory Compliance Statements</w:t>
      </w:r>
    </w:p>
    <w:p>
      <w:pPr>
        <w:pStyle w:val="Heading3"/>
        <w:spacing w:before="180" w:after="80"/>
      </w:pPr>
      <w:r>
        <w:t xml:space="preserve">7.1 UK GDPR &amp; Data Protection notice</w:t>
      </w:r>
    </w:p>
    <w:p>
      <w:pPr>
        <w:spacing w:after="80"/>
      </w:pPr>
      <w:r>
        <w:t xml:space="preserve">{{APP_NAME}} processes personal data in accordance with UK GDPR and the Data Protection Act 2018. Data protection queries must be directed to {{DPO_EMAIL}} or {{SUPER_ADMIN_EMAIL}}.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Security &amp; Access Control statement</w:t>
      </w:r>
    </w:p>
    <w:p>
      <w:pPr>
        <w:spacing w:after="80"/>
      </w:pPr>
      <w:r>
        <w:t xml:space="preserve">The platform enforces role-based access control (Super Admin, Licensee, Manufacturer), encrypted HTTPS communication, secure password handling, and audit logging of critical actions.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Incident Response &amp; Fraud Reporting</w:t>
      </w:r>
    </w:p>
    <w:p>
      <w:pPr>
        <w:spacing w:after="80"/>
      </w:pPr>
      <w:r>
        <w:t xml:space="preserve">Controlled process: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QR Code Usage &amp; Non-Duplication policy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7.5 Audit Logging notice</w:t>
      </w:r>
    </w:p>
    <w:p>
      <w:pPr>
        <w:spacing w:after="80"/>
      </w:pPr>
      <w:r>
        <w:t xml:space="preserve">Administrative actions, QR allocations, fraud reports, and login attempts are logged and retained for {{RETENTION_DAYS}}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7.6 Acceptable Use clause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7.7 Hosting &amp; Disclaimer statement</w:t>
      </w:r>
    </w:p>
    <w:p>
      <w:pPr>
        <w:spacing w:after="80"/>
      </w:pPr>
      <w:r>
        <w:t xml:space="preserve">The platform is hosted via {{HOSTING_PROVIDER}}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68aff24c2d3eaa4fdfa4644226e78a2c825e9d25.undefined"/><Relationship Id="rId7" Type="http://schemas.openxmlformats.org/officeDocument/2006/relationships/image" Target="media/a20af45698356df79403369949a0af0b65341d36.undefined"/><Relationship Id="rId8" Type="http://schemas.openxmlformats.org/officeDocument/2006/relationships/image" Target="media/e9f300f88fe60027d1119aabfcdf81579ad1abce.undefined"/><Relationship Id="rId9" Type="http://schemas.openxmlformats.org/officeDocument/2006/relationships/image" Target="media/646db88840947045d5554b41d38db04869673c84.undefined"/><Relationship Id="rId10" Type="http://schemas.openxmlformats.org/officeDocument/2006/relationships/image" Target="media/d8f8042e787bc49b4f0e23db6075d8cb0bee026f.undefined"/><Relationship Id="rId11" Type="http://schemas.openxmlformats.org/officeDocument/2006/relationships/image" Target="media/5f81e211681c3c6fe06fb4395dd08f369d1092f0.undefined"/><Relationship Id="rId12" Type="http://schemas.openxmlformats.org/officeDocument/2006/relationships/image" Target="media/4cd06214390dfee10c3a7d6dcdf2db7e6be17b35.undefined"/><Relationship Id="rId1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SUPER_ADMIN_GUIDE</dc:title>
  <dc:creator>AuthenticQR</dc:creator>
  <cp:lastModifiedBy>Un-named</cp:lastModifiedBy>
  <cp:revision>1</cp:revision>
  <dcterms:created xsi:type="dcterms:W3CDTF">2026-02-16T11:02:25.207Z</dcterms:created>
  <dcterms:modified xsi:type="dcterms:W3CDTF">2026-02-16T11:02:25.207Z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