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Cleanup Summary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What was removed from production-facing UX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localhost and port messaging in printer onboarding and troubleshooting copy.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trust, heartbeat, attestation, and signature wording in operator-visible printer states.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Diagnostic JSON dumps and clipboard flows that copied raw printer internals.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printer endpoints, gateway identifiers, native printer IDs, and internal print job references in batch and printer screens.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operator controls that exposed print path, command language, calibration, and other setup-only details inside everyday print 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batch UUIDs and other internal identifiers from manufacturer and licensee batch workspaces.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backend printer failure messages surfaced directly in the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duplicate-printer database errors that exposed Prisma internals during printer setup.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What remains intentionally visible by role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Manufacturer and licensee users still see business-relevant batch names, ranges, quantities, printed counts, and saved printer names.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Printer setup surfaces still expose setup fields needed by deployment or admin users when they explicitly open managed printer setup.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Support-safe summaries remain available through Copy support summary instead of raw diagnostic payloads.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and local connector logs still retain technical detail for support, diagnostics, and audit investigation.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Architecture posture after cleanup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Everyday print workflows now focus on quantity, saved printer selection, readiness, and retry.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Printer setup and support guidance now routes technical setup into Printer Setup &amp; Support instead of exposing internals inside batch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Printer API responses are sanitized for common workstation, network, gateway, and IPP failure cases so business users do not receive raw infrastructure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Printing manuals and Lightsail deployment docs now use Docker Compose operations and source-controlled printer illustrations instead of stale mock-printer captures.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Cleanup Summary</dc:title>
  <dc:creator>MSCQR</dc:creator>
  <cp:lastModifiedBy>Un-named</cp:lastModifiedBy>
  <cp:revision>1</cp:revision>
  <dcterms:created xsi:type="dcterms:W3CDTF">2026-03-12T19:50:10.763Z</dcterms:created>
  <dcterms:modified xsi:type="dcterms:W3CDTF">2026-03-12T19:50:10.763Z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