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/>
      </w:pPr>
      <w:r>
        <w:t xml:space="preserve">AuthenticQR - Licensee/Admin User Manual</w:t>
      </w:r>
    </w:p>
    <w:p>
      <w:pPr>
        <w:spacing w:after="100"/>
      </w:pPr>
      <w:r>
        <w:t xml:space="preserve">Document Type: User Operating Procedure</w:t>
      </w:r>
    </w:p>
    <w:p>
      <w:pPr>
        <w:spacing w:after="100"/>
      </w:pPr>
      <w:r>
        <w:t xml:space="preserve">Audience: Licensee/Admin (brand/company)</w:t>
      </w:r>
    </w:p>
    <w:p>
      <w:pPr>
        <w:spacing w:after="100"/>
      </w:pPr>
      <w:r>
        <w:t xml:space="preserve">Version: 1.0</w:t>
      </w:r>
    </w:p>
    <w:p>
      <w:pPr>
        <w:spacing w:after="100"/>
      </w:pPr>
      <w:r>
        <w:t xml:space="preserve">Last Updated: 2026-02-16</w:t>
      </w:r>
    </w:p>
    <w:p>
      <w:pPr>
        <w:spacing w:after="100"/>
      </w:pPr>
      <w:r>
        <w:t xml:space="preserve"/>
      </w:r>
    </w:p>
    <w:p>
      <w:pPr>
        <w:pStyle w:val="Heading2"/>
        <w:spacing w:before="220" w:after="120"/>
      </w:pPr>
      <w:r>
        <w:t xml:space="preserve">1. Purpose</w:t>
      </w:r>
    </w:p>
    <w:p>
      <w:pPr>
        <w:spacing w:after="100"/>
      </w:pPr>
      <w:r>
        <w:t xml:space="preserve">This manual defines organization-scoped procedures for QR inventory requests, manufacturer onboarding, and batch assignment.</w:t>
      </w:r>
    </w:p>
    <w:p>
      <w:pPr>
        <w:pStyle w:val="Heading2"/>
        <w:spacing w:before="220" w:after="120"/>
      </w:pPr>
      <w:r>
        <w:t xml:space="preserve">2. Access and Password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Account provisioning: invited by Super Admin or org admin.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Invite acceptance: use one-time link, set password, then sign in.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Reset path: Forgot Password from /login.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</w:rPr>
        <w:t xml:space="preserve">Accept invite and set password (password-accept-invite.png)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</w:rPr>
        <w:t xml:space="preserve">Forgot password request (password-forgot-password.png)</w:t>
      </w:r>
    </w:p>
    <w:p>
      <w:pPr>
        <w:spacing w:before="120" w:after="6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</w:rPr>
        <w:t xml:space="preserve">Reset password (password-reset-password.png)</w:t>
      </w:r>
    </w:p>
    <w:p>
      <w:pPr>
        <w:pStyle w:val="Heading2"/>
        <w:spacing w:before="220" w:after="120"/>
      </w:pPr>
      <w:r>
        <w:t xml:space="preserve">3. Core Procedures</w:t>
      </w:r>
    </w:p>
    <w:p>
      <w:pPr>
        <w:spacing w:after="100"/>
      </w:pPr>
      <w:r>
        <w:t xml:space="preserve">Procedure A - Request QR inventory</w:t>
      </w:r>
    </w:p>
    <w:p>
      <w:pPr>
        <w:spacing w:after="100"/>
      </w:pPr>
      <w:r>
        <w:t xml:space="preserve">1. Open QR Requests.</w:t>
      </w:r>
    </w:p>
    <w:p>
      <w:pPr>
        <w:spacing w:after="100"/>
      </w:pPr>
      <w:r>
        <w:t xml:space="preserve">2. Enter quantity and optional note.</w:t>
      </w:r>
    </w:p>
    <w:p>
      <w:pPr>
        <w:spacing w:after="100"/>
      </w:pPr>
      <w:r>
        <w:t xml:space="preserve">3. Submit request.</w:t>
      </w:r>
    </w:p>
    <w:p>
      <w:pPr>
        <w:spacing w:after="100"/>
      </w:pPr>
      <w:r>
        <w:t xml:space="preserve">4. Track decision from Super Admin.</w:t>
      </w:r>
    </w:p>
    <w:p>
      <w:pPr>
        <w:spacing w:before="120" w:after="60"/>
        <w:jc w:val="center"/>
      </w:pPr>
      <w:r>
        <w:drawing>
          <wp:inline distT="0" distB="0" distL="0" distR="0">
            <wp:extent cx="59055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</w:rPr>
        <w:t xml:space="preserve">QR inventory request (licensee-request-qr-inventory.png)</w:t>
      </w:r>
    </w:p>
    <w:p>
      <w:pPr>
        <w:spacing w:after="100"/>
      </w:pPr>
      <w:r>
        <w:t xml:space="preserve">Procedure B - Create manufacturer account</w:t>
      </w:r>
    </w:p>
    <w:p>
      <w:pPr>
        <w:spacing w:after="100"/>
      </w:pPr>
      <w:r>
        <w:t xml:space="preserve">1. Open Manufacturers.</w:t>
      </w:r>
    </w:p>
    <w:p>
      <w:pPr>
        <w:spacing w:after="100"/>
      </w:pPr>
      <w:r>
        <w:t xml:space="preserve">2. Select Add Manufacturer.</w:t>
      </w:r>
    </w:p>
    <w:p>
      <w:pPr>
        <w:spacing w:after="100"/>
      </w:pPr>
      <w:r>
        <w:t xml:space="preserve">3. Enter contact and login details.</w:t>
      </w:r>
    </w:p>
    <w:p>
      <w:pPr>
        <w:spacing w:after="100"/>
      </w:pPr>
      <w:r>
        <w:t xml:space="preserve">4. Send invite.</w:t>
      </w:r>
    </w:p>
    <w:p>
      <w:pPr>
        <w:spacing w:before="120" w:after="60"/>
        <w:jc w:val="center"/>
      </w:pPr>
      <w:r>
        <w:drawing>
          <wp:inline distT="0" distB="0" distL="0" distR="0">
            <wp:extent cx="59055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</w:rPr>
        <w:t xml:space="preserve">Manufacturer onboarding (licensee-create-manufacturer.png)</w:t>
      </w:r>
    </w:p>
    <w:p>
      <w:pPr>
        <w:spacing w:after="100"/>
      </w:pPr>
      <w:r>
        <w:t xml:space="preserve">Procedure C - Assign received batch</w:t>
      </w:r>
    </w:p>
    <w:p>
      <w:pPr>
        <w:spacing w:after="100"/>
      </w:pPr>
      <w:r>
        <w:t xml:space="preserve">1. Open Batches.</w:t>
      </w:r>
    </w:p>
    <w:p>
      <w:pPr>
        <w:spacing w:after="100"/>
      </w:pPr>
      <w:r>
        <w:t xml:space="preserve">2. Open Actions for a received batch.</w:t>
      </w:r>
    </w:p>
    <w:p>
      <w:pPr>
        <w:spacing w:after="100"/>
      </w:pPr>
      <w:r>
        <w:t xml:space="preserve">3. Choose Assign Manufacturer.</w:t>
      </w:r>
    </w:p>
    <w:p>
      <w:pPr>
        <w:spacing w:after="100"/>
      </w:pPr>
      <w:r>
        <w:t xml:space="preserve">4. Set quantity and confirm.</w:t>
      </w:r>
    </w:p>
    <w:p>
      <w:pPr>
        <w:spacing w:before="120" w:after="60"/>
        <w:jc w:val="center"/>
      </w:pPr>
      <w:r>
        <w:drawing>
          <wp:inline distT="0" distB="0" distL="0" distR="0">
            <wp:extent cx="59055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</w:rPr>
        <w:t xml:space="preserve">Batch assignment (licensee-assign-batch.png)</w:t>
      </w:r>
    </w:p>
    <w:p>
      <w:pPr>
        <w:pStyle w:val="Heading2"/>
        <w:spacing w:before="220" w:after="120"/>
      </w:pPr>
      <w:r>
        <w:t xml:space="preserve">4. Troubleshooting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If quantity fails, reduce assignment to available balance.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If manufacturer cannot see a batch, confirm assignment and account status.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If request is not visible, refresh QR Requests and verify filter.</w:t>
      </w:r>
    </w:p>
    <w:p>
      <w:pPr>
        <w:pStyle w:val="Heading2"/>
        <w:spacing w:before="220" w:after="120"/>
      </w:pPr>
      <w:r>
        <w:t xml:space="preserve">Control Notes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Use only organization-approved accounts and devices.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Do not share credentials or one-time links.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Record incidents and corrective actions in system logs.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If an operation fails, capture timestamp, role, and page before escalation.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e295ff0a561695d7bbb918cbc9783b1a61353440.undefined"/><Relationship Id="rId7" Type="http://schemas.openxmlformats.org/officeDocument/2006/relationships/image" Target="media/c2ad78e5d1df1ff093f3f0143301038a181f2105.undefined"/><Relationship Id="rId8" Type="http://schemas.openxmlformats.org/officeDocument/2006/relationships/image" Target="media/16349df9ae46aa3e0989ecdc004197f6956ebe6a.undefined"/><Relationship Id="rId9" Type="http://schemas.openxmlformats.org/officeDocument/2006/relationships/image" Target="media/8cb0512277ec607971f29300a5eb0560f605243b.undefined"/><Relationship Id="rId10" Type="http://schemas.openxmlformats.org/officeDocument/2006/relationships/image" Target="media/4333a0483d76509f5ee8a184d9643b004edbe061.undefined"/><Relationship Id="rId11" Type="http://schemas.openxmlformats.org/officeDocument/2006/relationships/image" Target="media/e82e517f560644cb66ba2329365506c9c5e91ca6.undefined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2026-02-16T10:45:41.311Z</dcterms:created>
  <dcterms:modified xsi:type="dcterms:W3CDTF">2026-02-16T10:45:41.311Z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