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Security Architecture Baseline (v2026-03-05)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Platform: Genuine Scan / Authentic QR backend + direct-print workflow.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Environment: Multi-tenant, licensee/manufacturer scoped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Baseline objective: cryptographically trusted print issuance, fail-stop controls, adaptive duplicate detection, and forensic-grade evidence.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Standards Mapping</w:t>
      </w:r>
    </w:p>
    <w:p>
      <w:r>
        <w:t xml:space="preserve"/>
      </w:r>
    </w:p>
    <w:p>
      <w:pPr>
        <w:spacing w:after="80"/>
      </w:pPr>
      <w:r>
        <w:t xml:space="preserve">| Control Domain | ISO 27001 (2022) | SOC 2 | NIST CSF 2.0 | GS1 / Traceability Alignment | Implementation Evidence |</w:t>
      </w:r>
    </w:p>
    <w:p>
      <w:pPr>
        <w:spacing w:after="80"/>
      </w:pPr>
      <w:r>
        <w:t xml:space="preserve">|---|---|---|---|---|---|</w:t>
      </w:r>
    </w:p>
    <w:p>
      <w:pPr>
        <w:spacing w:after="80"/>
      </w:pPr>
      <w:r>
        <w:t xml:space="preserve">| Identity + access | A.5.15, A.5.16, A.8.2 | CC6.1, CC6.3 | PR.AA | Authenticated actor attribution for print/scan events | JWT auth, RBAC middleware, audit user linkage |</w:t>
      </w:r>
    </w:p>
    <w:p>
      <w:pPr>
        <w:spacing w:after="80"/>
      </w:pPr>
      <w:r>
        <w:t xml:space="preserve">| Cryptographic print trust | A.8.24, A.8.28 | CC6.6, CC7.2 | PR.DS, DE.CM | Verifiable chain-of-custody for serialized code issuance | PrinterRegistration, PrinterAttestation, signed heartbeats, mTLS fingerprint checks |</w:t>
      </w:r>
    </w:p>
    <w:p>
      <w:pPr>
        <w:spacing w:after="80"/>
      </w:pPr>
      <w:r>
        <w:t xml:space="preserve">| One-time issuance + consumption | A.8.12, A.8.16 | CC7.2, CC8.1 | PR.PS, DE.AE | One code issued/confirmed once with server proof | PrintSession, PrintItem, one-time render token usage, strict state transitions |</w:t>
      </w:r>
    </w:p>
    <w:p>
      <w:pPr>
        <w:spacing w:after="80"/>
      </w:pPr>
      <w:r>
        <w:t xml:space="preserve">| Incident response | A.5.24-A.5.27 | CC7.4 | RS.RP, RS.AN | Security event escalation for counterfeit/print abuse | Auto fail-stop incident creation + super-user alerting |</w:t>
      </w:r>
    </w:p>
    <w:p>
      <w:pPr>
        <w:spacing w:after="80"/>
      </w:pPr>
      <w:r>
        <w:t xml:space="preserve">| Logging + forensics | A.8.15, A.8.16 | CC7.2, CC7.3 | DE.CM, RC.CO | Immutable timeline export for legal/reconciliation | hash-linked ForensicEventChain, immutable export bundles |</w:t>
      </w:r>
    </w:p>
    <w:p>
      <w:pPr>
        <w:spacing w:after="80"/>
      </w:pPr>
      <w:r>
        <w:t xml:space="preserve">| Retention + evidence | A.5.33, A.8.10 | CC3.2, CC8.1 | GV.OV, RC.RP | Export-ready records and retention controls | retention policy + compliance bundle generation |</w:t>
      </w:r>
    </w:p>
    <w:p>
      <w:pPr>
        <w:spacing w:after="80"/>
      </w:pPr>
      <w:r>
        <w:t xml:space="preserve">| Duplicate detection | A.5.7, A.8.7 | CC7.2 | DE.AE | Fraud signal scoring over scan history | deterministic + anomaly score model, adaptive thresholds |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Threat Model (Baseline)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Counterfeit injection: cloned labels and high-velocity multi-device scan bursts.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pipeline tampering: replay/render-token reuse or untrusted printer impersonation.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Insider misuse: unauthorized batch print issuance and silent continuation after hard print failures.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abuse: claim hijacking across accounts/devices.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tampering: post-incident log manipulation.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Abuse Cases and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Replay of render tokens: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Control: one-time render token hash + single-use usedAt guard + print item state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Fake printer heartbeat spoofing: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Control: signed payload verification + mTLS fingerprint validation + trust status enforcement.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Silent partial print failures: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Control: fail-stop endpoint freezes session items and creates incident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conflict probing: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Control: challenge gate (captcha step-up) on suspicious ownership conflict 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farm behavior: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Control: device graph overlap, IP velocity, cross-code correlation, geo/policy triggers.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Incident Severity Matrix</w:t>
      </w:r>
    </w:p>
    <w:p>
      <w:r>
        <w:t xml:space="preserve"/>
      </w:r>
    </w:p>
    <w:p>
      <w:pPr>
        <w:spacing w:after="80"/>
      </w:pPr>
      <w:r>
        <w:t xml:space="preserve">| Severity | Trigger Examples | SLA Target |</w:t>
      </w:r>
    </w:p>
    <w:p>
      <w:pPr>
        <w:spacing w:after="80"/>
      </w:pPr>
      <w:r>
        <w:t xml:space="preserve">|---|---|---|</w:t>
      </w:r>
    </w:p>
    <w:p>
      <w:pPr>
        <w:spacing w:after="80"/>
      </w:pPr>
      <w:r>
        <w:t xml:space="preserve">| Critical (P1) | Print fail-stop, large-scale duplicate anomaly, key trust failure in production | 4h containment |</w:t>
      </w:r>
    </w:p>
    <w:p>
      <w:pPr>
        <w:spacing w:after="80"/>
      </w:pPr>
      <w:r>
        <w:t xml:space="preserve">| High (P2) | Confirmed ownership conflict cluster, policy auto-block events | 24h containment |</w:t>
      </w:r>
    </w:p>
    <w:p>
      <w:pPr>
        <w:spacing w:after="80"/>
      </w:pPr>
      <w:r>
        <w:t xml:space="preserve">| Medium (P3) | Single suspicious duplicate with moderate confidence | 72h investigation |</w:t>
      </w:r>
    </w:p>
    <w:p>
      <w:pPr>
        <w:spacing w:after="80"/>
      </w:pPr>
      <w:r>
        <w:t xml:space="preserve">| Low (P4) | Informational anomaly without blocking behavior | 7d review |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Retention Policy Baseline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Audit/forensic event minimum: 180 days (tenant-configurable upward).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and evidence bundles: retain until explicit purge policy and no legal hold tags.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trust attestations: retained for investigative timeline and replay analysis windows.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Traceability Output (GS1-compatible semantics)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 / assign / print / verify / block lineage represented as immutable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Per-item print lineage available through PrintItemEvent and forensic chain linkage.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bundles include manifest + hash-chain + integrity signatures for external review.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Security Baseline Checklist (Signed)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Cryptographic printer trust required for issuance.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Server-controlled print state machine with single-use consumption controls.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Fail-stop incident automation with super-user notification.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Adaptive duplicate detection using deterministic + anomaly inputs.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Ownership conflict challenge escalation.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Hash-chained critical event trail and immutable export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[x] Deployment-ready migration + test execution requirements documented.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Owner: Platform Security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date: 2026-03-05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Signature method: SHA-256 digest over approved canonical payload (archived with release artifacts).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Canonical signature value: 426bbfea3fc1006158b3a9ae067a6745db275dd4f871f0534890865d1e2d0658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Architecture Baseline (v2026-03-05)</dc:title>
  <dc:creator>AuthenticQR</dc:creator>
  <cp:lastModifiedBy>Un-named</cp:lastModifiedBy>
  <cp:revision>1</cp:revision>
  <dcterms:created xsi:type="dcterms:W3CDTF">2026-03-10T23:28:50.223Z</dcterms:created>
  <dcterms:modified xsi:type="dcterms:W3CDTF">2026-03-10T23:28:50.223Z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