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t xml:space="preserve">AuthenticQR Licensee/Admin Procedure Guide</w:t>
      </w:r>
    </w:p>
    <w:p>
      <w:r>
        <w:t xml:space="preserve"/>
      </w:r>
    </w:p>
    <w:p>
      <w:pPr>
        <w:spacing w:after="80"/>
      </w:pPr>
      <w:r>
        <w:t xml:space="preserve">Document ID: AQR-SOP-LA-001</w:t>
      </w:r>
    </w:p>
    <w:p>
      <w:pPr>
        <w:spacing w:after="80"/>
      </w:pPr>
      <w:r>
        <w:t xml:space="preserve">Version: 1.0</w:t>
      </w:r>
    </w:p>
    <w:p>
      <w:pPr>
        <w:spacing w:after="80"/>
      </w:pPr>
      <w:r>
        <w:t xml:space="preserve">Last Updated: 2026-02-16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1. Purpose</w:t>
      </w:r>
    </w:p>
    <w:p>
      <w:pPr>
        <w:spacing w:after="80"/>
      </w:pPr>
      <w:r>
        <w:t xml:space="preserve">Define the controlled operating procedure for Licensee/Admin users managing manufacturer accounts and QR inventory allocation.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2. Scope</w:t>
      </w:r>
    </w:p>
    <w:p>
      <w:pPr>
        <w:spacing w:after="80"/>
      </w:pPr>
      <w:r>
        <w:t xml:space="preserve">This procedure applies to organization-scoped Licensee/Admin accounts.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3. Preconditions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Active Licensee/Admin account.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Organization assignment configured.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least one manufacturer profile available (or ability to create one).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4. Procedure</w:t>
      </w:r>
    </w:p>
    <w:p>
      <w:pPr>
        <w:pStyle w:val="Heading3"/>
        <w:spacing w:before="180" w:after="80"/>
      </w:pPr>
      <w:r>
        <w:t xml:space="preserve">4.1 Sign in</w:t>
      </w:r>
    </w:p>
    <w:p>
      <w:pPr>
        <w:spacing w:after="60"/>
      </w:pPr>
      <w:r>
        <w:t xml:space="preserve">1. Open the login page.</w:t>
      </w:r>
    </w:p>
    <w:p>
      <w:pPr>
        <w:spacing w:after="60"/>
      </w:pPr>
      <w:r>
        <w:t xml:space="preserve">2. Enter Licensee/Admin credentials and select Sign in.</w:t>
      </w:r>
    </w:p>
    <w:p>
      <w:pPr>
        <w:spacing w:after="60"/>
      </w:pPr>
      <w:r>
        <w:t xml:space="preserve">3. Confirm access to QR Requests, Batches, Manufacturers, and Audit Logs.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Licensee Login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4.2 Create or invite manufacturer user</w:t>
      </w:r>
    </w:p>
    <w:p>
      <w:pPr>
        <w:spacing w:after="60"/>
      </w:pPr>
      <w:r>
        <w:t xml:space="preserve">1. Open Manufacturers.</w:t>
      </w:r>
    </w:p>
    <w:p>
      <w:pPr>
        <w:spacing w:after="60"/>
      </w:pPr>
      <w:r>
        <w:t xml:space="preserve">2. Select Add Manufacturer.</w:t>
      </w:r>
    </w:p>
    <w:p>
      <w:pPr>
        <w:spacing w:after="60"/>
      </w:pPr>
      <w:r>
        <w:t xml:space="preserve">3. Enter user profile and email.</w:t>
      </w:r>
    </w:p>
    <w:p>
      <w:pPr>
        <w:spacing w:after="60"/>
      </w:pPr>
      <w:r>
        <w:t xml:space="preserve">4. Use invite mode and submit.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Create Manufacturer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4.3 Request new QR inventory</w:t>
      </w:r>
    </w:p>
    <w:p>
      <w:pPr>
        <w:spacing w:after="60"/>
      </w:pPr>
      <w:r>
        <w:t xml:space="preserve">1. Open QR Requests.</w:t>
      </w:r>
    </w:p>
    <w:p>
      <w:pPr>
        <w:spacing w:after="60"/>
      </w:pPr>
      <w:r>
        <w:t xml:space="preserve">2. Enter quantity and optional note.</w:t>
      </w:r>
    </w:p>
    <w:p>
      <w:pPr>
        <w:spacing w:after="60"/>
      </w:pPr>
      <w:r>
        <w:t xml:space="preserve">3. Select Submit Request.</w:t>
      </w:r>
    </w:p>
    <w:p>
      <w:pPr>
        <w:spacing w:after="60"/>
      </w:pPr>
      <w:r>
        <w:t xml:space="preserve">4. Track approval status.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Request QR Inventory</w:t>
      </w:r>
    </w:p>
    <w:p>
      <w:r>
        <w:t xml:space="preserve"/>
      </w:r>
    </w:p>
    <w:p>
      <w:pPr>
        <w:pStyle w:val="Heading3"/>
        <w:spacing w:before="180" w:after="80"/>
      </w:pPr>
      <w:r>
        <w:t xml:space="preserve">4.4 Assign received batch to manufacturer</w:t>
      </w:r>
    </w:p>
    <w:p>
      <w:pPr>
        <w:spacing w:after="60"/>
      </w:pPr>
      <w:r>
        <w:t xml:space="preserve">1. Open Batches.</w:t>
      </w:r>
    </w:p>
    <w:p>
      <w:pPr>
        <w:spacing w:after="60"/>
      </w:pPr>
      <w:r>
        <w:t xml:space="preserve">2. Select a received batch with available quantity.</w:t>
      </w:r>
    </w:p>
    <w:p>
      <w:pPr>
        <w:spacing w:after="60"/>
      </w:pPr>
      <w:r>
        <w:t xml:space="preserve">3. Open Assign Manufacturer.</w:t>
      </w:r>
    </w:p>
    <w:p>
      <w:pPr>
        <w:spacing w:after="60"/>
      </w:pPr>
      <w:r>
        <w:t xml:space="preserve">4. Select manufacturer and quantity.</w:t>
      </w:r>
    </w:p>
    <w:p>
      <w:pPr>
        <w:spacing w:after="60"/>
      </w:pPr>
      <w:r>
        <w:t xml:space="preserve">5. Submit assignment.</w:t>
      </w:r>
    </w:p>
    <w:p>
      <w:r>
        <w:t xml:space="preserve"/>
      </w:r>
    </w:p>
    <w:p>
      <w:pPr>
        <w:spacing w:before="120" w:after="80"/>
        <w:jc w:val="center"/>
      </w:pPr>
      <w:r>
        <w:drawing>
          <wp:inline distT="0" distB="0" distL="0" distR="0">
            <wp:extent cx="5905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4b5563"/>
          <w:sz w:val="20"/>
          <w:szCs w:val="20"/>
        </w:rPr>
        <w:t xml:space="preserve">Assign Batch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5. 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Manufacturer can view assigned batch.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overlapping allocation ranges.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Assignment event appears in audit and trace timeline.</w:t>
      </w:r>
    </w:p>
    <w:p>
      <w:r>
        <w:t xml:space="preserve"/>
      </w:r>
    </w:p>
    <w:p>
      <w:pPr>
        <w:pStyle w:val="Heading2"/>
        <w:spacing w:before="220" w:after="100"/>
      </w:pPr>
      <w:r>
        <w:t xml:space="preserve">6. Nonconformance and Escalation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assignment fails with quantity errors, refresh and verify remaining balance.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manufacturer cannot view batches, verify assignment target and account activation.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Escalate unresolved allocation defects with batch ID, quantity, and timestamp.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8aff24c2d3eaa4fdfa4644226e78a2c825e9d25.undefined"/><Relationship Id="rId7" Type="http://schemas.openxmlformats.org/officeDocument/2006/relationships/image" Target="media/4333a0483d76509f5ee8a184d9643b004edbe061.undefined"/><Relationship Id="rId8" Type="http://schemas.openxmlformats.org/officeDocument/2006/relationships/image" Target="media/8cb0512277ec607971f29300a5eb0560f605243b.undefined"/><Relationship Id="rId9" Type="http://schemas.openxmlformats.org/officeDocument/2006/relationships/image" Target="media/e82e517f560644cb66ba2329365506c9c5e91ca6.undefined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LICENSEE_ADMIN_GUIDE</dc:title>
  <dc:creator>AuthenticQR</dc:creator>
  <cp:lastModifiedBy>Un-named</cp:lastModifiedBy>
  <cp:revision>1</cp:revision>
  <dcterms:created xsi:type="dcterms:W3CDTF">2026-02-16T10:42:22.993Z</dcterms:created>
  <dcterms:modified xsi:type="dcterms:W3CDTF">2026-02-16T10:42:22.993Z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