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aps/>
          <w:color w:val="C2680A"/>
          <w:sz w:val="18"/>
          <w:szCs w:val="18"/>
        </w:rPr>
        <w:t xml:space="preserve">OWNER SUMMARY  ·  READ THIS FIRST</w:t>
      </w:r>
    </w:p>
    <w:p>
      <w:pPr>
        <w:spacing w:after="60"/>
      </w:pPr>
      <w:r>
        <w:rPr>
          <w:rFonts w:ascii="Calibri" w:cs="Calibri" w:eastAsia="Calibri" w:hAnsi="Calibri"/>
          <w:b/>
          <w:bCs/>
          <w:color w:val="1A2332"/>
          <w:sz w:val="52"/>
          <w:szCs w:val="52"/>
        </w:rPr>
        <w:t xml:space="preserve">AEM Energy</w:t>
      </w:r>
    </w:p>
    <w:p>
      <w:pPr>
        <w:spacing w:after="400"/>
      </w:pPr>
      <w:r>
        <w:rPr>
          <w:rFonts w:ascii="Calibri" w:cs="Calibri" w:eastAsia="Calibri" w:hAnsi="Calibri"/>
          <w:i/>
          <w:iCs/>
          <w:color w:val="2C3E50"/>
          <w:sz w:val="28"/>
          <w:szCs w:val="28"/>
        </w:rPr>
        <w:t xml:space="preserve">Website Content &amp; Build Handoff — summary for the owner</w:t>
      </w:r>
    </w:p>
    <w:p>
      <w:pPr>
        <w:spacing w:after="120" w:line="300"/>
      </w:pPr>
      <w:r>
        <w:rPr>
          <w:rFonts w:ascii="Calibri" w:cs="Calibri" w:eastAsia="Calibri" w:hAnsi="Calibri"/>
          <w:sz w:val="22"/>
          <w:szCs w:val="22"/>
        </w:rPr>
        <w:t xml:space="preserve">The full handoff document is 106 pages. Your developer needs every page of it. You do not — at least not yet. This summary gives you the map: what decisions are locked, what the site will say, what you still need to supply, and what to look for when your developer shows you the first prototype.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E6E6E6" w:sz="4"/>
              <w:left w:val="single" w:color="E6E6E6" w:sz="4"/>
              <w:bottom w:val="single" w:color="E6E6E6" w:sz="4"/>
              <w:right w:val="single" w:color="E6E6E6" w:sz="4"/>
            </w:tcBorders>
            <w:shd w:fill="F5F5F5" w:val="clear"/>
            <w:tcMar>
              <w:top w:type="dxa" w:w="120"/>
              <w:left w:type="dxa" w:w="160"/>
              <w:bottom w:type="dxa" w:w="120"/>
              <w:right w:type="dxa" w:w="160"/>
            </w:tcMar>
          </w:tcPr>
          <w:p>
            <w:pPr>
              <w:spacing w:after="0"/>
            </w:pPr>
            <w:r>
              <w:rPr>
                <w:rFonts w:ascii="Calibri" w:cs="Calibri" w:eastAsia="Calibri" w:hAnsi="Calibri"/>
                <w:color w:val="1A2332"/>
                <w:sz w:val="22"/>
                <w:szCs w:val="22"/>
              </w:rPr>
              <w:t xml:space="preserve">Full handoff doc</w:t>
            </w:r>
          </w:p>
        </w:tc>
        <w:tc>
          <w:tcPr>
            <w:tcW w:type="dxa" w:w="4826"/>
            <w:tcBorders>
              <w:top w:val="single" w:color="E6E6E6" w:sz="4"/>
              <w:left w:val="single" w:color="E6E6E6" w:sz="4"/>
              <w:bottom w:val="single" w:color="E6E6E6" w:sz="4"/>
              <w:right w:val="single" w:color="E6E6E6" w:sz="4"/>
            </w:tcBorders>
            <w:shd w:fill="FFFFFF" w:val="clear"/>
            <w:tcMar>
              <w:top w:type="dxa" w:w="120"/>
              <w:left w:type="dxa" w:w="160"/>
              <w:bottom w:type="dxa" w:w="120"/>
              <w:right w:type="dxa" w:w="160"/>
            </w:tcMar>
          </w:tcPr>
          <w:p>
            <w:pPr>
              <w:spacing w:after="0"/>
            </w:pPr>
            <w:r>
              <w:rPr>
                <w:rFonts w:ascii="Calibri" w:cs="Calibri" w:eastAsia="Calibri" w:hAnsi="Calibri"/>
                <w:color w:val="1A2332"/>
                <w:sz w:val="22"/>
                <w:szCs w:val="22"/>
              </w:rPr>
              <w:t xml:space="preserve">106 pages — share with developer as-is</w:t>
            </w:r>
          </w:p>
        </w:tc>
      </w:tr>
    </w:tbl>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E6E6E6" w:sz="4"/>
              <w:left w:val="single" w:color="E6E6E6" w:sz="4"/>
              <w:bottom w:val="single" w:color="E6E6E6" w:sz="4"/>
              <w:right w:val="single" w:color="E6E6E6" w:sz="4"/>
            </w:tcBorders>
            <w:shd w:fill="F5F5F5" w:val="clear"/>
            <w:tcMar>
              <w:top w:type="dxa" w:w="120"/>
              <w:left w:type="dxa" w:w="160"/>
              <w:bottom w:type="dxa" w:w="120"/>
              <w:right w:type="dxa" w:w="160"/>
            </w:tcMar>
          </w:tcPr>
          <w:p>
            <w:pPr>
              <w:spacing w:after="0"/>
            </w:pPr>
            <w:r>
              <w:rPr>
                <w:rFonts w:ascii="Calibri" w:cs="Calibri" w:eastAsia="Calibri" w:hAnsi="Calibri"/>
                <w:color w:val="1A2332"/>
                <w:sz w:val="22"/>
                <w:szCs w:val="22"/>
              </w:rPr>
              <w:t xml:space="preserve">This summary</w:t>
            </w:r>
          </w:p>
        </w:tc>
        <w:tc>
          <w:tcPr>
            <w:tcW w:type="dxa" w:w="4826"/>
            <w:tcBorders>
              <w:top w:val="single" w:color="E6E6E6" w:sz="4"/>
              <w:left w:val="single" w:color="E6E6E6" w:sz="4"/>
              <w:bottom w:val="single" w:color="E6E6E6" w:sz="4"/>
              <w:right w:val="single" w:color="E6E6E6" w:sz="4"/>
            </w:tcBorders>
            <w:shd w:fill="FFFFFF" w:val="clear"/>
            <w:tcMar>
              <w:top w:type="dxa" w:w="120"/>
              <w:left w:type="dxa" w:w="160"/>
              <w:bottom w:type="dxa" w:w="120"/>
              <w:right w:type="dxa" w:w="160"/>
            </w:tcMar>
          </w:tcPr>
          <w:p>
            <w:pPr>
              <w:spacing w:after="0"/>
            </w:pPr>
            <w:r>
              <w:rPr>
                <w:rFonts w:ascii="Calibri" w:cs="Calibri" w:eastAsia="Calibri" w:hAnsi="Calibri"/>
                <w:color w:val="1A2332"/>
                <w:sz w:val="22"/>
                <w:szCs w:val="22"/>
              </w:rPr>
              <w:t xml:space="preserve">~15 pages — read first, then share both</w:t>
            </w:r>
          </w:p>
        </w:tc>
      </w:tr>
    </w:tbl>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E6E6E6" w:sz="4"/>
              <w:left w:val="single" w:color="E6E6E6" w:sz="4"/>
              <w:bottom w:val="single" w:color="E6E6E6" w:sz="4"/>
              <w:right w:val="single" w:color="E6E6E6" w:sz="4"/>
            </w:tcBorders>
            <w:shd w:fill="F5F5F5" w:val="clear"/>
            <w:tcMar>
              <w:top w:type="dxa" w:w="120"/>
              <w:left w:type="dxa" w:w="160"/>
              <w:bottom w:type="dxa" w:w="120"/>
              <w:right w:type="dxa" w:w="160"/>
            </w:tcMar>
          </w:tcPr>
          <w:p>
            <w:pPr>
              <w:spacing w:after="0"/>
            </w:pPr>
            <w:r>
              <w:rPr>
                <w:rFonts w:ascii="Calibri" w:cs="Calibri" w:eastAsia="Calibri" w:hAnsi="Calibri"/>
                <w:color w:val="1A2332"/>
                <w:sz w:val="22"/>
                <w:szCs w:val="22"/>
              </w:rPr>
              <w:t xml:space="preserve">Companion PRD</w:t>
            </w:r>
          </w:p>
        </w:tc>
        <w:tc>
          <w:tcPr>
            <w:tcW w:type="dxa" w:w="4826"/>
            <w:tcBorders>
              <w:top w:val="single" w:color="E6E6E6" w:sz="4"/>
              <w:left w:val="single" w:color="E6E6E6" w:sz="4"/>
              <w:bottom w:val="single" w:color="E6E6E6" w:sz="4"/>
              <w:right w:val="single" w:color="E6E6E6" w:sz="4"/>
            </w:tcBorders>
            <w:shd w:fill="FFFFFF" w:val="clear"/>
            <w:tcMar>
              <w:top w:type="dxa" w:w="120"/>
              <w:left w:type="dxa" w:w="160"/>
              <w:bottom w:type="dxa" w:w="120"/>
              <w:right w:type="dxa" w:w="160"/>
            </w:tcMar>
          </w:tcPr>
          <w:p>
            <w:pPr>
              <w:spacing w:after="0"/>
            </w:pPr>
            <w:r>
              <w:rPr>
                <w:rFonts w:ascii="Calibri" w:cs="Calibri" w:eastAsia="Calibri" w:hAnsi="Calibri"/>
                <w:color w:val="1A2332"/>
                <w:sz w:val="22"/>
                <w:szCs w:val="22"/>
              </w:rPr>
              <w:t xml:space="preserve">The original product brief you started with</w:t>
            </w:r>
          </w:p>
        </w:tc>
      </w:tr>
    </w:tbl>
    <w:p>
      <w:pPr>
        <w:spacing w:after="240"/>
      </w:pPr>
      <w:r>
        <w:t xml:space="preserve"/>
      </w:r>
    </w:p>
    <w:p>
      <w:pPr>
        <w:spacing w:after="100"/>
      </w:pPr>
      <w:r>
        <w:rPr>
          <w:rFonts w:ascii="Calibri" w:cs="Calibri" w:eastAsia="Calibri" w:hAnsi="Calibri"/>
          <w:b/>
          <w:bCs/>
          <w:color w:val="1A2332"/>
          <w:sz w:val="22"/>
          <w:szCs w:val="22"/>
        </w:rPr>
        <w:t xml:space="preserve">What to do with this summary</w:t>
      </w:r>
    </w:p>
    <w:p>
      <w:pPr>
        <w:pStyle w:val="ListParagraph"/>
        <w:numPr>
          <w:ilvl w:val="0"/>
          <w:numId w:val="2"/>
        </w:numPr>
        <w:spacing w:after="80" w:line="300"/>
      </w:pPr>
      <w:r>
        <w:rPr>
          <w:rFonts w:ascii="Calibri" w:cs="Calibri" w:eastAsia="Calibri" w:hAnsi="Calibri"/>
          <w:sz w:val="22"/>
          <w:szCs w:val="22"/>
        </w:rPr>
        <w:t xml:space="preserve">Read sections 1–4 to confirm the strategy and copy direction are right.</w:t>
      </w:r>
    </w:p>
    <w:p>
      <w:pPr>
        <w:pStyle w:val="ListParagraph"/>
        <w:numPr>
          <w:ilvl w:val="0"/>
          <w:numId w:val="2"/>
        </w:numPr>
        <w:spacing w:after="80" w:line="300"/>
      </w:pPr>
      <w:r>
        <w:rPr>
          <w:rFonts w:ascii="Calibri" w:cs="Calibri" w:eastAsia="Calibri" w:hAnsi="Calibri"/>
          <w:sz w:val="22"/>
          <w:szCs w:val="22"/>
        </w:rPr>
        <w:t xml:space="preserve">Check section 5 to see what each page will actually say.</w:t>
      </w:r>
    </w:p>
    <w:p>
      <w:pPr>
        <w:pStyle w:val="ListParagraph"/>
        <w:numPr>
          <w:ilvl w:val="0"/>
          <w:numId w:val="2"/>
        </w:numPr>
        <w:spacing w:after="80" w:line="300"/>
      </w:pPr>
      <w:r>
        <w:rPr>
          <w:rFonts w:ascii="Calibri" w:cs="Calibri" w:eastAsia="Calibri" w:hAnsi="Calibri"/>
          <w:sz w:val="22"/>
          <w:szCs w:val="22"/>
        </w:rPr>
        <w:t xml:space="preserve">Work through section 6 — the open items list — and gather what you can before the developer starts.</w:t>
      </w:r>
    </w:p>
    <w:p>
      <w:pPr>
        <w:pStyle w:val="ListParagraph"/>
        <w:numPr>
          <w:ilvl w:val="0"/>
          <w:numId w:val="2"/>
        </w:numPr>
        <w:spacing w:after="80" w:line="300"/>
      </w:pPr>
      <w:r>
        <w:rPr>
          <w:rFonts w:ascii="Calibri" w:cs="Calibri" w:eastAsia="Calibri" w:hAnsi="Calibri"/>
          <w:sz w:val="22"/>
          <w:szCs w:val="22"/>
        </w:rPr>
        <w:t xml:space="preserve">Then share both documents with your developer and schedule a kick-off call.</w:t>
      </w:r>
    </w:p>
    <w:p>
      <w:r>
        <w:br w:type="page"/>
      </w:r>
    </w:p>
    <w:p>
      <w:pPr>
        <w:pStyle w:val="Heading1"/>
        <w:pageBreakBefore/>
        <w:spacing w:after="200" w:before="360"/>
      </w:pPr>
      <w:r>
        <w:rPr>
          <w:rFonts w:ascii="Calibri" w:cs="Calibri" w:eastAsia="Calibri" w:hAnsi="Calibri"/>
          <w:b/>
          <w:bCs/>
          <w:color w:val="1A2332"/>
          <w:sz w:val="40"/>
          <w:szCs w:val="40"/>
        </w:rPr>
        <w:t xml:space="preserve">1 · The four compliance rules</w:t>
      </w:r>
    </w:p>
    <w:p>
      <w:pPr>
        <w:spacing w:after="60" w:before="120"/>
      </w:pPr>
      <w:r>
        <w:rPr>
          <w:rFonts w:ascii="Calibri" w:cs="Calibri" w:eastAsia="Calibri" w:hAnsi="Calibri"/>
          <w:b/>
          <w:bCs/>
          <w:color w:val="C2680A"/>
          <w:spacing w:val="40"/>
          <w:sz w:val="18"/>
          <w:szCs w:val="18"/>
        </w:rPr>
        <w:t xml:space="preserve">THESE APPLY TO EVERY PAGE, EVERY HEADLINE, EVERY CTA. NO EXCEPTIONS.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3227" w:sz="6"/>
              <w:left w:val="single" w:color="B83227" w:sz="1"/>
              <w:bottom w:val="single" w:color="B83227" w:sz="1"/>
              <w:right w:val="single" w:color="B83227" w:sz="1"/>
            </w:tcBorders>
            <w:shd w:fill="FBEAE9" w:val="clear"/>
            <w:tcMar>
              <w:top w:type="dxa" w:w="160"/>
              <w:left w:type="dxa" w:w="200"/>
              <w:bottom w:type="dxa" w:w="160"/>
              <w:right w:type="dxa" w:w="200"/>
            </w:tcMar>
          </w:tcPr>
          <w:p>
            <w:pPr>
              <w:spacing w:after="100"/>
            </w:pPr>
            <w:r>
              <w:rPr>
                <w:rFonts w:ascii="Calibri" w:cs="Calibri" w:eastAsia="Calibri" w:hAnsi="Calibri"/>
                <w:b/>
                <w:bCs/>
                <w:color w:val="1A2332"/>
                <w:sz w:val="22"/>
                <w:szCs w:val="22"/>
              </w:rPr>
              <w:t xml:space="preserve">Rule 1 — Never say "free"</w:t>
            </w:r>
          </w:p>
          <w:p>
            <w:pPr>
              <w:pStyle w:val="ListParagraph"/>
              <w:numPr>
                <w:ilvl w:val="0"/>
                <w:numId w:val="2"/>
              </w:numPr>
              <w:spacing w:after="80" w:line="300"/>
            </w:pPr>
            <w:r>
              <w:rPr>
                <w:rFonts w:ascii="Calibri" w:cs="Calibri" w:eastAsia="Calibri" w:hAnsi="Calibri"/>
                <w:sz w:val="22"/>
                <w:szCs w:val="22"/>
              </w:rPr>
              <w:t xml:space="preserve">There is no such thing as a free upgrade under the VEU program. A minimum customer contribution always applies.</w:t>
            </w:r>
          </w:p>
          <w:p>
            <w:pPr>
              <w:pStyle w:val="ListParagraph"/>
              <w:numPr>
                <w:ilvl w:val="0"/>
                <w:numId w:val="2"/>
              </w:numPr>
              <w:spacing w:after="80" w:line="300"/>
            </w:pPr>
            <w:r>
              <w:rPr>
                <w:rFonts w:ascii="Calibri" w:cs="Calibri" w:eastAsia="Calibri" w:hAnsi="Calibri"/>
                <w:sz w:val="22"/>
                <w:szCs w:val="22"/>
              </w:rPr>
              <w:t xml:space="preserve">Ten competitors online say "free solar" or "free hot water." They are non-compliant with program rules.</w:t>
            </w:r>
          </w:p>
          <w:p>
            <w:pPr>
              <w:pStyle w:val="ListParagraph"/>
              <w:numPr>
                <w:ilvl w:val="0"/>
                <w:numId w:val="2"/>
              </w:numPr>
              <w:spacing w:after="80" w:line="300"/>
            </w:pPr>
            <w:r>
              <w:rPr>
                <w:rFonts w:ascii="Calibri" w:cs="Calibri" w:eastAsia="Calibri" w:hAnsi="Calibri"/>
                <w:sz w:val="22"/>
                <w:szCs w:val="22"/>
              </w:rPr>
              <w:t xml:space="preserve">Our position: "We tell you what you will actually pay before you sign." That is the competitive differentiator.</w:t>
            </w:r>
          </w:p>
          <w:p>
            <w:pPr>
              <w:pStyle w:val="ListParagraph"/>
              <w:numPr>
                <w:ilvl w:val="0"/>
                <w:numId w:val="2"/>
              </w:numPr>
              <w:spacing w:after="80" w:line="300"/>
            </w:pPr>
            <w:r>
              <w:rPr>
                <w:rFonts w:ascii="Calibri" w:cs="Calibri" w:eastAsia="Calibri" w:hAnsi="Calibri"/>
                <w:sz w:val="22"/>
                <w:szCs w:val="22"/>
              </w:rPr>
              <w:t xml:space="preserve">If anyone asks to add "free" back into the copy — decline 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3227" w:sz="6"/>
              <w:left w:val="single" w:color="B83227" w:sz="1"/>
              <w:bottom w:val="single" w:color="B83227" w:sz="1"/>
              <w:right w:val="single" w:color="B83227" w:sz="1"/>
            </w:tcBorders>
            <w:shd w:fill="FBEAE9" w:val="clear"/>
            <w:tcMar>
              <w:top w:type="dxa" w:w="160"/>
              <w:left w:type="dxa" w:w="200"/>
              <w:bottom w:type="dxa" w:w="160"/>
              <w:right w:type="dxa" w:w="200"/>
            </w:tcMar>
          </w:tcPr>
          <w:p>
            <w:pPr>
              <w:spacing w:after="100"/>
            </w:pPr>
            <w:r>
              <w:rPr>
                <w:rFonts w:ascii="Calibri" w:cs="Calibri" w:eastAsia="Calibri" w:hAnsi="Calibri"/>
                <w:b/>
                <w:bCs/>
                <w:color w:val="1A2332"/>
                <w:sz w:val="22"/>
                <w:szCs w:val="22"/>
              </w:rPr>
              <w:t xml:space="preserve">Rule 2 — VEU and Solar Victoria are two different programs</w:t>
            </w:r>
          </w:p>
          <w:p>
            <w:pPr>
              <w:pStyle w:val="ListParagraph"/>
              <w:numPr>
                <w:ilvl w:val="0"/>
                <w:numId w:val="2"/>
              </w:numPr>
              <w:spacing w:after="80" w:line="300"/>
            </w:pPr>
            <w:r>
              <w:rPr>
                <w:rFonts w:ascii="Calibri" w:cs="Calibri" w:eastAsia="Calibri" w:hAnsi="Calibri"/>
                <w:sz w:val="22"/>
                <w:szCs w:val="22"/>
              </w:rPr>
              <w:t xml:space="preserve">The VEU program is not means-tested. Anyone in Victoria can access it.</w:t>
            </w:r>
          </w:p>
          <w:p>
            <w:pPr>
              <w:pStyle w:val="ListParagraph"/>
              <w:numPr>
                <w:ilvl w:val="0"/>
                <w:numId w:val="2"/>
              </w:numPr>
              <w:spacing w:after="80" w:line="300"/>
            </w:pPr>
            <w:r>
              <w:rPr>
                <w:rFonts w:ascii="Calibri" w:cs="Calibri" w:eastAsia="Calibri" w:hAnsi="Calibri"/>
                <w:sz w:val="22"/>
                <w:szCs w:val="22"/>
              </w:rPr>
              <w:t xml:space="preserve">Solar Victoria has income thresholds. Not everyone qualifies.</w:t>
            </w:r>
          </w:p>
          <w:p>
            <w:pPr>
              <w:pStyle w:val="ListParagraph"/>
              <w:numPr>
                <w:ilvl w:val="0"/>
                <w:numId w:val="2"/>
              </w:numPr>
              <w:spacing w:after="80" w:line="300"/>
            </w:pPr>
            <w:r>
              <w:rPr>
                <w:rFonts w:ascii="Calibri" w:cs="Calibri" w:eastAsia="Calibri" w:hAnsi="Calibri"/>
                <w:sz w:val="22"/>
                <w:szCs w:val="22"/>
              </w:rPr>
              <w:t xml:space="preserve">The site always mentions them as distinct programs, never interchangeable.</w:t>
            </w:r>
          </w:p>
          <w:p>
            <w:pPr>
              <w:pStyle w:val="ListParagraph"/>
              <w:numPr>
                <w:ilvl w:val="0"/>
                <w:numId w:val="2"/>
              </w:numPr>
              <w:spacing w:after="80" w:line="300"/>
            </w:pPr>
            <w:r>
              <w:rPr>
                <w:rFonts w:ascii="Calibri" w:cs="Calibri" w:eastAsia="Calibri" w:hAnsi="Calibri"/>
                <w:sz w:val="22"/>
                <w:szCs w:val="22"/>
              </w:rPr>
              <w:t xml:space="preserve">The stacking story (where both apply to one installation) is the exciting part — but only for households who qualify for both.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3227" w:sz="6"/>
              <w:left w:val="single" w:color="B83227" w:sz="1"/>
              <w:bottom w:val="single" w:color="B83227" w:sz="1"/>
              <w:right w:val="single" w:color="B83227" w:sz="1"/>
            </w:tcBorders>
            <w:shd w:fill="FBEAE9" w:val="clear"/>
            <w:tcMar>
              <w:top w:type="dxa" w:w="160"/>
              <w:left w:type="dxa" w:w="200"/>
              <w:bottom w:type="dxa" w:w="160"/>
              <w:right w:type="dxa" w:w="200"/>
            </w:tcMar>
          </w:tcPr>
          <w:p>
            <w:pPr>
              <w:spacing w:after="100"/>
            </w:pPr>
            <w:r>
              <w:rPr>
                <w:rFonts w:ascii="Calibri" w:cs="Calibri" w:eastAsia="Calibri" w:hAnsi="Calibri"/>
                <w:b/>
                <w:bCs/>
                <w:color w:val="1A2332"/>
                <w:sz w:val="22"/>
                <w:szCs w:val="22"/>
              </w:rPr>
              <w:t xml:space="preserve">Rule 3 — All dollar figures are "up to" and "indicative"</w:t>
            </w:r>
          </w:p>
          <w:p>
            <w:pPr>
              <w:pStyle w:val="ListParagraph"/>
              <w:numPr>
                <w:ilvl w:val="0"/>
                <w:numId w:val="2"/>
              </w:numPr>
              <w:spacing w:after="80" w:line="300"/>
            </w:pPr>
            <w:r>
              <w:rPr>
                <w:rFonts w:ascii="Calibri" w:cs="Calibri" w:eastAsia="Calibri" w:hAnsi="Calibri"/>
                <w:sz w:val="22"/>
                <w:szCs w:val="22"/>
              </w:rPr>
              <w:t xml:space="preserve">Certificate market prices move. We cannot quote guaranteed dollar values in site copy.</w:t>
            </w:r>
          </w:p>
          <w:p>
            <w:pPr>
              <w:pStyle w:val="ListParagraph"/>
              <w:numPr>
                <w:ilvl w:val="0"/>
                <w:numId w:val="2"/>
              </w:numPr>
              <w:spacing w:after="80" w:line="300"/>
            </w:pPr>
            <w:r>
              <w:rPr>
                <w:rFonts w:ascii="Calibri" w:cs="Calibri" w:eastAsia="Calibri" w:hAnsi="Calibri"/>
                <w:sz w:val="22"/>
                <w:szCs w:val="22"/>
              </w:rPr>
              <w:t xml:space="preserve">The site shows "up to $● — indicative" for every figure. The ● is a placeholder your developer fills in with current indicative values that you supply.</w:t>
            </w:r>
          </w:p>
          <w:p>
            <w:pPr>
              <w:pStyle w:val="ListParagraph"/>
              <w:numPr>
                <w:ilvl w:val="0"/>
                <w:numId w:val="2"/>
              </w:numPr>
              <w:spacing w:after="80" w:line="300"/>
            </w:pPr>
            <w:r>
              <w:rPr>
                <w:rFonts w:ascii="Calibri" w:cs="Calibri" w:eastAsia="Calibri" w:hAnsi="Calibri"/>
                <w:sz w:val="22"/>
                <w:szCs w:val="22"/>
              </w:rPr>
              <w:t xml:space="preserve">The formal quote the customer receives at the end of the eligibility process is the first guaranteed number they see.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3227" w:sz="6"/>
              <w:left w:val="single" w:color="B83227" w:sz="1"/>
              <w:bottom w:val="single" w:color="B83227" w:sz="1"/>
              <w:right w:val="single" w:color="B83227" w:sz="1"/>
            </w:tcBorders>
            <w:shd w:fill="FBEAE9" w:val="clear"/>
            <w:tcMar>
              <w:top w:type="dxa" w:w="160"/>
              <w:left w:type="dxa" w:w="200"/>
              <w:bottom w:type="dxa" w:w="160"/>
              <w:right w:type="dxa" w:w="200"/>
            </w:tcMar>
          </w:tcPr>
          <w:p>
            <w:pPr>
              <w:spacing w:after="100"/>
            </w:pPr>
            <w:r>
              <w:rPr>
                <w:rFonts w:ascii="Calibri" w:cs="Calibri" w:eastAsia="Calibri" w:hAnsi="Calibri"/>
                <w:b/>
                <w:bCs/>
                <w:color w:val="1A2332"/>
                <w:sz w:val="22"/>
                <w:szCs w:val="22"/>
              </w:rPr>
              <w:t xml:space="preserve">Rule 4 — AEM Energy is not the Accredited Person. Aussie Eco Marks is.</w:t>
            </w:r>
          </w:p>
          <w:p>
            <w:pPr>
              <w:pStyle w:val="ListParagraph"/>
              <w:numPr>
                <w:ilvl w:val="0"/>
                <w:numId w:val="2"/>
              </w:numPr>
              <w:spacing w:after="80" w:line="300"/>
            </w:pPr>
            <w:r>
              <w:rPr>
                <w:rFonts w:ascii="Calibri" w:cs="Calibri" w:eastAsia="Calibri" w:hAnsi="Calibri"/>
                <w:sz w:val="22"/>
                <w:szCs w:val="22"/>
              </w:rPr>
              <w:t xml:space="preserve">The correct phrasing, used every time: "AEM Energy operates under our Accredited Person, Aussie Eco Marks."</w:t>
            </w:r>
          </w:p>
          <w:p>
            <w:pPr>
              <w:pStyle w:val="ListParagraph"/>
              <w:numPr>
                <w:ilvl w:val="0"/>
                <w:numId w:val="2"/>
              </w:numPr>
              <w:spacing w:after="80" w:line="300"/>
            </w:pPr>
            <w:r>
              <w:rPr>
                <w:rFonts w:ascii="Calibri" w:cs="Calibri" w:eastAsia="Calibri" w:hAnsi="Calibri"/>
                <w:sz w:val="22"/>
                <w:szCs w:val="22"/>
              </w:rPr>
              <w:t xml:space="preserve">Never: "AEM Energy is an Accredited Person." That is not accurate — Aussie Eco Marks holds the accreditation.</w:t>
            </w:r>
          </w:p>
          <w:p>
            <w:pPr>
              <w:pStyle w:val="ListParagraph"/>
              <w:numPr>
                <w:ilvl w:val="0"/>
                <w:numId w:val="2"/>
              </w:numPr>
              <w:spacing w:after="80" w:line="300"/>
            </w:pPr>
            <w:r>
              <w:rPr>
                <w:rFonts w:ascii="Calibri" w:cs="Calibri" w:eastAsia="Calibri" w:hAnsi="Calibri"/>
                <w:sz w:val="22"/>
                <w:szCs w:val="22"/>
              </w:rPr>
              <w:t xml:space="preserve">This matters legally. If the regulator ever looks at the site, this line has to be correct.</w:t>
            </w:r>
          </w:p>
        </w:tc>
      </w:tr>
    </w:tbl>
    <w:p>
      <w:r>
        <w:br w:type="page"/>
      </w:r>
    </w:p>
    <w:p>
      <w:pPr>
        <w:pStyle w:val="Heading1"/>
        <w:pageBreakBefore/>
        <w:spacing w:after="200" w:before="360"/>
      </w:pPr>
      <w:r>
        <w:rPr>
          <w:rFonts w:ascii="Calibri" w:cs="Calibri" w:eastAsia="Calibri" w:hAnsi="Calibri"/>
          <w:b/>
          <w:bCs/>
          <w:color w:val="1A2332"/>
          <w:sz w:val="40"/>
          <w:szCs w:val="40"/>
        </w:rPr>
        <w:t xml:space="preserve">2 · The strategy in plain English</w:t>
      </w:r>
    </w:p>
    <w:p>
      <w:pPr>
        <w:spacing w:after="60" w:before="120"/>
      </w:pPr>
      <w:r>
        <w:rPr>
          <w:rFonts w:ascii="Calibri" w:cs="Calibri" w:eastAsia="Calibri" w:hAnsi="Calibri"/>
          <w:b/>
          <w:bCs/>
          <w:color w:val="C2680A"/>
          <w:spacing w:val="40"/>
          <w:sz w:val="18"/>
          <w:szCs w:val="18"/>
        </w:rPr>
        <w:t xml:space="preserve">THREE PARAGRAPHS. THIS IS WHAT THE SITE STANDS FOR.</w:t>
      </w:r>
    </w:p>
    <w:p>
      <w:pPr>
        <w:spacing w:after="200" w:before="200" w:line="340"/>
        <w:ind w:left="360" w:right="360"/>
      </w:pPr>
      <w:r>
        <w:rPr>
          <w:rFonts w:ascii="Calibri" w:cs="Calibri" w:eastAsia="Calibri" w:hAnsi="Calibri"/>
          <w:i/>
          <w:iCs/>
          <w:color w:val="1A2332"/>
          <w:sz w:val="26"/>
          <w:szCs w:val="26"/>
        </w:rPr>
        <w:t xml:space="preserve">“The positioning: we are accredited, we handle everything end-to-end, and we tell the truth about what things cost. You do nothing.”</w:t>
      </w:r>
    </w:p>
    <w:p>
      <w:pPr>
        <w:spacing w:after="120" w:line="300"/>
      </w:pPr>
      <w:r>
        <w:rPr>
          <w:rFonts w:ascii="Calibri" w:cs="Calibri" w:eastAsia="Calibri" w:hAnsi="Calibri"/>
          <w:sz w:val="22"/>
          <w:szCs w:val="22"/>
        </w:rPr>
        <w:t xml:space="preserve">Most competitors in this category do one thing: install. Or they aggregate leads and hand them off to someone who installs. They cannot create certificates themselves — only an Accredited Person can — so they are dependent on an intermediary. We do the whole chain. Assessment. Install. Certificate creation. Certificate sale. The discount comes back to the customer as a lower price on the day, not a rebate to chase later.</w:t>
      </w:r>
    </w:p>
    <w:p>
      <w:pPr>
        <w:spacing w:after="120" w:line="300"/>
      </w:pPr>
      <w:r>
        <w:rPr>
          <w:rFonts w:ascii="Calibri" w:cs="Calibri" w:eastAsia="Calibri" w:hAnsi="Calibri"/>
          <w:sz w:val="22"/>
          <w:szCs w:val="22"/>
        </w:rPr>
        <w:t xml:space="preserve">Our second edge is honesty. The market is full of "free solar" claims that are technically non-compliant. We lead with the truth: there is no free upgrade, but the cost is significantly reduced, the process is fully managed, and the customer never chases a form or a phone call. That positioning is available because no one else has taken it.</w:t>
      </w:r>
    </w:p>
    <w:p>
      <w:pPr>
        <w:spacing w:after="120" w:line="300"/>
      </w:pPr>
      <w:r>
        <w:rPr>
          <w:rFonts w:ascii="Calibri" w:cs="Calibri" w:eastAsia="Calibri" w:hAnsi="Calibri"/>
          <w:sz w:val="22"/>
          <w:szCs w:val="22"/>
        </w:rPr>
        <w:t xml:space="preserve">The third edge is explanation. Nobody in this category explains the money mechanism clearly — how certificates are created, why retailers buy them, why that is the thing that funds the discount. Once a customer understands it, the whole thing makes sense and they trust the process. The site does that work.</w:t>
      </w:r>
    </w:p>
    <w:p>
      <w:pPr>
        <w:spacing w:after="160"/>
      </w:pPr>
      <w:r>
        <w:t xml:space="preserve"/>
      </w:r>
    </w:p>
    <w:p>
      <w:pPr>
        <w:pStyle w:val="Heading2"/>
        <w:spacing w:after="140" w:before="280"/>
      </w:pPr>
      <w:r>
        <w:rPr>
          <w:rFonts w:ascii="Calibri" w:cs="Calibri" w:eastAsia="Calibri" w:hAnsi="Calibri"/>
          <w:b/>
          <w:bCs/>
          <w:color w:val="1A2332"/>
          <w:sz w:val="30"/>
          <w:szCs w:val="30"/>
        </w:rPr>
        <w:t xml:space="preserve">The five things we can say with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106"/>
      </w:tblGrid>
      <w:tr>
        <w:tc>
          <w:tcPr>
            <w:tcW w:type="dxa" w:w="720"/>
            <w:tcBorders>
              <w:top w:val="single" w:color="CCCCCC" w:sz="4"/>
              <w:left w:val="single" w:color="CCCCCC" w:sz="4"/>
              <w:bottom w:val="single" w:color="CCCCCC" w:sz="4"/>
              <w:right w:val="single" w:color="CCCCCC" w:sz="4"/>
            </w:tcBorders>
            <w:shd w:fill="1A2332" w:val="clear"/>
            <w:tcMar>
              <w:top w:type="dxa" w:w="100"/>
              <w:left w:type="dxa" w:w="120"/>
              <w:bottom w:type="dxa" w:w="100"/>
              <w:right w:type="dxa" w:w="80"/>
            </w:tcMar>
          </w:tcPr>
          <w:p>
            <w:pPr>
              <w:spacing w:after="0"/>
            </w:pPr>
            <w:r>
              <w:rPr>
                <w:rFonts w:ascii="Calibri" w:cs="Calibri" w:eastAsia="Calibri" w:hAnsi="Calibri"/>
                <w:b/>
                <w:bCs/>
                <w:color w:val="FFFFFF"/>
                <w:sz w:val="20"/>
                <w:szCs w:val="20"/>
              </w:rPr>
              <w:t xml:space="preserve">#</w:t>
            </w:r>
          </w:p>
        </w:tc>
        <w:tc>
          <w:tcPr>
            <w:tcW w:type="dxa" w:w="2200"/>
            <w:tcBorders>
              <w:top w:val="single" w:color="CCCCCC" w:sz="4"/>
              <w:left w:val="single" w:color="CCCCCC" w:sz="4"/>
              <w:bottom w:val="single" w:color="CCCCCC" w:sz="4"/>
              <w:right w:val="single" w:color="CCCCCC" w:sz="4"/>
            </w:tcBorders>
            <w:shd w:fill="1A2332" w:val="clear"/>
            <w:tcMar>
              <w:top w:type="dxa" w:w="100"/>
              <w:left w:type="dxa" w:w="120"/>
              <w:bottom w:type="dxa" w:w="100"/>
              <w:right w:type="dxa" w:w="80"/>
            </w:tcMar>
          </w:tcPr>
          <w:p>
            <w:pPr>
              <w:spacing w:after="0"/>
            </w:pPr>
            <w:r>
              <w:rPr>
                <w:rFonts w:ascii="Calibri" w:cs="Calibri" w:eastAsia="Calibri" w:hAnsi="Calibri"/>
                <w:b/>
                <w:bCs/>
                <w:color w:val="FFFFFF"/>
                <w:sz w:val="20"/>
                <w:szCs w:val="20"/>
              </w:rPr>
              <w:t xml:space="preserve">Page</w:t>
            </w:r>
          </w:p>
        </w:tc>
        <w:tc>
          <w:tcPr>
            <w:tcW w:type="dxa" w:w="6106"/>
            <w:tcBorders>
              <w:top w:val="single" w:color="CCCCCC" w:sz="4"/>
              <w:left w:val="single" w:color="CCCCCC" w:sz="4"/>
              <w:bottom w:val="single" w:color="CCCCCC" w:sz="4"/>
              <w:right w:val="single" w:color="CCCCCC" w:sz="4"/>
            </w:tcBorders>
            <w:shd w:fill="1A2332" w:val="clear"/>
            <w:tcMar>
              <w:top w:type="dxa" w:w="100"/>
              <w:left w:type="dxa" w:w="120"/>
              <w:bottom w:type="dxa" w:w="100"/>
              <w:right w:type="dxa" w:w="80"/>
            </w:tcMar>
          </w:tcPr>
          <w:p>
            <w:pPr>
              <w:spacing w:after="0"/>
            </w:pPr>
            <w:r>
              <w:rPr>
                <w:rFonts w:ascii="Calibri" w:cs="Calibri" w:eastAsia="Calibri" w:hAnsi="Calibri"/>
                <w:b/>
                <w:bCs/>
                <w:color w:val="FFFFFF"/>
                <w:sz w:val="20"/>
                <w:szCs w:val="20"/>
              </w:rPr>
              <w:t xml:space="preserve">What it does / key points for the owner</w:t>
            </w:r>
          </w:p>
        </w:tc>
      </w:tr>
      <w:tr>
        <w:tc>
          <w:tcPr>
            <w:tcW w:type="dxa" w:w="720"/>
            <w:tcBorders>
              <w:top w:val="single" w:color="E6E6E6" w:sz="4"/>
              <w:left w:val="single" w:color="E6E6E6" w:sz="4"/>
              <w:bottom w:val="single" w:color="E6E6E6" w:sz="4"/>
              <w:right w:val="single" w:color="E6E6E6" w:sz="4"/>
            </w:tcBorders>
            <w:shd w:fill="F5EBD9" w:val="clear"/>
            <w:tcMar>
              <w:top w:type="dxa" w:w="100"/>
              <w:left w:type="dxa" w:w="120"/>
              <w:bottom w:type="dxa" w:w="100"/>
              <w:right w:type="dxa" w:w="80"/>
            </w:tcMar>
          </w:tcPr>
          <w:p>
            <w:pPr>
              <w:spacing w:after="0"/>
            </w:pPr>
            <w:r>
              <w:rPr>
                <w:rFonts w:ascii="Calibri" w:cs="Calibri" w:eastAsia="Calibri" w:hAnsi="Calibri"/>
                <w:b/>
                <w:bCs/>
                <w:color w:val="C2680A"/>
                <w:sz w:val="20"/>
                <w:szCs w:val="20"/>
              </w:rPr>
              <w:t xml:space="preserve">1</w:t>
            </w:r>
          </w:p>
        </w:tc>
        <w:tc>
          <w:tcPr>
            <w:tcW w:type="dxa" w:w="2200"/>
            <w:tcBorders>
              <w:top w:val="single" w:color="E6E6E6" w:sz="4"/>
              <w:left w:val="single" w:color="E6E6E6" w:sz="4"/>
              <w:bottom w:val="single" w:color="E6E6E6" w:sz="4"/>
              <w:right w:val="single" w:color="E6E6E6" w:sz="4"/>
            </w:tcBorders>
            <w:shd w:fill="FAFAFA" w:val="clear"/>
            <w:tcMar>
              <w:top w:type="dxa" w:w="100"/>
              <w:left w:type="dxa" w:w="120"/>
              <w:bottom w:type="dxa" w:w="100"/>
              <w:right w:type="dxa" w:w="80"/>
            </w:tcMar>
          </w:tcPr>
          <w:p>
            <w:pPr>
              <w:spacing w:after="0"/>
            </w:pPr>
            <w:r>
              <w:rPr>
                <w:rFonts w:ascii="Calibri" w:cs="Calibri" w:eastAsia="Calibri" w:hAnsi="Calibri"/>
                <w:b/>
                <w:bCs/>
                <w:color w:val="1A2332"/>
                <w:sz w:val="20"/>
                <w:szCs w:val="20"/>
              </w:rPr>
              <w:t xml:space="preserve">We are accredited</w:t>
            </w:r>
          </w:p>
        </w:tc>
        <w:tc>
          <w:tcPr>
            <w:tcW w:type="dxa" w:w="6106"/>
            <w:tcBorders>
              <w:top w:val="single" w:color="E6E6E6" w:sz="4"/>
              <w:left w:val="single" w:color="E6E6E6" w:sz="4"/>
              <w:bottom w:val="single" w:color="E6E6E6" w:sz="4"/>
              <w:right w:val="single" w:color="E6E6E6" w:sz="4"/>
            </w:tcBorders>
            <w:tcMar>
              <w:top w:type="dxa" w:w="100"/>
              <w:left w:type="dxa" w:w="120"/>
              <w:bottom w:type="dxa" w:w="100"/>
              <w:right w:type="dxa" w:w="100"/>
            </w:tcMar>
          </w:tcPr>
          <w:p>
            <w:pPr>
              <w:spacing w:after="0"/>
            </w:pPr>
            <w:r>
              <w:rPr>
                <w:rFonts w:ascii="Calibri" w:cs="Calibri" w:eastAsia="Calibri" w:hAnsi="Calibri"/>
                <w:b w:val="false"/>
                <w:bCs w:val="false"/>
                <w:color w:val="1A2332"/>
                <w:sz w:val="20"/>
                <w:szCs w:val="20"/>
              </w:rPr>
              <w:t xml:space="preserve">Aussie Eco Marks holds AP status. Annual fit-and-proper and competent-and-capable testing. The site names this explicitly — no competitor uses accreditation as a proof point.</w:t>
            </w:r>
          </w:p>
        </w:tc>
      </w:tr>
      <w:tr>
        <w:tc>
          <w:tcPr>
            <w:tcW w:type="dxa" w:w="720"/>
            <w:tcBorders>
              <w:top w:val="single" w:color="E6E6E6" w:sz="4"/>
              <w:left w:val="single" w:color="E6E6E6" w:sz="4"/>
              <w:bottom w:val="single" w:color="E6E6E6" w:sz="4"/>
              <w:right w:val="single" w:color="E6E6E6" w:sz="4"/>
            </w:tcBorders>
            <w:shd w:fill="F5EBD9" w:val="clear"/>
            <w:tcMar>
              <w:top w:type="dxa" w:w="100"/>
              <w:left w:type="dxa" w:w="120"/>
              <w:bottom w:type="dxa" w:w="100"/>
              <w:right w:type="dxa" w:w="80"/>
            </w:tcMar>
          </w:tcPr>
          <w:p>
            <w:pPr>
              <w:spacing w:after="0"/>
            </w:pPr>
            <w:r>
              <w:rPr>
                <w:rFonts w:ascii="Calibri" w:cs="Calibri" w:eastAsia="Calibri" w:hAnsi="Calibri"/>
                <w:b/>
                <w:bCs/>
                <w:color w:val="C2680A"/>
                <w:sz w:val="20"/>
                <w:szCs w:val="20"/>
              </w:rPr>
              <w:t xml:space="preserve">2</w:t>
            </w:r>
          </w:p>
        </w:tc>
        <w:tc>
          <w:tcPr>
            <w:tcW w:type="dxa" w:w="2200"/>
            <w:tcBorders>
              <w:top w:val="single" w:color="E6E6E6" w:sz="4"/>
              <w:left w:val="single" w:color="E6E6E6" w:sz="4"/>
              <w:bottom w:val="single" w:color="E6E6E6" w:sz="4"/>
              <w:right w:val="single" w:color="E6E6E6" w:sz="4"/>
            </w:tcBorders>
            <w:shd w:fill="FAFAFA" w:val="clear"/>
            <w:tcMar>
              <w:top w:type="dxa" w:w="100"/>
              <w:left w:type="dxa" w:w="120"/>
              <w:bottom w:type="dxa" w:w="100"/>
              <w:right w:type="dxa" w:w="80"/>
            </w:tcMar>
          </w:tcPr>
          <w:p>
            <w:pPr>
              <w:spacing w:after="0"/>
            </w:pPr>
            <w:r>
              <w:rPr>
                <w:rFonts w:ascii="Calibri" w:cs="Calibri" w:eastAsia="Calibri" w:hAnsi="Calibri"/>
                <w:b/>
                <w:bCs/>
                <w:color w:val="1A2332"/>
                <w:sz w:val="20"/>
                <w:szCs w:val="20"/>
              </w:rPr>
              <w:t xml:space="preserve">Full chain, one team</w:t>
            </w:r>
          </w:p>
        </w:tc>
        <w:tc>
          <w:tcPr>
            <w:tcW w:type="dxa" w:w="6106"/>
            <w:tcBorders>
              <w:top w:val="single" w:color="E6E6E6" w:sz="4"/>
              <w:left w:val="single" w:color="E6E6E6" w:sz="4"/>
              <w:bottom w:val="single" w:color="E6E6E6" w:sz="4"/>
              <w:right w:val="single" w:color="E6E6E6" w:sz="4"/>
            </w:tcBorders>
            <w:tcMar>
              <w:top w:type="dxa" w:w="100"/>
              <w:left w:type="dxa" w:w="120"/>
              <w:bottom w:type="dxa" w:w="100"/>
              <w:right w:type="dxa" w:w="100"/>
            </w:tcMar>
          </w:tcPr>
          <w:p>
            <w:pPr>
              <w:spacing w:after="0"/>
            </w:pPr>
            <w:r>
              <w:rPr>
                <w:rFonts w:ascii="Calibri" w:cs="Calibri" w:eastAsia="Calibri" w:hAnsi="Calibri"/>
                <w:b w:val="false"/>
                <w:bCs w:val="false"/>
                <w:color w:val="1A2332"/>
                <w:sz w:val="20"/>
                <w:szCs w:val="20"/>
              </w:rPr>
              <w:t xml:space="preserve">Assessment → install → certificate creation → certificate sale. All under one roof. The customer deals with one company throughout.</w:t>
            </w:r>
          </w:p>
        </w:tc>
      </w:tr>
      <w:tr>
        <w:tc>
          <w:tcPr>
            <w:tcW w:type="dxa" w:w="720"/>
            <w:tcBorders>
              <w:top w:val="single" w:color="E6E6E6" w:sz="4"/>
              <w:left w:val="single" w:color="E6E6E6" w:sz="4"/>
              <w:bottom w:val="single" w:color="E6E6E6" w:sz="4"/>
              <w:right w:val="single" w:color="E6E6E6" w:sz="4"/>
            </w:tcBorders>
            <w:shd w:fill="F5EBD9" w:val="clear"/>
            <w:tcMar>
              <w:top w:type="dxa" w:w="100"/>
              <w:left w:type="dxa" w:w="120"/>
              <w:bottom w:type="dxa" w:w="100"/>
              <w:right w:type="dxa" w:w="80"/>
            </w:tcMar>
          </w:tcPr>
          <w:p>
            <w:pPr>
              <w:spacing w:after="0"/>
            </w:pPr>
            <w:r>
              <w:rPr>
                <w:rFonts w:ascii="Calibri" w:cs="Calibri" w:eastAsia="Calibri" w:hAnsi="Calibri"/>
                <w:b/>
                <w:bCs/>
                <w:color w:val="C2680A"/>
                <w:sz w:val="20"/>
                <w:szCs w:val="20"/>
              </w:rPr>
              <w:t xml:space="preserve">3</w:t>
            </w:r>
          </w:p>
        </w:tc>
        <w:tc>
          <w:tcPr>
            <w:tcW w:type="dxa" w:w="2200"/>
            <w:tcBorders>
              <w:top w:val="single" w:color="E6E6E6" w:sz="4"/>
              <w:left w:val="single" w:color="E6E6E6" w:sz="4"/>
              <w:bottom w:val="single" w:color="E6E6E6" w:sz="4"/>
              <w:right w:val="single" w:color="E6E6E6" w:sz="4"/>
            </w:tcBorders>
            <w:shd w:fill="FAFAFA" w:val="clear"/>
            <w:tcMar>
              <w:top w:type="dxa" w:w="100"/>
              <w:left w:type="dxa" w:w="120"/>
              <w:bottom w:type="dxa" w:w="100"/>
              <w:right w:type="dxa" w:w="80"/>
            </w:tcMar>
          </w:tcPr>
          <w:p>
            <w:pPr>
              <w:spacing w:after="0"/>
            </w:pPr>
            <w:r>
              <w:rPr>
                <w:rFonts w:ascii="Calibri" w:cs="Calibri" w:eastAsia="Calibri" w:hAnsi="Calibri"/>
                <w:b/>
                <w:bCs/>
                <w:color w:val="1A2332"/>
                <w:sz w:val="20"/>
                <w:szCs w:val="20"/>
              </w:rPr>
              <w:t xml:space="preserve">Honest about cost</w:t>
            </w:r>
          </w:p>
        </w:tc>
        <w:tc>
          <w:tcPr>
            <w:tcW w:type="dxa" w:w="6106"/>
            <w:tcBorders>
              <w:top w:val="single" w:color="E6E6E6" w:sz="4"/>
              <w:left w:val="single" w:color="E6E6E6" w:sz="4"/>
              <w:bottom w:val="single" w:color="E6E6E6" w:sz="4"/>
              <w:right w:val="single" w:color="E6E6E6" w:sz="4"/>
            </w:tcBorders>
            <w:tcMar>
              <w:top w:type="dxa" w:w="100"/>
              <w:left w:type="dxa" w:w="120"/>
              <w:bottom w:type="dxa" w:w="100"/>
              <w:right w:type="dxa" w:w="100"/>
            </w:tcMar>
          </w:tcPr>
          <w:p>
            <w:pPr>
              <w:spacing w:after="0"/>
            </w:pPr>
            <w:r>
              <w:rPr>
                <w:rFonts w:ascii="Calibri" w:cs="Calibri" w:eastAsia="Calibri" w:hAnsi="Calibri"/>
                <w:b w:val="false"/>
                <w:bCs w:val="false"/>
                <w:color w:val="1A2332"/>
                <w:sz w:val="20"/>
                <w:szCs w:val="20"/>
              </w:rPr>
              <w:t xml:space="preserve">We never say "free." We quote the actual final price before the customer signs. That alone sets us apart from most of the market.</w:t>
            </w:r>
          </w:p>
        </w:tc>
      </w:tr>
      <w:tr>
        <w:tc>
          <w:tcPr>
            <w:tcW w:type="dxa" w:w="720"/>
            <w:tcBorders>
              <w:top w:val="single" w:color="E6E6E6" w:sz="4"/>
              <w:left w:val="single" w:color="E6E6E6" w:sz="4"/>
              <w:bottom w:val="single" w:color="E6E6E6" w:sz="4"/>
              <w:right w:val="single" w:color="E6E6E6" w:sz="4"/>
            </w:tcBorders>
            <w:shd w:fill="F5EBD9" w:val="clear"/>
            <w:tcMar>
              <w:top w:type="dxa" w:w="100"/>
              <w:left w:type="dxa" w:w="120"/>
              <w:bottom w:type="dxa" w:w="100"/>
              <w:right w:type="dxa" w:w="80"/>
            </w:tcMar>
          </w:tcPr>
          <w:p>
            <w:pPr>
              <w:spacing w:after="0"/>
            </w:pPr>
            <w:r>
              <w:rPr>
                <w:rFonts w:ascii="Calibri" w:cs="Calibri" w:eastAsia="Calibri" w:hAnsi="Calibri"/>
                <w:b/>
                <w:bCs/>
                <w:color w:val="C2680A"/>
                <w:sz w:val="20"/>
                <w:szCs w:val="20"/>
              </w:rPr>
              <w:t xml:space="preserve">4</w:t>
            </w:r>
          </w:p>
        </w:tc>
        <w:tc>
          <w:tcPr>
            <w:tcW w:type="dxa" w:w="2200"/>
            <w:tcBorders>
              <w:top w:val="single" w:color="E6E6E6" w:sz="4"/>
              <w:left w:val="single" w:color="E6E6E6" w:sz="4"/>
              <w:bottom w:val="single" w:color="E6E6E6" w:sz="4"/>
              <w:right w:val="single" w:color="E6E6E6" w:sz="4"/>
            </w:tcBorders>
            <w:shd w:fill="FAFAFA" w:val="clear"/>
            <w:tcMar>
              <w:top w:type="dxa" w:w="100"/>
              <w:left w:type="dxa" w:w="120"/>
              <w:bottom w:type="dxa" w:w="100"/>
              <w:right w:type="dxa" w:w="80"/>
            </w:tcMar>
          </w:tcPr>
          <w:p>
            <w:pPr>
              <w:spacing w:after="0"/>
            </w:pPr>
            <w:r>
              <w:rPr>
                <w:rFonts w:ascii="Calibri" w:cs="Calibri" w:eastAsia="Calibri" w:hAnsi="Calibri"/>
                <w:b/>
                <w:bCs/>
                <w:color w:val="1A2332"/>
                <w:sz w:val="20"/>
                <w:szCs w:val="20"/>
              </w:rPr>
              <w:t xml:space="preserve">Stacking explained</w:t>
            </w:r>
          </w:p>
        </w:tc>
        <w:tc>
          <w:tcPr>
            <w:tcW w:type="dxa" w:w="6106"/>
            <w:tcBorders>
              <w:top w:val="single" w:color="E6E6E6" w:sz="4"/>
              <w:left w:val="single" w:color="E6E6E6" w:sz="4"/>
              <w:bottom w:val="single" w:color="E6E6E6" w:sz="4"/>
              <w:right w:val="single" w:color="E6E6E6" w:sz="4"/>
            </w:tcBorders>
            <w:tcMar>
              <w:top w:type="dxa" w:w="100"/>
              <w:left w:type="dxa" w:w="120"/>
              <w:bottom w:type="dxa" w:w="100"/>
              <w:right w:type="dxa" w:w="100"/>
            </w:tcMar>
          </w:tcPr>
          <w:p>
            <w:pPr>
              <w:spacing w:after="0"/>
            </w:pPr>
            <w:r>
              <w:rPr>
                <w:rFonts w:ascii="Calibri" w:cs="Calibri" w:eastAsia="Calibri" w:hAnsi="Calibri"/>
                <w:b w:val="false"/>
                <w:bCs w:val="false"/>
                <w:color w:val="1A2332"/>
                <w:sz w:val="20"/>
                <w:szCs w:val="20"/>
              </w:rPr>
              <w:t xml:space="preserve">VEU + Solar Victoria + federal STCs can combine. No competitor explains this clearly. We own the story.</w:t>
            </w:r>
          </w:p>
        </w:tc>
      </w:tr>
      <w:tr>
        <w:tc>
          <w:tcPr>
            <w:tcW w:type="dxa" w:w="720"/>
            <w:tcBorders>
              <w:top w:val="single" w:color="E6E6E6" w:sz="4"/>
              <w:left w:val="single" w:color="E6E6E6" w:sz="4"/>
              <w:bottom w:val="single" w:color="E6E6E6" w:sz="4"/>
              <w:right w:val="single" w:color="E6E6E6" w:sz="4"/>
            </w:tcBorders>
            <w:shd w:fill="F5EBD9" w:val="clear"/>
            <w:tcMar>
              <w:top w:type="dxa" w:w="100"/>
              <w:left w:type="dxa" w:w="120"/>
              <w:bottom w:type="dxa" w:w="100"/>
              <w:right w:type="dxa" w:w="80"/>
            </w:tcMar>
          </w:tcPr>
          <w:p>
            <w:pPr>
              <w:spacing w:after="0"/>
            </w:pPr>
            <w:r>
              <w:rPr>
                <w:rFonts w:ascii="Calibri" w:cs="Calibri" w:eastAsia="Calibri" w:hAnsi="Calibri"/>
                <w:b/>
                <w:bCs/>
                <w:color w:val="C2680A"/>
                <w:sz w:val="20"/>
                <w:szCs w:val="20"/>
              </w:rPr>
              <w:t xml:space="preserve">5</w:t>
            </w:r>
          </w:p>
        </w:tc>
        <w:tc>
          <w:tcPr>
            <w:tcW w:type="dxa" w:w="2200"/>
            <w:tcBorders>
              <w:top w:val="single" w:color="E6E6E6" w:sz="4"/>
              <w:left w:val="single" w:color="E6E6E6" w:sz="4"/>
              <w:bottom w:val="single" w:color="E6E6E6" w:sz="4"/>
              <w:right w:val="single" w:color="E6E6E6" w:sz="4"/>
            </w:tcBorders>
            <w:shd w:fill="FAFAFA" w:val="clear"/>
            <w:tcMar>
              <w:top w:type="dxa" w:w="100"/>
              <w:left w:type="dxa" w:w="120"/>
              <w:bottom w:type="dxa" w:w="100"/>
              <w:right w:type="dxa" w:w="80"/>
            </w:tcMar>
          </w:tcPr>
          <w:p>
            <w:pPr>
              <w:spacing w:after="0"/>
            </w:pPr>
            <w:r>
              <w:rPr>
                <w:rFonts w:ascii="Calibri" w:cs="Calibri" w:eastAsia="Calibri" w:hAnsi="Calibri"/>
                <w:b/>
                <w:bCs/>
                <w:color w:val="1A2332"/>
                <w:sz w:val="20"/>
                <w:szCs w:val="20"/>
              </w:rPr>
              <w:t xml:space="preserve">Both audiences</w:t>
            </w:r>
          </w:p>
        </w:tc>
        <w:tc>
          <w:tcPr>
            <w:tcW w:type="dxa" w:w="6106"/>
            <w:tcBorders>
              <w:top w:val="single" w:color="E6E6E6" w:sz="4"/>
              <w:left w:val="single" w:color="E6E6E6" w:sz="4"/>
              <w:bottom w:val="single" w:color="E6E6E6" w:sz="4"/>
              <w:right w:val="single" w:color="E6E6E6" w:sz="4"/>
            </w:tcBorders>
            <w:tcMar>
              <w:top w:type="dxa" w:w="100"/>
              <w:left w:type="dxa" w:w="120"/>
              <w:bottom w:type="dxa" w:w="100"/>
              <w:right w:type="dxa" w:w="100"/>
            </w:tcMar>
          </w:tcPr>
          <w:p>
            <w:pPr>
              <w:spacing w:after="0"/>
            </w:pPr>
            <w:r>
              <w:rPr>
                <w:rFonts w:ascii="Calibri" w:cs="Calibri" w:eastAsia="Calibri" w:hAnsi="Calibri"/>
                <w:b w:val="false"/>
                <w:bCs w:val="false"/>
                <w:color w:val="1A2332"/>
                <w:sz w:val="20"/>
                <w:szCs w:val="20"/>
              </w:rPr>
              <w:t xml:space="preserve">The site works for households and for businesses — separate tones, separate journeys, neither treated as an afterthought.</w:t>
            </w:r>
          </w:p>
        </w:tc>
      </w:tr>
    </w:tbl>
    <w:p>
      <w:pPr>
        <w:spacing w:after="160"/>
      </w:pPr>
      <w:r>
        <w:t xml:space="preserve"/>
      </w:r>
    </w:p>
    <w:p>
      <w:pPr>
        <w:pStyle w:val="Heading2"/>
        <w:spacing w:after="140" w:before="280"/>
      </w:pPr>
      <w:r>
        <w:rPr>
          <w:rFonts w:ascii="Calibri" w:cs="Calibri" w:eastAsia="Calibri" w:hAnsi="Calibri"/>
          <w:b/>
          <w:bCs/>
          <w:color w:val="1A2332"/>
          <w:sz w:val="30"/>
          <w:szCs w:val="30"/>
        </w:rPr>
        <w:t xml:space="preserve">The eight market gaps the site exploits</w:t>
      </w:r>
    </w:p>
    <w:p>
      <w:pPr>
        <w:pStyle w:val="ListParagraph"/>
        <w:numPr>
          <w:ilvl w:val="0"/>
          <w:numId w:val="2"/>
        </w:numPr>
        <w:spacing w:after="80" w:line="300"/>
      </w:pPr>
      <w:r>
        <w:rPr>
          <w:rFonts w:ascii="Calibri" w:cs="Calibri" w:eastAsia="Calibri" w:hAnsi="Calibri"/>
          <w:sz w:val="22"/>
          <w:szCs w:val="22"/>
        </w:rPr>
        <w:t xml:space="preserve">Nobody explains the money mechanism — retailers pay, not the government. We do.</w:t>
      </w:r>
    </w:p>
    <w:p>
      <w:pPr>
        <w:pStyle w:val="ListParagraph"/>
        <w:numPr>
          <w:ilvl w:val="0"/>
          <w:numId w:val="2"/>
        </w:numPr>
        <w:spacing w:after="80" w:line="300"/>
      </w:pPr>
      <w:r>
        <w:rPr>
          <w:rFonts w:ascii="Calibri" w:cs="Calibri" w:eastAsia="Calibri" w:hAnsi="Calibri"/>
          <w:sz w:val="22"/>
          <w:szCs w:val="22"/>
        </w:rPr>
        <w:t xml:space="preserve">"Free" claims are non-compliant — we are honest. That is its own competitive position.</w:t>
      </w:r>
    </w:p>
    <w:p>
      <w:pPr>
        <w:pStyle w:val="ListParagraph"/>
        <w:numPr>
          <w:ilvl w:val="0"/>
          <w:numId w:val="2"/>
        </w:numPr>
        <w:spacing w:after="80" w:line="300"/>
      </w:pPr>
      <w:r>
        <w:rPr>
          <w:rFonts w:ascii="Calibri" w:cs="Calibri" w:eastAsia="Calibri" w:hAnsi="Calibri"/>
          <w:sz w:val="22"/>
          <w:szCs w:val="22"/>
        </w:rPr>
        <w:t xml:space="preserve">No competitor tells the full-chain story — we own it.</w:t>
      </w:r>
    </w:p>
    <w:p>
      <w:pPr>
        <w:pStyle w:val="ListParagraph"/>
        <w:numPr>
          <w:ilvl w:val="0"/>
          <w:numId w:val="2"/>
        </w:numPr>
        <w:spacing w:after="80" w:line="300"/>
      </w:pPr>
      <w:r>
        <w:rPr>
          <w:rFonts w:ascii="Calibri" w:cs="Calibri" w:eastAsia="Calibri" w:hAnsi="Calibri"/>
          <w:sz w:val="22"/>
          <w:szCs w:val="22"/>
        </w:rPr>
        <w:t xml:space="preserve">No eligibility checker exists in this market — we are building one.</w:t>
      </w:r>
    </w:p>
    <w:p>
      <w:pPr>
        <w:pStyle w:val="ListParagraph"/>
        <w:numPr>
          <w:ilvl w:val="0"/>
          <w:numId w:val="2"/>
        </w:numPr>
        <w:spacing w:after="80" w:line="300"/>
      </w:pPr>
      <w:r>
        <w:rPr>
          <w:rFonts w:ascii="Calibri" w:cs="Calibri" w:eastAsia="Calibri" w:hAnsi="Calibri"/>
          <w:sz w:val="22"/>
          <w:szCs w:val="22"/>
        </w:rPr>
        <w:t xml:space="preserve">Accreditation is underused as a proof point — we lead with it.</w:t>
      </w:r>
    </w:p>
    <w:p>
      <w:pPr>
        <w:pStyle w:val="ListParagraph"/>
        <w:numPr>
          <w:ilvl w:val="0"/>
          <w:numId w:val="2"/>
        </w:numPr>
        <w:spacing w:after="80" w:line="300"/>
      </w:pPr>
      <w:r>
        <w:rPr>
          <w:rFonts w:ascii="Calibri" w:cs="Calibri" w:eastAsia="Calibri" w:hAnsi="Calibri"/>
          <w:sz w:val="22"/>
          <w:szCs w:val="22"/>
        </w:rPr>
        <w:t xml:space="preserve">Stacking is unexplained — we explain it, and it is a powerful calculator hook in Phase 2.</w:t>
      </w:r>
    </w:p>
    <w:p>
      <w:pPr>
        <w:pStyle w:val="ListParagraph"/>
        <w:numPr>
          <w:ilvl w:val="0"/>
          <w:numId w:val="2"/>
        </w:numPr>
        <w:spacing w:after="80" w:line="300"/>
      </w:pPr>
      <w:r>
        <w:rPr>
          <w:rFonts w:ascii="Calibri" w:cs="Calibri" w:eastAsia="Calibri" w:hAnsi="Calibri"/>
          <w:sz w:val="22"/>
          <w:szCs w:val="22"/>
        </w:rPr>
        <w:t xml:space="preserve">No competitor serves both residential and commercial well — we do both deliberately.</w:t>
      </w:r>
    </w:p>
    <w:p>
      <w:pPr>
        <w:pStyle w:val="ListParagraph"/>
        <w:numPr>
          <w:ilvl w:val="0"/>
          <w:numId w:val="2"/>
        </w:numPr>
        <w:spacing w:after="80" w:line="300"/>
      </w:pPr>
      <w:r>
        <w:rPr>
          <w:rFonts w:ascii="Calibri" w:cs="Calibri" w:eastAsia="Calibri" w:hAnsi="Calibri"/>
          <w:sz w:val="22"/>
          <w:szCs w:val="22"/>
        </w:rPr>
        <w:t xml:space="preserve">No real commercial story exists in the market — we have one with the full C&amp;I page.</w:t>
      </w:r>
    </w:p>
    <w:p>
      <w:r>
        <w:br w:type="page"/>
      </w:r>
    </w:p>
    <w:p>
      <w:pPr>
        <w:pStyle w:val="Heading1"/>
        <w:pageBreakBefore/>
        <w:spacing w:after="200" w:before="360"/>
      </w:pPr>
      <w:r>
        <w:rPr>
          <w:rFonts w:ascii="Calibri" w:cs="Calibri" w:eastAsia="Calibri" w:hAnsi="Calibri"/>
          <w:b/>
          <w:bCs/>
          <w:color w:val="1A2332"/>
          <w:sz w:val="40"/>
          <w:szCs w:val="40"/>
        </w:rPr>
        <w:t xml:space="preserve">3 · What gets built — the sitemap</w:t>
      </w:r>
    </w:p>
    <w:p>
      <w:pPr>
        <w:spacing w:after="60" w:before="120"/>
      </w:pPr>
      <w:r>
        <w:rPr>
          <w:rFonts w:ascii="Calibri" w:cs="Calibri" w:eastAsia="Calibri" w:hAnsi="Calibri"/>
          <w:b/>
          <w:bCs/>
          <w:color w:val="C2680A"/>
          <w:spacing w:val="40"/>
          <w:sz w:val="18"/>
          <w:szCs w:val="18"/>
        </w:rPr>
        <w:t xml:space="preserve">WHAT SHIPS IN THE PROTOTYPE VS WHAT COMES LATER</w:t>
      </w:r>
    </w:p>
    <w:p>
      <w:pPr>
        <w:pStyle w:val="Heading2"/>
        <w:spacing w:after="140" w:before="280"/>
      </w:pPr>
      <w:r>
        <w:rPr>
          <w:rFonts w:ascii="Calibri" w:cs="Calibri" w:eastAsia="Calibri" w:hAnsi="Calibri"/>
          <w:b/>
          <w:bCs/>
          <w:color w:val="1A2332"/>
          <w:sz w:val="30"/>
          <w:szCs w:val="30"/>
        </w:rPr>
        <w:t xml:space="preserve">Pages in v1 (the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826"/>
      </w:tblGrid>
      <w:tr>
        <w:tc>
          <w:tcPr>
            <w:tcW w:type="dxa" w:w="2600"/>
            <w:tcBorders>
              <w:top w:val="single" w:color="1A2332" w:sz="4"/>
              <w:left w:val="single" w:color="1A2332" w:sz="4"/>
              <w:bottom w:val="single" w:color="1A2332" w:sz="4"/>
              <w:right w:val="single" w:color="1A2332" w:sz="4"/>
            </w:tcBorders>
            <w:shd w:fill="1A2332" w:val="clear"/>
            <w:tcMar>
              <w:top w:type="dxa" w:w="100"/>
              <w:left w:type="dxa" w:w="140"/>
              <w:bottom w:type="dxa" w:w="100"/>
              <w:right w:type="dxa" w:w="100"/>
            </w:tcMar>
          </w:tcPr>
          <w:p>
            <w:pPr>
              <w:spacing w:after="0"/>
            </w:pPr>
            <w:r>
              <w:rPr>
                <w:rFonts w:ascii="Calibri" w:cs="Calibri" w:eastAsia="Calibri" w:hAnsi="Calibri"/>
                <w:b/>
                <w:bCs/>
                <w:color w:val="FFFFFF"/>
                <w:sz w:val="20"/>
                <w:szCs w:val="20"/>
              </w:rPr>
              <w:t xml:space="preserve">Page</w:t>
            </w:r>
          </w:p>
        </w:tc>
        <w:tc>
          <w:tcPr>
            <w:tcW w:type="dxa" w:w="4600"/>
            <w:tcBorders>
              <w:top w:val="single" w:color="1A2332" w:sz="4"/>
              <w:left w:val="single" w:color="1A2332" w:sz="4"/>
              <w:bottom w:val="single" w:color="1A2332" w:sz="4"/>
              <w:right w:val="single" w:color="1A2332" w:sz="4"/>
            </w:tcBorders>
            <w:shd w:fill="1A2332" w:val="clear"/>
            <w:tcMar>
              <w:top w:type="dxa" w:w="100"/>
              <w:left w:type="dxa" w:w="140"/>
              <w:bottom w:type="dxa" w:w="100"/>
              <w:right w:type="dxa" w:w="100"/>
            </w:tcMar>
          </w:tcPr>
          <w:p>
            <w:pPr>
              <w:spacing w:after="0"/>
            </w:pPr>
            <w:r>
              <w:rPr>
                <w:rFonts w:ascii="Calibri" w:cs="Calibri" w:eastAsia="Calibri" w:hAnsi="Calibri"/>
                <w:b/>
                <w:bCs/>
                <w:color w:val="FFFFFF"/>
                <w:sz w:val="20"/>
                <w:szCs w:val="20"/>
              </w:rPr>
              <w:t xml:space="preserve">Purpose (one line)</w:t>
            </w:r>
          </w:p>
        </w:tc>
        <w:tc>
          <w:tcPr>
            <w:tcW w:type="dxa" w:w="1826"/>
            <w:tcBorders>
              <w:top w:val="single" w:color="1A2332" w:sz="4"/>
              <w:left w:val="single" w:color="1A2332" w:sz="4"/>
              <w:bottom w:val="single" w:color="1A2332" w:sz="4"/>
              <w:right w:val="single" w:color="1A2332" w:sz="4"/>
            </w:tcBorders>
            <w:shd w:fill="1A2332" w:val="clear"/>
            <w:tcMar>
              <w:top w:type="dxa" w:w="100"/>
              <w:left w:type="dxa" w:w="140"/>
              <w:bottom w:type="dxa" w:w="100"/>
              <w:right w:type="dxa" w:w="100"/>
            </w:tcMar>
          </w:tcPr>
          <w:p>
            <w:pPr>
              <w:spacing w:after="0"/>
            </w:pPr>
            <w:r>
              <w:rPr>
                <w:rFonts w:ascii="Calibri" w:cs="Calibri" w:eastAsia="Calibri" w:hAnsi="Calibri"/>
                <w:b/>
                <w:bCs/>
                <w:color w:val="FFFFFF"/>
                <w:sz w:val="20"/>
                <w:szCs w:val="20"/>
              </w:rPr>
              <w:t xml:space="preserve">Status</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Home</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Self-select page — homeowner or business — and route to the eligibility checker</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Locked</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How It Works</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Explain the money mechanism and the full-chain process</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Locked</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Check Eligibility</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The centrepiece — 6-step form that qualifies the lead and captures contact details</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Locked</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Residential hub</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Overview of all household upgrades, routes to individual pages</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Locked</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Solar (flagship)</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Richest upgrade page — residential + commercial split, stacking, full detail</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Locked</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Heat Pumps</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Standard upgrade page template — heating/cooling, VEU discount</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Locked</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Hot Water</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Standard template — urgency variant for failed-system replacements</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Locked</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Battery / Air Con / LED</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Stub pages — hero + short explainer + CTA. Expanded later.</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Dev choice</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Business / C&amp;I</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Commercial-audience page — ROI-led, "Book a site assessment" CTA</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Locked</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About / Why Us</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Accreditation-as-proof, full-chain advantage, trust signals</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Locked</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FAQ</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Categorised accordion — 20 questions with full answers</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Locked</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Contact</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Phone + form. Simple. Fast.</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Locked</w:t>
            </w:r>
          </w:p>
        </w:tc>
      </w:tr>
      <w:tr>
        <w:tc>
          <w:tcPr>
            <w:tcW w:type="dxa" w:w="2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Privacy / Terms</w:t>
            </w:r>
          </w:p>
        </w:tc>
        <w:tc>
          <w:tcPr>
            <w:tcW w:type="dxa" w:w="4600"/>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Structural placeholder — final copy to be supplied by you before launch</w:t>
            </w:r>
          </w:p>
        </w:tc>
        <w:tc>
          <w:tcPr>
            <w:tcW w:type="dxa" w:w="1826"/>
            <w:tcBorders>
              <w:top w:val="single" w:color="E6E6E6" w:sz="4"/>
              <w:left w:val="single" w:color="E6E6E6" w:sz="4"/>
              <w:bottom w:val="single" w:color="E6E6E6" w:sz="4"/>
              <w:right w:val="single" w:color="E6E6E6" w:sz="4"/>
            </w:tcBorders>
            <w:tcMar>
              <w:top w:type="dxa" w:w="100"/>
              <w:left w:type="dxa" w:w="140"/>
              <w:bottom w:type="dxa" w:w="100"/>
              <w:right w:type="dxa" w:w="100"/>
            </w:tcMar>
          </w:tcPr>
          <w:p>
            <w:pPr>
              <w:spacing w:after="0"/>
            </w:pPr>
            <w:r>
              <w:rPr>
                <w:rFonts w:ascii="Calibri" w:cs="Calibri" w:eastAsia="Calibri" w:hAnsi="Calibri"/>
                <w:color w:val="1A2332"/>
                <w:sz w:val="20"/>
                <w:szCs w:val="20"/>
              </w:rPr>
              <w:t xml:space="preserve">● Confirm</w:t>
            </w:r>
          </w:p>
        </w:tc>
      </w:tr>
    </w:tbl>
    <w:p>
      <w:pPr>
        <w:spacing w:after="200"/>
      </w:pPr>
      <w:r>
        <w:t xml:space="preserve"/>
      </w:r>
    </w:p>
    <w:p>
      <w:pPr>
        <w:pStyle w:val="Heading2"/>
        <w:spacing w:after="140" w:before="280"/>
      </w:pPr>
      <w:r>
        <w:rPr>
          <w:rFonts w:ascii="Calibri" w:cs="Calibri" w:eastAsia="Calibri" w:hAnsi="Calibri"/>
          <w:b/>
          <w:bCs/>
          <w:color w:val="1A2332"/>
          <w:sz w:val="30"/>
          <w:szCs w:val="30"/>
        </w:rPr>
        <w:t xml:space="preserve">What comes after the prototype (Phase 2)</w:t>
      </w:r>
    </w:p>
    <w:p>
      <w:pPr>
        <w:pStyle w:val="ListParagraph"/>
        <w:numPr>
          <w:ilvl w:val="0"/>
          <w:numId w:val="2"/>
        </w:numPr>
        <w:spacing w:after="80" w:line="300"/>
      </w:pPr>
      <w:r>
        <w:rPr>
          <w:rFonts w:ascii="Calibri" w:cs="Calibri" w:eastAsia="Calibri" w:hAnsi="Calibri"/>
          <w:sz w:val="22"/>
          <w:szCs w:val="22"/>
        </w:rPr>
        <w:t xml:space="preserve">Interactive stacking calculator — the Phase 2 version of the stacking explainer. The site is architected so it can be swapped in as one component.</w:t>
      </w:r>
    </w:p>
    <w:p>
      <w:pPr>
        <w:pStyle w:val="ListParagraph"/>
        <w:numPr>
          <w:ilvl w:val="0"/>
          <w:numId w:val="2"/>
        </w:numPr>
        <w:spacing w:after="80" w:line="300"/>
      </w:pPr>
      <w:r>
        <w:rPr>
          <w:rFonts w:ascii="Calibri" w:cs="Calibri" w:eastAsia="Calibri" w:hAnsi="Calibri"/>
          <w:sz w:val="22"/>
          <w:szCs w:val="22"/>
        </w:rPr>
        <w:t xml:space="preserve">Blog / resources section — the nav already has space reserved for it. Biggest organic growth lever post-launch.</w:t>
      </w:r>
    </w:p>
    <w:p>
      <w:pPr>
        <w:pStyle w:val="ListParagraph"/>
        <w:numPr>
          <w:ilvl w:val="0"/>
          <w:numId w:val="2"/>
        </w:numPr>
        <w:spacing w:after="80" w:line="300"/>
      </w:pPr>
      <w:r>
        <w:rPr>
          <w:rFonts w:ascii="Calibri" w:cs="Calibri" w:eastAsia="Calibri" w:hAnsi="Calibri"/>
          <w:sz w:val="22"/>
          <w:szCs w:val="22"/>
        </w:rPr>
        <w:t xml:space="preserve">Self-edit CMS — once edit volume grows past what the developer can turn around quickly, you get access to edit copy yourself.</w:t>
      </w:r>
    </w:p>
    <w:p>
      <w:pPr>
        <w:pStyle w:val="ListParagraph"/>
        <w:numPr>
          <w:ilvl w:val="0"/>
          <w:numId w:val="2"/>
        </w:numPr>
        <w:spacing w:after="80" w:line="300"/>
      </w:pPr>
      <w:r>
        <w:rPr>
          <w:rFonts w:ascii="Calibri" w:cs="Calibri" w:eastAsia="Calibri" w:hAnsi="Calibri"/>
          <w:sz w:val="22"/>
          <w:szCs w:val="22"/>
        </w:rPr>
        <w:t xml:space="preserve">Booking integration — so commercial leads can book a site assessment directly in the site, without going through the contact form.</w:t>
      </w:r>
    </w:p>
    <w:p>
      <w:pPr>
        <w:pStyle w:val="ListParagraph"/>
        <w:numPr>
          <w:ilvl w:val="0"/>
          <w:numId w:val="2"/>
        </w:numPr>
        <w:spacing w:after="80" w:line="300"/>
      </w:pPr>
      <w:r>
        <w:rPr>
          <w:rFonts w:ascii="Calibri" w:cs="Calibri" w:eastAsia="Calibri" w:hAnsi="Calibri"/>
          <w:sz w:val="22"/>
          <w:szCs w:val="22"/>
        </w:rPr>
        <w:t xml:space="preserve">Additional upgrade pages — Battery, Air Con, LED as full pages (vs stubs) once the template is proven.</w:t>
      </w:r>
    </w:p>
    <w:p>
      <w:r>
        <w:br w:type="page"/>
      </w:r>
    </w:p>
    <w:p>
      <w:pPr>
        <w:pStyle w:val="Heading1"/>
        <w:pageBreakBefore/>
        <w:spacing w:after="200" w:before="360"/>
      </w:pPr>
      <w:r>
        <w:rPr>
          <w:rFonts w:ascii="Calibri" w:cs="Calibri" w:eastAsia="Calibri" w:hAnsi="Calibri"/>
          <w:b/>
          <w:bCs/>
          <w:color w:val="1A2332"/>
          <w:sz w:val="40"/>
          <w:szCs w:val="40"/>
        </w:rPr>
        <w:t xml:space="preserve">4 · What each page will say — the short version</w:t>
      </w:r>
    </w:p>
    <w:p>
      <w:pPr>
        <w:spacing w:after="60" w:before="120"/>
      </w:pPr>
      <w:r>
        <w:rPr>
          <w:rFonts w:ascii="Calibri" w:cs="Calibri" w:eastAsia="Calibri" w:hAnsi="Calibri"/>
          <w:b/>
          <w:bCs/>
          <w:color w:val="C2680A"/>
          <w:spacing w:val="40"/>
          <w:sz w:val="18"/>
          <w:szCs w:val="18"/>
        </w:rPr>
        <w:t xml:space="preserve">ONE PARAGRAPH PER PAGE. THE FULL COPY IS IN PART 7 OF THE HANDOFF DOCUMENT.</w:t>
      </w:r>
    </w:p>
    <w:p>
      <w:pPr>
        <w:pStyle w:val="Heading2"/>
        <w:spacing w:after="140" w:before="280"/>
      </w:pPr>
      <w:r>
        <w:rPr>
          <w:rFonts w:ascii="Calibri" w:cs="Calibri" w:eastAsia="Calibri" w:hAnsi="Calibri"/>
          <w:b/>
          <w:bCs/>
          <w:color w:val="1A2332"/>
          <w:sz w:val="30"/>
          <w:szCs w:val="30"/>
        </w:rPr>
        <w:t xml:space="preserve">Home</w:t>
      </w:r>
    </w:p>
    <w:p>
      <w:pPr>
        <w:spacing w:after="120" w:line="300"/>
      </w:pPr>
      <w:r>
        <w:rPr>
          <w:rFonts w:ascii="Calibri" w:cs="Calibri" w:eastAsia="Calibri" w:hAnsi="Calibri"/>
          <w:sz w:val="22"/>
          <w:szCs w:val="22"/>
        </w:rPr>
        <w:t xml:space="preserve">The first thing the visitor does is pick a path: homeowner or business. Two tiles, can't be missed. Below that, a short explanation of the money mechanism ("where does the discount actually come from?"), a four-step "you do nothing" section, a grid of the six upgrades with indicative discounts, a stacking explainer, a trust strip, and a final CTA. Primary CTA everywhere: "Check my eligibility."</w:t>
      </w:r>
    </w:p>
    <w:p>
      <w:pPr>
        <w:pStyle w:val="Heading2"/>
        <w:spacing w:after="140" w:before="280"/>
      </w:pPr>
      <w:r>
        <w:rPr>
          <w:rFonts w:ascii="Calibri" w:cs="Calibri" w:eastAsia="Calibri" w:hAnsi="Calibri"/>
          <w:b/>
          <w:bCs/>
          <w:color w:val="1A2332"/>
          <w:sz w:val="30"/>
          <w:szCs w:val="30"/>
        </w:rPr>
        <w:t xml:space="preserve">How It Works</w:t>
      </w:r>
    </w:p>
    <w:p>
      <w:pPr>
        <w:spacing w:after="120" w:line="300"/>
      </w:pPr>
      <w:r>
        <w:rPr>
          <w:rFonts w:ascii="Calibri" w:cs="Calibri" w:eastAsia="Calibri" w:hAnsi="Calibri"/>
          <w:sz w:val="22"/>
          <w:szCs w:val="22"/>
        </w:rPr>
        <w:t xml:space="preserve">The only page on any site in this market that properly explains the VEU money trail — government sets the rules, retailers pay for certificates, that money funds the discount. Includes the "why it isn't free" section (honest, not apologetic), the stacking explainer in full, and a residential vs commercial timeline comparison. This page is what a sceptic reads before they call.</w:t>
      </w:r>
    </w:p>
    <w:p>
      <w:pPr>
        <w:pStyle w:val="Heading2"/>
        <w:spacing w:after="140" w:before="280"/>
      </w:pPr>
      <w:r>
        <w:rPr>
          <w:rFonts w:ascii="Calibri" w:cs="Calibri" w:eastAsia="Calibri" w:hAnsi="Calibri"/>
          <w:b/>
          <w:bCs/>
          <w:color w:val="1A2332"/>
          <w:sz w:val="30"/>
          <w:szCs w:val="30"/>
        </w:rPr>
        <w:t xml:space="preserve">Check Eligibility</w:t>
      </w:r>
    </w:p>
    <w:p>
      <w:pPr>
        <w:spacing w:after="120" w:line="300"/>
      </w:pPr>
      <w:r>
        <w:rPr>
          <w:rFonts w:ascii="Calibri" w:cs="Calibri" w:eastAsia="Calibri" w:hAnsi="Calibri"/>
          <w:sz w:val="22"/>
          <w:szCs w:val="22"/>
        </w:rPr>
        <w:t xml:space="preserve">Six steps: location (Victorian postcode), audience (homeowner or business), property/business type, upgrades of interest (multi-select), timing, contact details. Three result states: "you likely qualify," "let's talk — it's partial," "outside scope." All three capture the lead. Primary conversion action on the whole site.</w:t>
      </w:r>
    </w:p>
    <w:p>
      <w:pPr>
        <w:pStyle w:val="Heading2"/>
        <w:spacing w:after="140" w:before="280"/>
      </w:pPr>
      <w:r>
        <w:rPr>
          <w:rFonts w:ascii="Calibri" w:cs="Calibri" w:eastAsia="Calibri" w:hAnsi="Calibri"/>
          <w:b/>
          <w:bCs/>
          <w:color w:val="1A2332"/>
          <w:sz w:val="30"/>
          <w:szCs w:val="30"/>
        </w:rPr>
        <w:t xml:space="preserve">Residential hub</w:t>
      </w:r>
    </w:p>
    <w:p>
      <w:pPr>
        <w:spacing w:after="120" w:line="300"/>
      </w:pPr>
      <w:r>
        <w:rPr>
          <w:rFonts w:ascii="Calibri" w:cs="Calibri" w:eastAsia="Calibri" w:hAnsi="Calibri"/>
          <w:sz w:val="22"/>
          <w:szCs w:val="22"/>
        </w:rPr>
        <w:t xml:space="preserve">Landing pad for homeowners. Short hero, six upgrade tiles (each linking to its upgrade page), a condensed 4-step process, three proof points, and a link to the stacking explainer. This page is a hub — not a long read. Fast routing is the job.</w:t>
      </w:r>
    </w:p>
    <w:p>
      <w:pPr>
        <w:pStyle w:val="Heading2"/>
        <w:spacing w:after="140" w:before="280"/>
      </w:pPr>
      <w:r>
        <w:rPr>
          <w:rFonts w:ascii="Calibri" w:cs="Calibri" w:eastAsia="Calibri" w:hAnsi="Calibri"/>
          <w:b/>
          <w:bCs/>
          <w:color w:val="1A2332"/>
          <w:sz w:val="30"/>
          <w:szCs w:val="30"/>
        </w:rPr>
        <w:t xml:space="preserve">Solar — the flagship</w:t>
      </w:r>
    </w:p>
    <w:p>
      <w:pPr>
        <w:spacing w:after="120" w:line="300"/>
      </w:pPr>
      <w:r>
        <w:rPr>
          <w:rFonts w:ascii="Calibri" w:cs="Calibri" w:eastAsia="Calibri" w:hAnsi="Calibri"/>
          <w:sz w:val="22"/>
          <w:szCs w:val="22"/>
        </w:rPr>
        <w:t xml:space="preserve">The richest page on the site. Residential and commercial audiences split by a sticky tab — each sees different figures, different language, different CTAs. Covers: how much you can get (three stacked incentive layers), how it works for solar specifically, what we handle end-to-end, what goes on the roof (kit notes, brand TBC), solar-specific FAQ, and a final CTA that changes based on which audience tab is active.</w:t>
      </w:r>
    </w:p>
    <w:p>
      <w:pPr>
        <w:pStyle w:val="Heading2"/>
        <w:spacing w:after="140" w:before="280"/>
      </w:pPr>
      <w:r>
        <w:rPr>
          <w:rFonts w:ascii="Calibri" w:cs="Calibri" w:eastAsia="Calibri" w:hAnsi="Calibri"/>
          <w:b/>
          <w:bCs/>
          <w:color w:val="1A2332"/>
          <w:sz w:val="30"/>
          <w:szCs w:val="30"/>
        </w:rPr>
        <w:t xml:space="preserve">Heat Pumps</w:t>
      </w:r>
    </w:p>
    <w:p>
      <w:pPr>
        <w:spacing w:after="120" w:line="300"/>
      </w:pPr>
      <w:r>
        <w:rPr>
          <w:rFonts w:ascii="Calibri" w:cs="Calibri" w:eastAsia="Calibri" w:hAnsi="Calibri"/>
          <w:sz w:val="22"/>
          <w:szCs w:val="22"/>
        </w:rPr>
        <w:t xml:space="preserve">Opens with what a heat pump actually is — necessary because many visitors don't know, and some confuse heat-pump space heating with heat-pump hot water (disambiguation included). Covers the VEU discount, how the install works, what we install (brand TBC), and a short FAQ on cold-weather performance, noise, and ducted options.</w:t>
      </w:r>
    </w:p>
    <w:p>
      <w:pPr>
        <w:pStyle w:val="Heading2"/>
        <w:spacing w:after="140" w:before="280"/>
      </w:pPr>
      <w:r>
        <w:rPr>
          <w:rFonts w:ascii="Calibri" w:cs="Calibri" w:eastAsia="Calibri" w:hAnsi="Calibri"/>
          <w:b/>
          <w:bCs/>
          <w:color w:val="1A2332"/>
          <w:sz w:val="30"/>
          <w:szCs w:val="30"/>
        </w:rPr>
        <w:t xml:space="preserve">Hot Water</w:t>
      </w:r>
    </w:p>
    <w:p>
      <w:pPr>
        <w:spacing w:after="120" w:line="300"/>
      </w:pPr>
      <w:r>
        <w:rPr>
          <w:rFonts w:ascii="Calibri" w:cs="Calibri" w:eastAsia="Calibri" w:hAnsi="Calibri"/>
          <w:sz w:val="22"/>
          <w:szCs w:val="22"/>
        </w:rPr>
        <w:t xml:space="preserve">Same template as heat pumps, but with an urgency variant — many visitors arrive because their hot water system has just failed. The secondary CTA on this page dials the phone directly. Covers the running-cost improvement, the VEU discount, and a "how fast can you install?" FAQ answer.</w:t>
      </w:r>
    </w:p>
    <w:p>
      <w:pPr>
        <w:pStyle w:val="Heading2"/>
        <w:spacing w:after="140" w:before="280"/>
      </w:pPr>
      <w:r>
        <w:rPr>
          <w:rFonts w:ascii="Calibri" w:cs="Calibri" w:eastAsia="Calibri" w:hAnsi="Calibri"/>
          <w:b/>
          <w:bCs/>
          <w:color w:val="1A2332"/>
          <w:sz w:val="30"/>
          <w:szCs w:val="30"/>
        </w:rPr>
        <w:t xml:space="preserve">Business / Commercial &amp; Industrial</w:t>
      </w:r>
    </w:p>
    <w:p>
      <w:pPr>
        <w:spacing w:after="120" w:line="300"/>
      </w:pPr>
      <w:r>
        <w:rPr>
          <w:rFonts w:ascii="Calibri" w:cs="Calibri" w:eastAsia="Calibri" w:hAnsi="Calibri"/>
          <w:sz w:val="22"/>
          <w:szCs w:val="22"/>
        </w:rPr>
        <w:t xml:space="preserve">A different tone from every residential page — precise, ROI-led, credibility-first. Opens with a five-step commercial process (including the measurement-and-verification path). Has a heavier accreditation section (businesses ask compliance questions before price questions). Has a case studies slot (placeholder until you supply real projects). Primary CTA is "Book a site assessment," not "Check eligibility."</w:t>
      </w:r>
    </w:p>
    <w:p>
      <w:pPr>
        <w:pStyle w:val="Heading2"/>
        <w:spacing w:after="140" w:before="280"/>
      </w:pPr>
      <w:r>
        <w:rPr>
          <w:rFonts w:ascii="Calibri" w:cs="Calibri" w:eastAsia="Calibri" w:hAnsi="Calibri"/>
          <w:b/>
          <w:bCs/>
          <w:color w:val="1A2332"/>
          <w:sz w:val="30"/>
          <w:szCs w:val="30"/>
        </w:rPr>
        <w:t xml:space="preserve">About / Why Us</w:t>
      </w:r>
    </w:p>
    <w:p>
      <w:pPr>
        <w:spacing w:after="120" w:line="300"/>
      </w:pPr>
      <w:r>
        <w:rPr>
          <w:rFonts w:ascii="Calibri" w:cs="Calibri" w:eastAsia="Calibri" w:hAnsi="Calibri"/>
          <w:sz w:val="22"/>
          <w:szCs w:val="22"/>
        </w:rPr>
        <w:t xml:space="preserve">Built for the sceptic who has read everything else and still wants to verify the company is real. Leads with the accreditation story — the annual testing fact that no competitor uses as a proof point. Then the full-chain advantage (one diagram showing all five steps, what a typical competitor covers vs what we cover). Closes with reviews, program longevity note, and a CTA.</w:t>
      </w:r>
    </w:p>
    <w:p>
      <w:pPr>
        <w:pStyle w:val="Heading2"/>
        <w:spacing w:after="140" w:before="280"/>
      </w:pPr>
      <w:r>
        <w:rPr>
          <w:rFonts w:ascii="Calibri" w:cs="Calibri" w:eastAsia="Calibri" w:hAnsi="Calibri"/>
          <w:b/>
          <w:bCs/>
          <w:color w:val="1A2332"/>
          <w:sz w:val="30"/>
          <w:szCs w:val="30"/>
        </w:rPr>
        <w:t xml:space="preserve">FAQ</w:t>
      </w:r>
    </w:p>
    <w:p>
      <w:pPr>
        <w:spacing w:after="120" w:line="300"/>
      </w:pPr>
      <w:r>
        <w:rPr>
          <w:rFonts w:ascii="Calibri" w:cs="Calibri" w:eastAsia="Calibri" w:hAnsi="Calibri"/>
          <w:sz w:val="22"/>
          <w:szCs w:val="22"/>
        </w:rPr>
        <w:t xml:space="preserve">Twenty questions across five categories: money and eligibility, how it works, process and timelines, compliance and trust, and business-specific. Every question has an "in short" one-liner (always visible) and a full answer (expanded on click). Schema markup means Google can pull these into rich search results. Full Q&amp;A copy is in Appendix A of the handoff document.</w:t>
      </w:r>
    </w:p>
    <w:p>
      <w:pPr>
        <w:pStyle w:val="Heading2"/>
        <w:spacing w:after="140" w:before="280"/>
      </w:pPr>
      <w:r>
        <w:rPr>
          <w:rFonts w:ascii="Calibri" w:cs="Calibri" w:eastAsia="Calibri" w:hAnsi="Calibri"/>
          <w:b/>
          <w:bCs/>
          <w:color w:val="1A2332"/>
          <w:sz w:val="30"/>
          <w:szCs w:val="30"/>
        </w:rPr>
        <w:t xml:space="preserve">Contact</w:t>
      </w:r>
    </w:p>
    <w:p>
      <w:pPr>
        <w:spacing w:after="120" w:line="300"/>
      </w:pPr>
      <w:r>
        <w:rPr>
          <w:rFonts w:ascii="Calibri" w:cs="Calibri" w:eastAsia="Calibri" w:hAnsi="Calibri"/>
          <w:sz w:val="22"/>
          <w:szCs w:val="22"/>
        </w:rPr>
        <w:t xml:space="preserve">Phone number is the most important element on this page — large, clickable to dial on mobile. Form alongside it. Five fields. Business hours. Service area. A cross-link at the bottom for visitors who want to check eligibility before calling. Simple page, no distractions.</w:t>
      </w:r>
    </w:p>
    <w:p>
      <w:r>
        <w:br w:type="page"/>
      </w:r>
    </w:p>
    <w:p>
      <w:pPr>
        <w:pStyle w:val="Heading1"/>
        <w:pageBreakBefore/>
        <w:spacing w:after="200" w:before="360"/>
      </w:pPr>
      <w:r>
        <w:rPr>
          <w:rFonts w:ascii="Calibri" w:cs="Calibri" w:eastAsia="Calibri" w:hAnsi="Calibri"/>
          <w:b/>
          <w:bCs/>
          <w:color w:val="1A2332"/>
          <w:sz w:val="40"/>
          <w:szCs w:val="40"/>
        </w:rPr>
        <w:t xml:space="preserve">5 · The tech — what the developer is building</w:t>
      </w:r>
    </w:p>
    <w:p>
      <w:pPr>
        <w:spacing w:after="60" w:before="120"/>
      </w:pPr>
      <w:r>
        <w:rPr>
          <w:rFonts w:ascii="Calibri" w:cs="Calibri" w:eastAsia="Calibri" w:hAnsi="Calibri"/>
          <w:b/>
          <w:bCs/>
          <w:color w:val="C2680A"/>
          <w:spacing w:val="40"/>
          <w:sz w:val="18"/>
          <w:szCs w:val="18"/>
        </w:rPr>
        <w:t xml:space="preserve">YOU DO NOT NEED TO APPROVE THE STACK — THAT IS THE DEVELOPER'S CALL. BUT KNOWING THE SHAPE HELPS.</w:t>
      </w:r>
    </w:p>
    <w:p>
      <w:pPr>
        <w:spacing w:after="120" w:line="300"/>
      </w:pPr>
      <w:r>
        <w:rPr>
          <w:rFonts w:ascii="Calibri" w:cs="Calibri" w:eastAsia="Calibri" w:hAnsi="Calibri"/>
          <w:sz w:val="22"/>
          <w:szCs w:val="22"/>
        </w:rPr>
        <w:t xml:space="preserve">The recommendation in the handoff document is Next.js (a popular web framework) with TypeScript, Tailwind CSS for styling, and Vercel for hosting. These are sensible, well-supported defaults. The developer can make a different call if they have good reason — the document notes this is their discretion.</w:t>
      </w:r>
    </w:p>
    <w:p>
      <w:pPr>
        <w:pStyle w:val="Heading2"/>
        <w:spacing w:after="140" w:before="280"/>
      </w:pPr>
      <w:r>
        <w:rPr>
          <w:rFonts w:ascii="Calibri" w:cs="Calibri" w:eastAsia="Calibri" w:hAnsi="Calibri"/>
          <w:b/>
          <w:bCs/>
          <w:color w:val="1A2332"/>
          <w:sz w:val="30"/>
          <w:szCs w:val="30"/>
        </w:rPr>
        <w:t xml:space="preserve">The two architecture rules that matter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5582" w:sz="6"/>
              <w:left w:val="single" w:color="1F5582" w:sz="1"/>
              <w:bottom w:val="single" w:color="1F5582" w:sz="1"/>
              <w:right w:val="single" w:color="1F5582" w:sz="1"/>
            </w:tcBorders>
            <w:shd w:fill="EAF2F8" w:val="clear"/>
            <w:tcMar>
              <w:top w:type="dxa" w:w="160"/>
              <w:left w:type="dxa" w:w="200"/>
              <w:bottom w:type="dxa" w:w="160"/>
              <w:right w:type="dxa" w:w="200"/>
            </w:tcMar>
          </w:tcPr>
          <w:p>
            <w:pPr>
              <w:spacing w:after="100"/>
            </w:pPr>
            <w:r>
              <w:rPr>
                <w:rFonts w:ascii="Calibri" w:cs="Calibri" w:eastAsia="Calibri" w:hAnsi="Calibri"/>
                <w:b/>
                <w:bCs/>
                <w:color w:val="1A2332"/>
                <w:sz w:val="22"/>
                <w:szCs w:val="22"/>
              </w:rPr>
              <w:t xml:space="preserve">Rule — every section is a swappable block</w:t>
            </w:r>
          </w:p>
          <w:p>
            <w:pPr>
              <w:pStyle w:val="ListParagraph"/>
              <w:numPr>
                <w:ilvl w:val="0"/>
                <w:numId w:val="2"/>
              </w:numPr>
              <w:spacing w:after="80" w:line="300"/>
            </w:pPr>
            <w:r>
              <w:rPr>
                <w:rFonts w:ascii="Calibri" w:cs="Calibri" w:eastAsia="Calibri" w:hAnsi="Calibri"/>
                <w:sz w:val="22"/>
                <w:szCs w:val="22"/>
              </w:rPr>
              <w:t xml:space="preserve">Every section of every page is built as an independent component, like a Lego brick.</w:t>
            </w:r>
          </w:p>
          <w:p>
            <w:pPr>
              <w:pStyle w:val="ListParagraph"/>
              <w:numPr>
                <w:ilvl w:val="0"/>
                <w:numId w:val="2"/>
              </w:numPr>
              <w:spacing w:after="80" w:line="300"/>
            </w:pPr>
            <w:r>
              <w:rPr>
                <w:rFonts w:ascii="Calibri" w:cs="Calibri" w:eastAsia="Calibri" w:hAnsi="Calibri"/>
                <w:sz w:val="22"/>
                <w:szCs w:val="22"/>
              </w:rPr>
              <w:t xml:space="preserve">This means: if you want to reorder a section, drop a section, or replace the stacking explainer with a calculator later — that is a small job, not a refactor.</w:t>
            </w:r>
          </w:p>
          <w:p>
            <w:pPr>
              <w:pStyle w:val="ListParagraph"/>
              <w:numPr>
                <w:ilvl w:val="0"/>
                <w:numId w:val="2"/>
              </w:numPr>
              <w:spacing w:after="80" w:line="300"/>
            </w:pPr>
            <w:r>
              <w:rPr>
                <w:rFonts w:ascii="Calibri" w:cs="Calibri" w:eastAsia="Calibri" w:hAnsi="Calibri"/>
                <w:sz w:val="22"/>
                <w:szCs w:val="22"/>
              </w:rPr>
              <w:t xml:space="preserve">If the developer shows you a prototype and sections are buried inside each other and can't be moved independently — push back on this.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5582" w:sz="6"/>
              <w:left w:val="single" w:color="1F5582" w:sz="1"/>
              <w:bottom w:val="single" w:color="1F5582" w:sz="1"/>
              <w:right w:val="single" w:color="1F5582" w:sz="1"/>
            </w:tcBorders>
            <w:shd w:fill="EAF2F8" w:val="clear"/>
            <w:tcMar>
              <w:top w:type="dxa" w:w="160"/>
              <w:left w:type="dxa" w:w="200"/>
              <w:bottom w:type="dxa" w:w="160"/>
              <w:right w:type="dxa" w:w="200"/>
            </w:tcMar>
          </w:tcPr>
          <w:p>
            <w:pPr>
              <w:spacing w:after="100"/>
            </w:pPr>
            <w:r>
              <w:rPr>
                <w:rFonts w:ascii="Calibri" w:cs="Calibri" w:eastAsia="Calibri" w:hAnsi="Calibri"/>
                <w:b/>
                <w:bCs/>
                <w:color w:val="1A2332"/>
                <w:sz w:val="22"/>
                <w:szCs w:val="22"/>
              </w:rPr>
              <w:t xml:space="preserve">Rule — all dollar figures come from one config file</w:t>
            </w:r>
          </w:p>
          <w:p>
            <w:pPr>
              <w:pStyle w:val="ListParagraph"/>
              <w:numPr>
                <w:ilvl w:val="0"/>
                <w:numId w:val="2"/>
              </w:numPr>
              <w:spacing w:after="80" w:line="300"/>
            </w:pPr>
            <w:r>
              <w:rPr>
                <w:rFonts w:ascii="Calibri" w:cs="Calibri" w:eastAsia="Calibri" w:hAnsi="Calibri"/>
                <w:sz w:val="22"/>
                <w:szCs w:val="22"/>
              </w:rPr>
              <w:t xml:space="preserve">Every single dollar figure on the site — VEU discount amounts, Solar Victoria amounts, STC values — lives in one file: rebate-figures.ts.</w:t>
            </w:r>
          </w:p>
          <w:p>
            <w:pPr>
              <w:pStyle w:val="ListParagraph"/>
              <w:numPr>
                <w:ilvl w:val="0"/>
                <w:numId w:val="2"/>
              </w:numPr>
              <w:spacing w:after="80" w:line="300"/>
            </w:pPr>
            <w:r>
              <w:rPr>
                <w:rFonts w:ascii="Calibri" w:cs="Calibri" w:eastAsia="Calibri" w:hAnsi="Calibri"/>
                <w:sz w:val="22"/>
                <w:szCs w:val="22"/>
              </w:rPr>
              <w:t xml:space="preserve">When those figures change (and they will), the developer edits that one file and it updates everywhere automatically.</w:t>
            </w:r>
          </w:p>
          <w:p>
            <w:pPr>
              <w:pStyle w:val="ListParagraph"/>
              <w:numPr>
                <w:ilvl w:val="0"/>
                <w:numId w:val="2"/>
              </w:numPr>
              <w:spacing w:after="80" w:line="300"/>
            </w:pPr>
            <w:r>
              <w:rPr>
                <w:rFonts w:ascii="Calibri" w:cs="Calibri" w:eastAsia="Calibri" w:hAnsi="Calibri"/>
                <w:sz w:val="22"/>
                <w:szCs w:val="22"/>
              </w:rPr>
              <w:t xml:space="preserve">No figure should ever be hardcoded into a page. If you see hardcoded "$X,XXX" numbers in the markup, ask the developer to move them to the config.</w:t>
            </w:r>
          </w:p>
        </w:tc>
      </w:tr>
    </w:tbl>
    <w:p>
      <w:pPr>
        <w:pStyle w:val="Heading2"/>
        <w:spacing w:after="140" w:before="280"/>
      </w:pPr>
      <w:r>
        <w:rPr>
          <w:rFonts w:ascii="Calibri" w:cs="Calibri" w:eastAsia="Calibri" w:hAnsi="Calibri"/>
          <w:b/>
          <w:bCs/>
          <w:color w:val="1A2332"/>
          <w:sz w:val="30"/>
          <w:szCs w:val="30"/>
        </w:rPr>
        <w:t xml:space="preserve">The eligibility checker — the most complex piece</w:t>
      </w:r>
    </w:p>
    <w:p>
      <w:pPr>
        <w:spacing w:after="120" w:line="300"/>
      </w:pPr>
      <w:r>
        <w:rPr>
          <w:rFonts w:ascii="Calibri" w:cs="Calibri" w:eastAsia="Calibri" w:hAnsi="Calibri"/>
          <w:sz w:val="22"/>
          <w:szCs w:val="22"/>
        </w:rPr>
        <w:t xml:space="preserve">Six steps, branching based on whether the visitor is a homeowner or a business. Three result states. All lead captures go to the lead destination you specify (email, CRM, or spreadsheet — this is open item #2 below). The form is spam-proofed without a CAPTCHA: a hidden field bots fill in, a timing gate, and a rate limit.</w:t>
      </w:r>
    </w:p>
    <w:p>
      <w:pPr>
        <w:pStyle w:val="Heading2"/>
        <w:spacing w:after="140" w:before="280"/>
      </w:pPr>
      <w:r>
        <w:rPr>
          <w:rFonts w:ascii="Calibri" w:cs="Calibri" w:eastAsia="Calibri" w:hAnsi="Calibri"/>
          <w:b/>
          <w:bCs/>
          <w:color w:val="1A2332"/>
          <w:sz w:val="30"/>
          <w:szCs w:val="30"/>
        </w:rPr>
        <w:t xml:space="preserve">Performance targets</w:t>
      </w:r>
    </w:p>
    <w:p>
      <w:pPr>
        <w:spacing w:after="120" w:line="300"/>
      </w:pPr>
      <w:r>
        <w:rPr>
          <w:rFonts w:ascii="Calibri" w:cs="Calibri" w:eastAsia="Calibri" w:hAnsi="Calibri"/>
          <w:sz w:val="22"/>
          <w:szCs w:val="22"/>
        </w:rPr>
        <w:t xml:space="preserve">The handoff document specifies concrete targets: the main content loads in under 2.5 seconds on a phone, Lighthouse mobile performance score of 90 or above. These are standard for a site of this type and are achievable with the recommended stack. Ask the developer to show you Lighthouse scores at the prototype review.</w:t>
      </w:r>
    </w:p>
    <w:p>
      <w:r>
        <w:br w:type="page"/>
      </w:r>
    </w:p>
    <w:p>
      <w:pPr>
        <w:pStyle w:val="Heading1"/>
        <w:pageBreakBefore/>
        <w:spacing w:after="200" w:before="360"/>
      </w:pPr>
      <w:r>
        <w:rPr>
          <w:rFonts w:ascii="Calibri" w:cs="Calibri" w:eastAsia="Calibri" w:hAnsi="Calibri"/>
          <w:b/>
          <w:bCs/>
          <w:color w:val="1A2332"/>
          <w:sz w:val="40"/>
          <w:szCs w:val="40"/>
        </w:rPr>
        <w:t xml:space="preserve">6 · What you need to supply — open items</w:t>
      </w:r>
    </w:p>
    <w:p>
      <w:pPr>
        <w:spacing w:after="60" w:before="120"/>
      </w:pPr>
      <w:r>
        <w:rPr>
          <w:rFonts w:ascii="Calibri" w:cs="Calibri" w:eastAsia="Calibri" w:hAnsi="Calibri"/>
          <w:b/>
          <w:bCs/>
          <w:color w:val="C2680A"/>
          <w:spacing w:val="40"/>
          <w:sz w:val="18"/>
          <w:szCs w:val="18"/>
        </w:rPr>
        <w:t xml:space="preserve">FIFTEEN ITEMS. SOME ARE NEEDED BEFORE THE DEVELOPER STARTS. SOME CAN WAIT UNTIL LAUNCH. NONE ARE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2680A" w:sz="6"/>
              <w:left w:val="single" w:color="C2680A" w:sz="1"/>
              <w:bottom w:val="single" w:color="C2680A" w:sz="1"/>
              <w:right w:val="single" w:color="C2680A" w:sz="1"/>
            </w:tcBorders>
            <w:shd w:fill="FBF1E0" w:val="clear"/>
            <w:tcMar>
              <w:top w:type="dxa" w:w="160"/>
              <w:left w:type="dxa" w:w="200"/>
              <w:bottom w:type="dxa" w:w="160"/>
              <w:right w:type="dxa" w:w="200"/>
            </w:tcMar>
          </w:tcPr>
          <w:p>
            <w:pPr>
              <w:spacing w:after="100"/>
            </w:pPr>
            <w:r>
              <w:rPr>
                <w:rFonts w:ascii="Calibri" w:cs="Calibri" w:eastAsia="Calibri" w:hAnsi="Calibri"/>
                <w:b/>
                <w:bCs/>
                <w:color w:val="1A2332"/>
                <w:sz w:val="22"/>
                <w:szCs w:val="22"/>
              </w:rPr>
              <w:t xml:space="preserve">The four most important items</w:t>
            </w:r>
          </w:p>
          <w:p>
            <w:pPr>
              <w:pStyle w:val="ListParagraph"/>
              <w:numPr>
                <w:ilvl w:val="0"/>
                <w:numId w:val="2"/>
              </w:numPr>
              <w:spacing w:after="80" w:line="300"/>
            </w:pPr>
            <w:r>
              <w:rPr>
                <w:rFonts w:ascii="Calibri" w:cs="Calibri" w:eastAsia="Calibri" w:hAnsi="Calibri"/>
                <w:sz w:val="22"/>
                <w:szCs w:val="22"/>
              </w:rPr>
              <w:t xml:space="preserve">Item 1 — Brand assets (logo, colours, fonts). The developer cannot finalise the visual design without these.</w:t>
            </w:r>
          </w:p>
          <w:p>
            <w:pPr>
              <w:pStyle w:val="ListParagraph"/>
              <w:numPr>
                <w:ilvl w:val="0"/>
                <w:numId w:val="2"/>
              </w:numPr>
              <w:spacing w:after="80" w:line="300"/>
            </w:pPr>
            <w:r>
              <w:rPr>
                <w:rFonts w:ascii="Calibri" w:cs="Calibri" w:eastAsia="Calibri" w:hAnsi="Calibri"/>
                <w:sz w:val="22"/>
                <w:szCs w:val="22"/>
              </w:rPr>
              <w:t xml:space="preserve">Item 2 — Lead destination. Where do leads go when someone submits the eligibility form or contact form? Email address? CRM? This needs to be set up before the developer can wire the forms.</w:t>
            </w:r>
          </w:p>
          <w:p>
            <w:pPr>
              <w:pStyle w:val="ListParagraph"/>
              <w:numPr>
                <w:ilvl w:val="0"/>
                <w:numId w:val="2"/>
              </w:numPr>
              <w:spacing w:after="80" w:line="300"/>
            </w:pPr>
            <w:r>
              <w:rPr>
                <w:rFonts w:ascii="Calibri" w:cs="Calibri" w:eastAsia="Calibri" w:hAnsi="Calibri"/>
                <w:sz w:val="22"/>
                <w:szCs w:val="22"/>
              </w:rPr>
              <w:t xml:space="preserve">Item 4 — Indicative rebate figures. Every upgrade page has "$●" placeholders. You need to supply current indicative values for each upgrade type. Ask your account manager if you do not have these.</w:t>
            </w:r>
          </w:p>
          <w:p>
            <w:pPr>
              <w:pStyle w:val="ListParagraph"/>
              <w:numPr>
                <w:ilvl w:val="0"/>
                <w:numId w:val="2"/>
              </w:numPr>
              <w:spacing w:after="80" w:line="300"/>
            </w:pPr>
            <w:r>
              <w:rPr>
                <w:rFonts w:ascii="Calibri" w:cs="Calibri" w:eastAsia="Calibri" w:hAnsi="Calibri"/>
                <w:sz w:val="22"/>
                <w:szCs w:val="22"/>
              </w:rPr>
              <w:t xml:space="preserve">Item 5 — Social proof. The home page, about page, and business page all have testimonial and case-study slots. If you have customer reviews you can use, supply them. If not, the prototype ships with placeholder cards.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3100"/>
        <w:gridCol w:w="1600"/>
        <w:gridCol w:w="1600"/>
        <w:gridCol w:w="2286"/>
      </w:tblGrid>
      <w:tr>
        <w:tc>
          <w:tcPr>
            <w:tcW w:type="dxa" w:w="440"/>
            <w:tcBorders>
              <w:top w:val="single" w:color="1A2332" w:sz="4"/>
              <w:left w:val="single" w:color="1A2332" w:sz="4"/>
              <w:bottom w:val="single" w:color="1A2332" w:sz="4"/>
              <w:right w:val="single" w:color="1A2332" w:sz="4"/>
            </w:tcBorders>
            <w:shd w:fill="1A2332" w:val="clear"/>
            <w:tcMar>
              <w:top w:type="dxa" w:w="100"/>
              <w:left w:type="dxa" w:w="120"/>
              <w:bottom w:type="dxa" w:w="100"/>
              <w:right w:type="dxa" w:w="80"/>
            </w:tcMar>
          </w:tcPr>
          <w:p>
            <w:pPr>
              <w:spacing w:after="0"/>
            </w:pPr>
            <w:r>
              <w:rPr>
                <w:rFonts w:ascii="Calibri" w:cs="Calibri" w:eastAsia="Calibri" w:hAnsi="Calibri"/>
                <w:b/>
                <w:bCs/>
                <w:color w:val="FFFFFF"/>
                <w:sz w:val="18"/>
                <w:szCs w:val="18"/>
              </w:rPr>
              <w:t xml:space="preserve">#</w:t>
            </w:r>
          </w:p>
        </w:tc>
        <w:tc>
          <w:tcPr>
            <w:tcW w:type="dxa" w:w="3100"/>
            <w:tcBorders>
              <w:top w:val="single" w:color="1A2332" w:sz="4"/>
              <w:left w:val="single" w:color="1A2332" w:sz="4"/>
              <w:bottom w:val="single" w:color="1A2332" w:sz="4"/>
              <w:right w:val="single" w:color="1A2332" w:sz="4"/>
            </w:tcBorders>
            <w:shd w:fill="1A2332" w:val="clear"/>
            <w:tcMar>
              <w:top w:type="dxa" w:w="100"/>
              <w:left w:type="dxa" w:w="120"/>
              <w:bottom w:type="dxa" w:w="100"/>
              <w:right w:type="dxa" w:w="80"/>
            </w:tcMar>
          </w:tcPr>
          <w:p>
            <w:pPr>
              <w:spacing w:after="0"/>
            </w:pPr>
            <w:r>
              <w:rPr>
                <w:rFonts w:ascii="Calibri" w:cs="Calibri" w:eastAsia="Calibri" w:hAnsi="Calibri"/>
                <w:b/>
                <w:bCs/>
                <w:color w:val="FFFFFF"/>
                <w:sz w:val="18"/>
                <w:szCs w:val="18"/>
              </w:rPr>
              <w:t xml:space="preserve">What it is</w:t>
            </w:r>
          </w:p>
        </w:tc>
        <w:tc>
          <w:tcPr>
            <w:tcW w:type="dxa" w:w="1600"/>
            <w:tcBorders>
              <w:top w:val="single" w:color="1A2332" w:sz="4"/>
              <w:left w:val="single" w:color="1A2332" w:sz="4"/>
              <w:bottom w:val="single" w:color="1A2332" w:sz="4"/>
              <w:right w:val="single" w:color="1A2332" w:sz="4"/>
            </w:tcBorders>
            <w:shd w:fill="1A2332" w:val="clear"/>
            <w:tcMar>
              <w:top w:type="dxa" w:w="100"/>
              <w:left w:type="dxa" w:w="120"/>
              <w:bottom w:type="dxa" w:w="100"/>
              <w:right w:type="dxa" w:w="80"/>
            </w:tcMar>
          </w:tcPr>
          <w:p>
            <w:pPr>
              <w:spacing w:after="0"/>
            </w:pPr>
            <w:r>
              <w:rPr>
                <w:rFonts w:ascii="Calibri" w:cs="Calibri" w:eastAsia="Calibri" w:hAnsi="Calibri"/>
                <w:b/>
                <w:bCs/>
                <w:color w:val="FFFFFF"/>
                <w:sz w:val="18"/>
                <w:szCs w:val="18"/>
              </w:rPr>
              <w:t xml:space="preserve">Needed before…</w:t>
            </w:r>
          </w:p>
        </w:tc>
        <w:tc>
          <w:tcPr>
            <w:tcW w:type="dxa" w:w="1600"/>
            <w:tcBorders>
              <w:top w:val="single" w:color="1A2332" w:sz="4"/>
              <w:left w:val="single" w:color="1A2332" w:sz="4"/>
              <w:bottom w:val="single" w:color="1A2332" w:sz="4"/>
              <w:right w:val="single" w:color="1A2332" w:sz="4"/>
            </w:tcBorders>
            <w:shd w:fill="1A2332" w:val="clear"/>
            <w:tcMar>
              <w:top w:type="dxa" w:w="100"/>
              <w:left w:type="dxa" w:w="120"/>
              <w:bottom w:type="dxa" w:w="100"/>
              <w:right w:type="dxa" w:w="80"/>
            </w:tcMar>
          </w:tcPr>
          <w:p>
            <w:pPr>
              <w:spacing w:after="0"/>
            </w:pPr>
            <w:r>
              <w:rPr>
                <w:rFonts w:ascii="Calibri" w:cs="Calibri" w:eastAsia="Calibri" w:hAnsi="Calibri"/>
                <w:b/>
                <w:bCs/>
                <w:color w:val="FFFFFF"/>
                <w:sz w:val="18"/>
                <w:szCs w:val="18"/>
              </w:rPr>
              <w:t xml:space="preserve">Owner</w:t>
            </w:r>
          </w:p>
        </w:tc>
        <w:tc>
          <w:tcPr>
            <w:tcW w:type="dxa" w:w="2286"/>
            <w:tcBorders>
              <w:top w:val="single" w:color="1A2332" w:sz="4"/>
              <w:left w:val="single" w:color="1A2332" w:sz="4"/>
              <w:bottom w:val="single" w:color="1A2332" w:sz="4"/>
              <w:right w:val="single" w:color="1A2332" w:sz="4"/>
            </w:tcBorders>
            <w:shd w:fill="1A2332" w:val="clear"/>
            <w:tcMar>
              <w:top w:type="dxa" w:w="100"/>
              <w:left w:type="dxa" w:w="120"/>
              <w:bottom w:type="dxa" w:w="100"/>
              <w:right w:type="dxa" w:w="80"/>
            </w:tcMar>
          </w:tcPr>
          <w:p>
            <w:pPr>
              <w:spacing w:after="0"/>
            </w:pPr>
            <w:r>
              <w:rPr>
                <w:rFonts w:ascii="Calibri" w:cs="Calibri" w:eastAsia="Calibri" w:hAnsi="Calibri"/>
                <w:b/>
                <w:bCs/>
                <w:color w:val="FFFFFF"/>
                <w:sz w:val="18"/>
                <w:szCs w:val="18"/>
              </w:rPr>
              <w:t xml:space="preserve">Default until supplied</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1</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Brand assets (logo, colours, fonts)</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Dev starts</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Neutral placeholder</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2</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Lead destination (email / CRM / etc)</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Dev starts</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Email + log only</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3</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Phone, email, business hours, service area</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Prototype review</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Visible ● placeholders</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4</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Indicative rebate figures per upgrade</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Prototype review</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 in config file</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5</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Social proof (reviews, testimonials)</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Prototype review</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Placeholder cards</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6</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Final Privacy Policy &amp; Terms copy</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Launch</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 + counsel</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Structural placeholder</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7</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AP registration number, accreditation badge</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Prototype review</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Generic pill placeholder</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8</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Tech stack confirmation</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Dev starts</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Developer</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Next.js + Tailwind</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9</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Which upgrade pages ship in v1</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Dev starts</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 + developer</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Solar, Heat Pumps, Hot Water</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10</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Analytics / tracking IDs</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Launch</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No tracking in prototype</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11</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Hosting provider</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Dev starts</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Developer</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Vercel recommended</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12</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Domain name</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Launch</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Preview URL until then</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13</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Accreditation badge image (official)</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Prototype review</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Generic placeholder badge</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14</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Voice &amp; copy approval (Part 4 of full doc)</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Before dev writes anything</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Draft copy as written</w:t>
            </w:r>
          </w:p>
        </w:tc>
      </w:tr>
      <w:tr>
        <w:tc>
          <w:tcPr>
            <w:tcW w:type="dxa" w:w="44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15</w:t>
            </w:r>
          </w:p>
        </w:tc>
        <w:tc>
          <w:tcPr>
            <w:tcW w:type="dxa" w:w="31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Business + commercial case studies</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Before launch</w:t>
            </w:r>
          </w:p>
        </w:tc>
        <w:tc>
          <w:tcPr>
            <w:tcW w:type="dxa" w:w="1600"/>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You</w:t>
            </w:r>
          </w:p>
        </w:tc>
        <w:tc>
          <w:tcPr>
            <w:tcW w:type="dxa" w:w="2286"/>
            <w:tcBorders>
              <w:top w:val="single" w:color="E6E6E6" w:sz="4"/>
              <w:left w:val="single" w:color="E6E6E6" w:sz="4"/>
              <w:bottom w:val="single" w:color="E6E6E6" w:sz="4"/>
              <w:right w:val="single" w:color="E6E6E6" w:sz="4"/>
            </w:tcBorders>
            <w:tcMar>
              <w:top w:type="dxa" w:w="80"/>
              <w:left w:type="dxa" w:w="120"/>
              <w:bottom w:type="dxa" w:w="80"/>
              <w:right w:type="dxa" w:w="80"/>
            </w:tcMar>
          </w:tcPr>
          <w:p>
            <w:pPr>
              <w:spacing w:after="0"/>
            </w:pPr>
            <w:r>
              <w:rPr>
                <w:rFonts w:ascii="Calibri" w:cs="Calibri" w:eastAsia="Calibri" w:hAnsi="Calibri"/>
                <w:color w:val="1A2332"/>
                <w:sz w:val="18"/>
                <w:szCs w:val="18"/>
              </w:rPr>
              <w:t xml:space="preserve">Placeholder + offer to arrange</w:t>
            </w:r>
          </w:p>
        </w:tc>
      </w:tr>
    </w:tbl>
    <w:p>
      <w:r>
        <w:br w:type="page"/>
      </w:r>
    </w:p>
    <w:p>
      <w:pPr>
        <w:pStyle w:val="Heading1"/>
        <w:pageBreakBefore/>
        <w:spacing w:after="200" w:before="360"/>
      </w:pPr>
      <w:r>
        <w:rPr>
          <w:rFonts w:ascii="Calibri" w:cs="Calibri" w:eastAsia="Calibri" w:hAnsi="Calibri"/>
          <w:b/>
          <w:bCs/>
          <w:color w:val="1A2332"/>
          <w:sz w:val="40"/>
          <w:szCs w:val="40"/>
        </w:rPr>
        <w:t xml:space="preserve">7 · What to check when the developer shows you the prototype</w:t>
      </w:r>
    </w:p>
    <w:p>
      <w:pPr>
        <w:spacing w:after="60" w:before="120"/>
      </w:pPr>
      <w:r>
        <w:rPr>
          <w:rFonts w:ascii="Calibri" w:cs="Calibri" w:eastAsia="Calibri" w:hAnsi="Calibri"/>
          <w:b/>
          <w:bCs/>
          <w:color w:val="C2680A"/>
          <w:spacing w:val="40"/>
          <w:sz w:val="18"/>
          <w:szCs w:val="18"/>
        </w:rPr>
        <w:t xml:space="preserve">SIX THINGS WORTH LOOKING FOR. NOT AN EXHAUSTIVE QA LIST — THAT IS IN THE FULL DOC.</w:t>
      </w:r>
    </w:p>
    <w:p>
      <w:pPr>
        <w:pStyle w:val="Heading2"/>
        <w:spacing w:after="140" w:before="280"/>
      </w:pPr>
      <w:r>
        <w:rPr>
          <w:rFonts w:ascii="Calibri" w:cs="Calibri" w:eastAsia="Calibri" w:hAnsi="Calibri"/>
          <w:b/>
          <w:bCs/>
          <w:color w:val="1A2332"/>
          <w:sz w:val="30"/>
          <w:szCs w:val="30"/>
        </w:rPr>
        <w:t xml:space="preserve">1 · The four compliance rules (section 1 of this summary)</w:t>
      </w:r>
    </w:p>
    <w:p>
      <w:pPr>
        <w:spacing w:after="120" w:line="300"/>
      </w:pPr>
      <w:r>
        <w:rPr>
          <w:rFonts w:ascii="Calibri" w:cs="Calibri" w:eastAsia="Calibri" w:hAnsi="Calibri"/>
          <w:sz w:val="22"/>
          <w:szCs w:val="22"/>
        </w:rPr>
        <w:t xml:space="preserve">Search the prototype for the word "free." There should be no instance that implies a zero-cost upgrade. Check that VEU and Solar Victoria are mentioned as distinct programs wherever they appear together. Check that dollar figures are framed as "up to" and "indicative." Check that the accreditation language is correct.</w:t>
      </w:r>
    </w:p>
    <w:p>
      <w:pPr>
        <w:pStyle w:val="Heading2"/>
        <w:spacing w:after="140" w:before="280"/>
      </w:pPr>
      <w:r>
        <w:rPr>
          <w:rFonts w:ascii="Calibri" w:cs="Calibri" w:eastAsia="Calibri" w:hAnsi="Calibri"/>
          <w:b/>
          <w:bCs/>
          <w:color w:val="1A2332"/>
          <w:sz w:val="30"/>
          <w:szCs w:val="30"/>
        </w:rPr>
        <w:t xml:space="preserve">2 · The eligibility checker works end to end</w:t>
      </w:r>
    </w:p>
    <w:p>
      <w:pPr>
        <w:spacing w:after="120" w:line="300"/>
      </w:pPr>
      <w:r>
        <w:rPr>
          <w:rFonts w:ascii="Calibri" w:cs="Calibri" w:eastAsia="Calibri" w:hAnsi="Calibri"/>
          <w:sz w:val="22"/>
          <w:szCs w:val="22"/>
        </w:rPr>
        <w:t xml:space="preserve">Go through all six steps on a phone (not just on a desktop). Submit the form. Confirm the lead lands in your inbox or CRM. Check the success message is warm, not robotic. Try submitting with a non-Victorian postcode and make sure you get the "outside scope" result, not an error.</w:t>
      </w:r>
    </w:p>
    <w:p>
      <w:pPr>
        <w:pStyle w:val="Heading2"/>
        <w:spacing w:after="140" w:before="280"/>
      </w:pPr>
      <w:r>
        <w:rPr>
          <w:rFonts w:ascii="Calibri" w:cs="Calibri" w:eastAsia="Calibri" w:hAnsi="Calibri"/>
          <w:b/>
          <w:bCs/>
          <w:color w:val="1A2332"/>
          <w:sz w:val="30"/>
          <w:szCs w:val="30"/>
        </w:rPr>
        <w:t xml:space="preserve">3 · The visual direction feels right</w:t>
      </w:r>
    </w:p>
    <w:p>
      <w:pPr>
        <w:spacing w:after="120" w:line="300"/>
      </w:pPr>
      <w:r>
        <w:rPr>
          <w:rFonts w:ascii="Calibri" w:cs="Calibri" w:eastAsia="Calibri" w:hAnsi="Calibri"/>
          <w:sz w:val="22"/>
          <w:szCs w:val="22"/>
        </w:rPr>
        <w:t xml:space="preserve">The full handoff document proposes three visual direction starters for your developer to choose from: Editorial Confidence (dark ink + warm amber), Engineered Calm (cool neutrals + teal), or Australian Trade (warm earthy + strong accent). Whichever is chosen, check it does not look like the generic green eco-template. No stock drop/snowflake/leaf icon grids. No "100% FREE" hero banners.</w:t>
      </w:r>
    </w:p>
    <w:p>
      <w:pPr>
        <w:pStyle w:val="Heading2"/>
        <w:spacing w:after="140" w:before="280"/>
      </w:pPr>
      <w:r>
        <w:rPr>
          <w:rFonts w:ascii="Calibri" w:cs="Calibri" w:eastAsia="Calibri" w:hAnsi="Calibri"/>
          <w:b/>
          <w:bCs/>
          <w:color w:val="1A2332"/>
          <w:sz w:val="30"/>
          <w:szCs w:val="30"/>
        </w:rPr>
        <w:t xml:space="preserve">4 · Every section is movable</w:t>
      </w:r>
    </w:p>
    <w:p>
      <w:pPr>
        <w:spacing w:after="120" w:line="300"/>
      </w:pPr>
      <w:r>
        <w:rPr>
          <w:rFonts w:ascii="Calibri" w:cs="Calibri" w:eastAsia="Calibri" w:hAnsi="Calibri"/>
          <w:sz w:val="22"/>
          <w:szCs w:val="22"/>
        </w:rPr>
        <w:t xml:space="preserve">Ask the developer to swap the order of two sections on the home page. If it takes more than five minutes, the sections are not properly modular. This is important for your ability to refine the site after launch based on what converts.</w:t>
      </w:r>
    </w:p>
    <w:p>
      <w:pPr>
        <w:pStyle w:val="Heading2"/>
        <w:spacing w:after="140" w:before="280"/>
      </w:pPr>
      <w:r>
        <w:rPr>
          <w:rFonts w:ascii="Calibri" w:cs="Calibri" w:eastAsia="Calibri" w:hAnsi="Calibri"/>
          <w:b/>
          <w:bCs/>
          <w:color w:val="1A2332"/>
          <w:sz w:val="30"/>
          <w:szCs w:val="30"/>
        </w:rPr>
        <w:t xml:space="preserve">5 · Mobile is excellent, not just acceptable</w:t>
      </w:r>
    </w:p>
    <w:p>
      <w:pPr>
        <w:spacing w:after="120" w:line="300"/>
      </w:pPr>
      <w:r>
        <w:rPr>
          <w:rFonts w:ascii="Calibri" w:cs="Calibri" w:eastAsia="Calibri" w:hAnsi="Calibri"/>
          <w:sz w:val="22"/>
          <w:szCs w:val="22"/>
        </w:rPr>
        <w:t xml:space="preserve">Most of your residential audience will visit on a phone. Open the prototype on your own phone. The sticky CTA bar should be visible at the bottom. The eligibility checker should be easy to tap through. Phone number should dial on tap. Text should be readable without zooming.</w:t>
      </w:r>
    </w:p>
    <w:p>
      <w:pPr>
        <w:pStyle w:val="Heading2"/>
        <w:spacing w:after="140" w:before="280"/>
      </w:pPr>
      <w:r>
        <w:rPr>
          <w:rFonts w:ascii="Calibri" w:cs="Calibri" w:eastAsia="Calibri" w:hAnsi="Calibri"/>
          <w:b/>
          <w:bCs/>
          <w:color w:val="1A2332"/>
          <w:sz w:val="30"/>
          <w:szCs w:val="30"/>
        </w:rPr>
        <w:t xml:space="preserve">6 · The rebate figures are in the config file, not hardcoded</w:t>
      </w:r>
    </w:p>
    <w:p>
      <w:pPr>
        <w:spacing w:after="120" w:line="300"/>
      </w:pPr>
      <w:r>
        <w:rPr>
          <w:rFonts w:ascii="Calibri" w:cs="Calibri" w:eastAsia="Calibri" w:hAnsi="Calibri"/>
          <w:sz w:val="22"/>
          <w:szCs w:val="22"/>
        </w:rPr>
        <w:t xml:space="preserve">Ask the developer: "Where do I change a rebate figure?" The answer should be one file with one change. If the answer is "we'd need to find it across a few pages," that is a problem to fix before launch.</w:t>
      </w:r>
    </w:p>
    <w:p>
      <w:pPr>
        <w:spacing w:after="200"/>
      </w:pPr>
      <w:r>
        <w:t xml:space="preserve"/>
      </w:r>
    </w:p>
    <w:p>
      <w:pPr>
        <w:pBdr>
          <w:bottom w:val="single" w:color="C2680A" w:sz="12" w:space="4"/>
        </w:pBdr>
        <w:spacing w:after="240" w:before="80"/>
      </w:pPr>
      <w:r>
        <w:t xml:space="preserve"/>
      </w:r>
    </w:p>
    <w:p>
      <w:pPr>
        <w:spacing w:after="120"/>
      </w:pPr>
      <w:r>
        <w:t xml:space="preserve"/>
      </w:r>
    </w:p>
    <w:p>
      <w:pPr>
        <w:spacing w:after="120"/>
      </w:pPr>
      <w:r>
        <w:rPr>
          <w:rFonts w:ascii="Calibri" w:cs="Calibri" w:eastAsia="Calibri" w:hAnsi="Calibri"/>
          <w:b/>
          <w:bCs/>
          <w:color w:val="1A2332"/>
          <w:sz w:val="26"/>
          <w:szCs w:val="26"/>
        </w:rPr>
        <w:t xml:space="preserve">What to do next</w:t>
      </w:r>
    </w:p>
    <w:p>
      <w:pPr>
        <w:pStyle w:val="ListParagraph"/>
        <w:numPr>
          <w:ilvl w:val="0"/>
          <w:numId w:val="2"/>
        </w:numPr>
        <w:spacing w:after="80" w:line="300"/>
      </w:pPr>
      <w:r>
        <w:rPr>
          <w:rFonts w:ascii="Calibri" w:cs="Calibri" w:eastAsia="Calibri" w:hAnsi="Calibri"/>
          <w:sz w:val="22"/>
          <w:szCs w:val="22"/>
        </w:rPr>
        <w:t xml:space="preserve">Start working through the open items list in section 6 — particularly items 1, 2, 4, and 9.</w:t>
      </w:r>
    </w:p>
    <w:p>
      <w:pPr>
        <w:pStyle w:val="ListParagraph"/>
        <w:numPr>
          <w:ilvl w:val="0"/>
          <w:numId w:val="2"/>
        </w:numPr>
        <w:spacing w:after="80" w:line="300"/>
      </w:pPr>
      <w:r>
        <w:rPr>
          <w:rFonts w:ascii="Calibri" w:cs="Calibri" w:eastAsia="Calibri" w:hAnsi="Calibri"/>
          <w:sz w:val="22"/>
          <w:szCs w:val="22"/>
        </w:rPr>
        <w:t xml:space="preserve">Read through section 4 (what each page will say) and note anything you want to change. Changes at this stage are easy; changes after build are more expensive.</w:t>
      </w:r>
    </w:p>
    <w:p>
      <w:pPr>
        <w:pStyle w:val="ListParagraph"/>
        <w:numPr>
          <w:ilvl w:val="0"/>
          <w:numId w:val="2"/>
        </w:numPr>
        <w:spacing w:after="80" w:line="300"/>
      </w:pPr>
      <w:r>
        <w:rPr>
          <w:rFonts w:ascii="Calibri" w:cs="Calibri" w:eastAsia="Calibri" w:hAnsi="Calibri"/>
          <w:sz w:val="22"/>
          <w:szCs w:val="22"/>
        </w:rPr>
        <w:t xml:space="preserve">Share both this summary and the full 106-page handoff document with your developer.</w:t>
      </w:r>
    </w:p>
    <w:p>
      <w:pPr>
        <w:pStyle w:val="ListParagraph"/>
        <w:numPr>
          <w:ilvl w:val="0"/>
          <w:numId w:val="2"/>
        </w:numPr>
        <w:spacing w:after="80" w:line="300"/>
      </w:pPr>
      <w:r>
        <w:rPr>
          <w:rFonts w:ascii="Calibri" w:cs="Calibri" w:eastAsia="Calibri" w:hAnsi="Calibri"/>
          <w:sz w:val="22"/>
          <w:szCs w:val="22"/>
        </w:rPr>
        <w:t xml:space="preserve">Schedule a kick-off call with your developer. Use the open items list as the agenda.</w:t>
      </w:r>
    </w:p>
    <w:p>
      <w:pPr>
        <w:spacing w:after="160"/>
      </w:pPr>
      <w:r>
        <w:t xml:space="preserve"/>
      </w:r>
    </w:p>
    <w:p>
      <w:pPr>
        <w:spacing w:after="120" w:line="300"/>
      </w:pPr>
      <w:r>
        <w:rPr>
          <w:rFonts w:ascii="Calibri" w:cs="Calibri" w:eastAsia="Calibri" w:hAnsi="Calibri"/>
          <w:i/>
          <w:iCs/>
          <w:color w:val="6B7280"/>
          <w:sz w:val="20"/>
          <w:szCs w:val="20"/>
        </w:rPr>
        <w:t xml:space="preserve">Any questions before you share the docs?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8"/>
        <w:szCs w:val="18"/>
      </w:rPr>
      <w:t xml:space="preserve">AEM Energy · Owner Summary  ·  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2332"/>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A2332"/>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AEM Energy — Owner Summary</dc:title>
  <dc:creator>AEM Energy</dc:creator>
  <dc:description>Read-first summary of the Website Content &amp; Build Handoff document.</dc:description>
  <cp:lastModifiedBy>Un-named</cp:lastModifiedBy>
  <cp:revision>1</cp:revision>
  <dcterms:created xsi:type="dcterms:W3CDTF">2026-06-22T06:37:04.929Z</dcterms:created>
  <dcterms:modified xsi:type="dcterms:W3CDTF">2026-06-22T06:37:04.942Z</dcterms:modified>
</cp:coreProperties>
</file>

<file path=docProps/custom.xml><?xml version="1.0" encoding="utf-8"?>
<Properties xmlns="http://schemas.openxmlformats.org/officeDocument/2006/custom-properties" xmlns:vt="http://schemas.openxmlformats.org/officeDocument/2006/docPropsVTypes"/>
</file>