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rFonts w:ascii="Times New Roman" w:hAnsi="Times New Roman"/>
          <w:b/>
          <w:i w:val="0"/>
          <w:sz w:val="26"/>
        </w:rPr>
        <w:t>FINAL YEAR PROJECT TOPIC SUBMISSION FORM</w:t>
      </w:r>
    </w:p>
    <w:p>
      <w:pPr>
        <w:spacing w:after="160" w:before="0" w:line="240" w:lineRule="auto"/>
      </w:pPr>
      <w:r>
        <w:rPr>
          <w:rFonts w:ascii="Times New Roman" w:hAnsi="Times New Roman"/>
          <w:sz w:val="22"/>
        </w:rPr>
        <w:t>Do RL Red-Team Agents Learn to Attack Networks or Memorize One? A Study of Generalization and Training Strategies for Autonomous Penetration Agents in CybORG</w:t>
      </w:r>
    </w:p>
    <w:p>
      <w:pPr>
        <w:spacing w:after="60" w:before="0" w:line="240" w:lineRule="auto"/>
      </w:pPr>
      <w:r>
        <w:rPr>
          <w:rFonts w:ascii="Times New Roman" w:hAnsi="Times New Roman"/>
          <w:b/>
          <w:i w:val="0"/>
          <w:sz w:val="22"/>
        </w:rPr>
        <w:t>1. Working Research Title</w:t>
      </w:r>
    </w:p>
    <w:p>
      <w:pPr>
        <w:spacing w:after="80" w:before="0" w:line="240" w:lineRule="auto"/>
      </w:pPr>
      <w:r>
        <w:rPr>
          <w:rFonts w:ascii="Times New Roman" w:hAnsi="Times New Roman"/>
          <w:sz w:val="22"/>
        </w:rPr>
        <w:t>Do RL Red-Team Agents Learn to Attack Networks or Memorize One? A Study of Generalization and Training Strategies for Autonomous Penetration Agents in CybORG</w:t>
      </w:r>
    </w:p>
    <w:p>
      <w:pPr>
        <w:spacing w:after="60" w:before="0" w:line="240" w:lineRule="auto"/>
      </w:pPr>
      <w:r>
        <w:rPr>
          <w:rFonts w:ascii="Times New Roman" w:hAnsi="Times New Roman"/>
          <w:b/>
          <w:i w:val="0"/>
          <w:sz w:val="22"/>
        </w:rPr>
        <w:t>2. Background / Problem Overview</w:t>
      </w:r>
    </w:p>
    <w:p>
      <w:pPr>
        <w:spacing w:after="80" w:before="0" w:line="240" w:lineRule="auto"/>
      </w:pPr>
      <w:r>
        <w:rPr>
          <w:rFonts w:ascii="Times New Roman" w:hAnsi="Times New Roman"/>
          <w:sz w:val="22"/>
        </w:rPr>
        <w:t xml:space="preserve">Autonomous penetration testing addresses a real gap - pentesters are scarce - and RL can automate attack planning in standard environments such as CybORG, home of the public CAGE challenges. Its value hinges on whether an agent trained on one network can attack one it has never seen. Evidence shows this is not guaranteed: </w:t>
      </w:r>
      <w:hyperlink r:id="rId9">
        <w:r>
          <w:rPr>
            <w:rFonts w:ascii="Times New Roman" w:hAnsi="Times New Roman"/>
            <w:sz w:val="22"/>
            <w:color w:val="0563C1"/>
            <w:u w:val="single"/>
          </w:rPr>
          <w:t>NASimEmu</w:t>
        </w:r>
      </w:hyperlink>
      <w:r>
        <w:rPr>
          <w:rFonts w:ascii="Times New Roman" w:hAnsi="Times New Roman"/>
          <w:sz w:val="22"/>
        </w:rPr>
        <w:t xml:space="preserve"> showed agents transfer poorly to novel scenarios, and a </w:t>
      </w:r>
      <w:hyperlink r:id="rId10">
        <w:r>
          <w:rPr>
            <w:rFonts w:ascii="Times New Roman" w:hAnsi="Times New Roman"/>
            <w:sz w:val="22"/>
            <w:color w:val="0563C1"/>
            <w:u w:val="single"/>
          </w:rPr>
          <w:t>2026 preprint</w:t>
        </w:r>
      </w:hyperlink>
      <w:r>
        <w:rPr>
          <w:rFonts w:ascii="Times New Roman" w:hAnsi="Times New Roman"/>
          <w:sz w:val="22"/>
        </w:rPr>
        <w:t xml:space="preserve"> confirmed they remain brittle at test time. Yet no controlled study in CybORG compares the training strategies that determine transfer.</w:t>
      </w:r>
    </w:p>
    <w:p>
      <w:pPr>
        <w:spacing w:after="60" w:before="0" w:line="240" w:lineRule="auto"/>
      </w:pPr>
      <w:r>
        <w:rPr>
          <w:rFonts w:ascii="Times New Roman" w:hAnsi="Times New Roman"/>
          <w:b/>
          <w:i w:val="0"/>
          <w:sz w:val="22"/>
        </w:rPr>
        <w:t>3. Quick Literature Insights</w:t>
      </w:r>
    </w:p>
    <w:p>
      <w:pPr>
        <w:spacing w:after="40" w:line="240" w:lineRule="auto"/>
        <w:ind w:left="283"/>
      </w:pPr>
      <w:hyperlink r:id="rId11">
        <w:r>
          <w:rPr>
            <w:rFonts w:ascii="Times New Roman" w:hAnsi="Times New Roman"/>
            <w:sz w:val="22"/>
            <w:color w:val="0563C1"/>
            <w:u w:val="single"/>
          </w:rPr>
          <w:t>Schwartz and Kurniawati (2019)</w:t>
        </w:r>
      </w:hyperlink>
      <w:r>
        <w:rPr>
          <w:rFonts w:ascii="Times New Roman" w:hAnsi="Times New Roman"/>
          <w:sz w:val="22"/>
        </w:rPr>
        <w:t>: model-free RL is viable for automated pentesting.</w:t>
      </w:r>
    </w:p>
    <w:p>
      <w:pPr>
        <w:spacing w:after="40" w:line="240" w:lineRule="auto"/>
        <w:ind w:left="283"/>
      </w:pPr>
      <w:hyperlink r:id="rId12">
        <w:r>
          <w:rPr>
            <w:rFonts w:ascii="Times New Roman" w:hAnsi="Times New Roman"/>
            <w:sz w:val="22"/>
            <w:color w:val="0563C1"/>
            <w:u w:val="single"/>
          </w:rPr>
          <w:t>Standen et al. (2021)</w:t>
        </w:r>
      </w:hyperlink>
      <w:r>
        <w:rPr>
          <w:rFonts w:ascii="Times New Roman" w:hAnsi="Times New Roman"/>
          <w:sz w:val="22"/>
        </w:rPr>
        <w:t>: CybORG - the standard environment behind the CAGE challenges.</w:t>
      </w:r>
    </w:p>
    <w:p>
      <w:pPr>
        <w:spacing w:after="40" w:line="240" w:lineRule="auto"/>
        <w:ind w:left="283"/>
      </w:pPr>
      <w:hyperlink r:id="rId9">
        <w:r>
          <w:rPr>
            <w:rFonts w:ascii="Times New Roman" w:hAnsi="Times New Roman"/>
            <w:sz w:val="22"/>
            <w:color w:val="0563C1"/>
            <w:u w:val="single"/>
          </w:rPr>
          <w:t>Janisch et al. (2023)</w:t>
        </w:r>
      </w:hyperlink>
      <w:r>
        <w:rPr>
          <w:rFonts w:ascii="Times New Roman" w:hAnsi="Times New Roman"/>
          <w:sz w:val="22"/>
        </w:rPr>
        <w:t>: NASimEmu shows agents transfer poorly to novel topologies.</w:t>
      </w:r>
    </w:p>
    <w:p>
      <w:pPr>
        <w:spacing w:after="40" w:line="240" w:lineRule="auto"/>
        <w:ind w:left="283"/>
      </w:pPr>
      <w:hyperlink r:id="rId10">
        <w:r>
          <w:rPr>
            <w:rFonts w:ascii="Times New Roman" w:hAnsi="Times New Roman"/>
            <w:sz w:val="22"/>
            <w:color w:val="0563C1"/>
            <w:u w:val="single"/>
          </w:rPr>
          <w:t>Ondrej et al. (2026)</w:t>
        </w:r>
      </w:hyperlink>
      <w:r>
        <w:rPr>
          <w:rFonts w:ascii="Times New Roman" w:hAnsi="Times New Roman"/>
          <w:sz w:val="22"/>
        </w:rPr>
        <w:t>: agents trained on five variants remain brittle on a sixth; meta-learning helps.</w:t>
      </w:r>
    </w:p>
    <w:p>
      <w:pPr>
        <w:spacing w:after="60" w:before="0" w:line="240" w:lineRule="auto"/>
      </w:pPr>
      <w:r>
        <w:rPr>
          <w:rFonts w:ascii="Times New Roman" w:hAnsi="Times New Roman"/>
          <w:b/>
          <w:i w:val="0"/>
          <w:sz w:val="22"/>
        </w:rPr>
        <w:t>4. Research Gaps Found</w:t>
      </w:r>
    </w:p>
    <w:p>
      <w:pPr>
        <w:spacing w:after="40" w:line="240" w:lineRule="auto"/>
        <w:ind w:left="283"/>
      </w:pPr>
      <w:r>
        <w:rPr>
          <w:rFonts w:ascii="Times New Roman" w:hAnsi="Times New Roman"/>
          <w:sz w:val="22"/>
        </w:rPr>
        <w:t>Gap 1: No controlled comparison in CybORG of practical training strategies (single-scenario, curriculum, fine-tuning) for RL attack agents.</w:t>
      </w:r>
    </w:p>
    <w:p>
      <w:pPr>
        <w:spacing w:after="40" w:line="240" w:lineRule="auto"/>
        <w:ind w:left="283"/>
      </w:pPr>
      <w:r>
        <w:rPr>
          <w:rFonts w:ascii="Times New Roman" w:hAnsi="Times New Roman"/>
          <w:sz w:val="22"/>
        </w:rPr>
        <w:t>Gap 2: Whether high-scoring agents learn real attack strategies or game the reward function is unmeasured.</w:t>
      </w:r>
    </w:p>
    <w:p>
      <w:pPr>
        <w:spacing w:after="40" w:line="240" w:lineRule="auto"/>
        <w:ind w:left="283"/>
      </w:pPr>
      <w:r>
        <w:rPr>
          <w:rFonts w:ascii="Times New Roman" w:hAnsi="Times New Roman"/>
          <w:sz w:val="22"/>
        </w:rPr>
        <w:t>Gap 3: No public, reproducible benchmark harness with baselines exists for this question in CybORG.</w:t>
      </w:r>
    </w:p>
    <w:p>
      <w:pPr>
        <w:spacing w:after="60" w:before="0" w:line="240" w:lineRule="auto"/>
      </w:pPr>
      <w:r>
        <w:rPr>
          <w:rFonts w:ascii="Times New Roman" w:hAnsi="Times New Roman"/>
          <w:b/>
          <w:i w:val="0"/>
          <w:sz w:val="22"/>
        </w:rPr>
        <w:t>5. Proposed Solution / Research Direction</w:t>
      </w:r>
    </w:p>
    <w:p>
      <w:pPr>
        <w:spacing w:after="80" w:before="0" w:line="240" w:lineRule="auto"/>
      </w:pPr>
      <w:r>
        <w:rPr>
          <w:rFonts w:ascii="Times New Roman" w:hAnsi="Times New Roman"/>
          <w:sz w:val="22"/>
        </w:rPr>
        <w:t>A controlled experiment: train PPO red-team agents in CybORG under three training strategies (single-scenario, multi-topology curriculum, fine-tuning), evaluate them on held-out network topologies against scripted and random baselines, and analyze whether high-scoring agents learn genuine attack strategies or game the reward function.</w:t>
      </w:r>
    </w:p>
    <w:p>
      <w:pPr>
        <w:spacing w:after="60" w:before="0" w:line="240" w:lineRule="auto"/>
      </w:pPr>
      <w:r>
        <w:rPr>
          <w:rFonts w:ascii="Times New Roman" w:hAnsi="Times New Roman"/>
          <w:b/>
          <w:i w:val="0"/>
          <w:sz w:val="22"/>
        </w:rPr>
        <w:t>6. Expected Contributions</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Pr>
                <w:rFonts w:ascii="Times New Roman" w:hAnsi="Times New Roman"/>
                <w:b/>
                <w:sz w:val="20"/>
              </w:rPr>
              <w:t>Contribution Dimension</w:t>
            </w:r>
          </w:p>
        </w:tc>
        <w:tc>
          <w:tcPr>
            <w:tcW w:type="dxa" w:w="4819"/>
          </w:tcPr>
          <w:p>
            <w:pPr>
              <w:spacing w:after="20"/>
            </w:pPr>
            <w:r>
              <w:rPr>
                <w:rFonts w:ascii="Times New Roman" w:hAnsi="Times New Roman"/>
                <w:b/>
                <w:sz w:val="20"/>
              </w:rPr>
              <w:t>Value / Academic and Practical Significance</w:t>
            </w:r>
          </w:p>
        </w:tc>
      </w:tr>
      <w:tr>
        <w:tc>
          <w:tcPr>
            <w:tcW w:type="dxa" w:w="4819"/>
          </w:tcPr>
          <w:p>
            <w:pPr>
              <w:spacing w:after="20"/>
            </w:pPr>
            <w:r>
              <w:rPr>
                <w:rFonts w:ascii="Times New Roman" w:hAnsi="Times New Roman"/>
                <w:b w:val="0"/>
                <w:sz w:val="20"/>
              </w:rPr>
              <w:t>Research</w:t>
            </w:r>
          </w:p>
        </w:tc>
        <w:tc>
          <w:tcPr>
            <w:tcW w:type="dxa" w:w="4819"/>
          </w:tcPr>
          <w:p>
            <w:pPr>
              <w:spacing w:after="20"/>
            </w:pPr>
            <w:r>
              <w:rPr>
                <w:rFonts w:ascii="Times New Roman" w:hAnsi="Times New Roman"/>
                <w:b w:val="0"/>
                <w:sz w:val="20"/>
              </w:rPr>
              <w:t>Reproducible measurement of RL attack-agent generalization.</w:t>
            </w:r>
          </w:p>
        </w:tc>
      </w:tr>
      <w:tr>
        <w:tc>
          <w:tcPr>
            <w:tcW w:type="dxa" w:w="4819"/>
          </w:tcPr>
          <w:p>
            <w:pPr>
              <w:spacing w:after="20"/>
            </w:pPr>
            <w:r>
              <w:rPr>
                <w:rFonts w:ascii="Times New Roman" w:hAnsi="Times New Roman"/>
                <w:b w:val="0"/>
                <w:sz w:val="20"/>
              </w:rPr>
              <w:t>Practical</w:t>
            </w:r>
          </w:p>
        </w:tc>
        <w:tc>
          <w:tcPr>
            <w:tcW w:type="dxa" w:w="4819"/>
          </w:tcPr>
          <w:p>
            <w:pPr>
              <w:spacing w:after="20"/>
            </w:pPr>
            <w:r>
              <w:rPr>
                <w:rFonts w:ascii="Times New Roman" w:hAnsi="Times New Roman"/>
                <w:b w:val="0"/>
                <w:sz w:val="20"/>
              </w:rPr>
              <w:t>Guidance for building red-team agents that work on unseen networks.</w:t>
            </w:r>
          </w:p>
        </w:tc>
      </w:tr>
      <w:tr>
        <w:tc>
          <w:tcPr>
            <w:tcW w:type="dxa" w:w="4819"/>
          </w:tcPr>
          <w:p>
            <w:pPr>
              <w:spacing w:after="20"/>
            </w:pPr>
            <w:r>
              <w:rPr>
                <w:rFonts w:ascii="Times New Roman" w:hAnsi="Times New Roman"/>
                <w:b w:val="0"/>
                <w:sz w:val="20"/>
              </w:rPr>
              <w:t>Academic</w:t>
            </w:r>
          </w:p>
        </w:tc>
        <w:tc>
          <w:tcPr>
            <w:tcW w:type="dxa" w:w="4819"/>
          </w:tcPr>
          <w:p>
            <w:pPr>
              <w:spacing w:after="20"/>
            </w:pPr>
            <w:r>
              <w:rPr>
                <w:rFonts w:ascii="Times New Roman" w:hAnsi="Times New Roman"/>
                <w:b w:val="0"/>
                <w:sz w:val="20"/>
              </w:rPr>
              <w:t>First controlled strategy comparison, reward-gaming analysis, and a public harness.</w:t>
            </w:r>
          </w:p>
        </w:tc>
      </w:tr>
    </w:tbl>
    <w:p>
      <w:pPr>
        <w:spacing w:after="40"/>
      </w:pPr>
    </w:p>
    <w:p>
      <w:pPr>
        <w:spacing w:after="60" w:before="0" w:line="240" w:lineRule="auto"/>
      </w:pPr>
      <w:r>
        <w:rPr>
          <w:rFonts w:ascii="Times New Roman" w:hAnsi="Times New Roman"/>
          <w:b/>
          <w:i w:val="0"/>
          <w:sz w:val="22"/>
        </w:rPr>
        <w:t>7. Next Steps (Before Approval)</w:t>
      </w:r>
    </w:p>
    <w:p>
      <w:pPr>
        <w:spacing w:after="40" w:line="240" w:lineRule="auto"/>
        <w:ind w:left="283"/>
      </w:pPr>
      <w:r>
        <w:rPr>
          <w:rFonts w:ascii="Times New Roman" w:hAnsi="Times New Roman"/>
          <w:sz w:val="22"/>
        </w:rPr>
        <w:t xml:space="preserve">Candidate Environment: </w:t>
      </w:r>
      <w:hyperlink r:id="rId12">
        <w:r>
          <w:rPr>
            <w:rFonts w:ascii="Times New Roman" w:hAnsi="Times New Roman"/>
            <w:sz w:val="22"/>
            <w:color w:val="0563C1"/>
            <w:u w:val="single"/>
          </w:rPr>
          <w:t>CybORG</w:t>
        </w:r>
      </w:hyperlink>
      <w:r>
        <w:rPr>
          <w:rFonts w:ascii="Times New Roman" w:hAnsi="Times New Roman"/>
          <w:sz w:val="22"/>
        </w:rPr>
        <w:t xml:space="preserve"> (CAGE Challenge 2) + generated topology variants; no real systems.</w:t>
      </w:r>
    </w:p>
    <w:p>
      <w:pPr>
        <w:spacing w:after="40" w:line="240" w:lineRule="auto"/>
        <w:ind w:left="283"/>
      </w:pPr>
      <w:r>
        <w:rPr>
          <w:rFonts w:ascii="Times New Roman" w:hAnsi="Times New Roman"/>
          <w:sz w:val="22"/>
        </w:rPr>
        <w:t>Evaluation Metrics: attack success rate, steps to success, generalization gap, episode reward.</w:t>
      </w:r>
    </w:p>
    <w:p>
      <w:pPr>
        <w:spacing w:after="40" w:line="240" w:lineRule="auto"/>
        <w:ind w:left="283"/>
      </w:pPr>
      <w:r>
        <w:rPr>
          <w:rFonts w:ascii="Times New Roman" w:hAnsi="Times New Roman"/>
          <w:sz w:val="22"/>
        </w:rPr>
        <w:t>Baselines: scripted B-line attacker, random policy, in-distribution performance.</w:t>
      </w:r>
    </w:p>
    <w:p>
      <w:pPr>
        <w:spacing w:after="40" w:line="240" w:lineRule="auto"/>
        <w:ind w:left="283"/>
      </w:pPr>
      <w:r>
        <w:rPr>
          <w:rFonts w:ascii="Times New Roman" w:hAnsi="Times New Roman"/>
          <w:sz w:val="22"/>
        </w:rPr>
        <w:t>Scope: single-agent red team, fixed blue team, simulation only; no MARL or emulation.</w:t>
      </w:r>
    </w:p>
    <w:p>
      <w:pPr>
        <w:spacing w:after="40" w:line="240" w:lineRule="auto"/>
        <w:ind w:left="283"/>
      </w:pPr>
      <w:r>
        <w:rPr>
          <w:rFonts w:ascii="Times New Roman" w:hAnsi="Times New Roman"/>
          <w:sz w:val="22"/>
        </w:rPr>
        <w:t>Feasibility: 16GB RAM + CPU; free Colab; zero cost; ethics disclaimer tier (no participants).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arxiv.org/abs/2305.17246" TargetMode="External"/><Relationship Id="rId10" Type="http://schemas.openxmlformats.org/officeDocument/2006/relationships/hyperlink" Target="https://arxiv.org/html/2603.10041v1" TargetMode="External"/><Relationship Id="rId11" Type="http://schemas.openxmlformats.org/officeDocument/2006/relationships/hyperlink" Target="https://arxiv.org/abs/1905.05965" TargetMode="External"/><Relationship Id="rId12" Type="http://schemas.openxmlformats.org/officeDocument/2006/relationships/hyperlink" Target="https://github.com/cage-challenge/Cy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