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986A2" w14:textId="050B3DFF" w:rsidR="00E86CC0" w:rsidRPr="0079226A" w:rsidRDefault="00E86CC0" w:rsidP="007B46F5">
      <w:pPr>
        <w:pStyle w:val="SDText"/>
        <w:jc w:val="both"/>
        <w:rPr>
          <w:rFonts w:cs="Times New Roman"/>
          <w:b/>
          <w:sz w:val="40"/>
          <w:szCs w:val="40"/>
          <w:lang w:val="en-US" w:eastAsia="ru-RU"/>
        </w:rPr>
      </w:pPr>
    </w:p>
    <w:p w14:paraId="52AEF115" w14:textId="77777777" w:rsidR="00E86CC0" w:rsidRPr="00F46B68" w:rsidRDefault="00E86CC0" w:rsidP="007B46F5">
      <w:pPr>
        <w:pStyle w:val="SDText"/>
        <w:jc w:val="both"/>
        <w:rPr>
          <w:rFonts w:cs="Times New Roman"/>
          <w:b/>
          <w:sz w:val="40"/>
          <w:szCs w:val="40"/>
          <w:lang w:eastAsia="ru-RU"/>
        </w:rPr>
      </w:pPr>
    </w:p>
    <w:p w14:paraId="5BD67996" w14:textId="77777777" w:rsidR="00B2459B" w:rsidRPr="00B2459B" w:rsidRDefault="00B2459B" w:rsidP="007B46F5">
      <w:pPr>
        <w:jc w:val="center"/>
        <w:rPr>
          <w:rFonts w:eastAsia="Times New Roman" w:cs="Times New Roman"/>
          <w:b/>
          <w:sz w:val="40"/>
          <w:szCs w:val="40"/>
          <w:lang w:eastAsia="ru-RU"/>
        </w:rPr>
      </w:pPr>
      <w:r w:rsidRPr="00B2459B">
        <w:rPr>
          <w:rFonts w:eastAsia="Times New Roman" w:cs="Times New Roman"/>
          <w:b/>
          <w:sz w:val="40"/>
          <w:szCs w:val="40"/>
          <w:lang w:eastAsia="ru-RU"/>
        </w:rPr>
        <w:t>ПРОТОКОЛ КЛИНИЧЕСКОГО ИССЛЕДОВАНИЯ</w:t>
      </w:r>
    </w:p>
    <w:p w14:paraId="33021E67" w14:textId="77777777" w:rsidR="00317FD1" w:rsidRPr="009E6200" w:rsidRDefault="00317FD1" w:rsidP="007B46F5">
      <w:pPr>
        <w:pStyle w:val="SDText"/>
        <w:jc w:val="both"/>
        <w:rPr>
          <w:rFonts w:cs="Times New Roman"/>
          <w:lang w:eastAsia="ru-RU"/>
        </w:rPr>
      </w:pPr>
    </w:p>
    <w:tbl>
      <w:tblPr>
        <w:tblStyle w:val="TableGrid"/>
        <w:tblW w:w="0" w:type="auto"/>
        <w:tblLook w:val="04A0" w:firstRow="1" w:lastRow="0" w:firstColumn="1" w:lastColumn="0" w:noHBand="0" w:noVBand="1"/>
      </w:tblPr>
      <w:tblGrid>
        <w:gridCol w:w="2268"/>
        <w:gridCol w:w="7077"/>
      </w:tblGrid>
      <w:tr w:rsidR="00F46B68" w:rsidRPr="009E6200" w14:paraId="12E4EFAA" w14:textId="77777777" w:rsidTr="00CC6651">
        <w:tc>
          <w:tcPr>
            <w:tcW w:w="2268" w:type="dxa"/>
          </w:tcPr>
          <w:p w14:paraId="73552DE8" w14:textId="77777777" w:rsidR="00317FD1" w:rsidRPr="009E6200" w:rsidRDefault="00317FD1" w:rsidP="007B46F5">
            <w:pPr>
              <w:pStyle w:val="SDText"/>
              <w:jc w:val="both"/>
              <w:rPr>
                <w:rFonts w:cs="Times New Roman"/>
                <w:b/>
                <w:sz w:val="20"/>
                <w:szCs w:val="20"/>
                <w:lang w:val="en-US" w:eastAsia="ru-RU"/>
              </w:rPr>
            </w:pPr>
            <w:r w:rsidRPr="009E6200">
              <w:rPr>
                <w:rFonts w:cs="Times New Roman"/>
                <w:b/>
                <w:sz w:val="20"/>
                <w:szCs w:val="20"/>
              </w:rPr>
              <w:t>Название исследования:</w:t>
            </w:r>
          </w:p>
        </w:tc>
        <w:bookmarkStart w:id="0" w:name="OLE_LINK1"/>
        <w:tc>
          <w:tcPr>
            <w:tcW w:w="7077" w:type="dxa"/>
          </w:tcPr>
          <w:p w14:paraId="25CF0AFA" w14:textId="6E5FADC5" w:rsidR="00317FD1" w:rsidRPr="009E6200" w:rsidRDefault="00E767EF" w:rsidP="007B46F5">
            <w:pPr>
              <w:pStyle w:val="ProtName"/>
              <w:jc w:val="both"/>
              <w:rPr>
                <w:color w:val="auto"/>
                <w:szCs w:val="24"/>
              </w:rPr>
            </w:pPr>
            <w:sdt>
              <w:sdtPr>
                <w:rPr>
                  <w:color w:val="auto"/>
                </w:rPr>
                <w:alias w:val="Название исследования"/>
                <w:tag w:val="Название исследования"/>
                <w:id w:val="-845246470"/>
                <w:placeholder>
                  <w:docPart w:val="D1348293D5A1496884051BBB42675006"/>
                </w:placeholder>
              </w:sdtPr>
              <w:sdtEndPr/>
              <w:sdtContent>
                <w:sdt>
                  <w:sdtPr>
                    <w:rPr>
                      <w:color w:val="auto"/>
                    </w:rPr>
                    <w:alias w:val="Название исследования"/>
                    <w:tag w:val="Название исследования"/>
                    <w:id w:val="-1962252197"/>
                    <w:placeholder>
                      <w:docPart w:val="E8B39368B72E4F44B6EF5F98DF02199C"/>
                    </w:placeholder>
                  </w:sdtPr>
                  <w:sdtEndPr/>
                  <w:sdtContent>
                    <w:r w:rsidR="00E01593" w:rsidRPr="009E6200">
                      <w:rPr>
                        <w:color w:val="auto"/>
                      </w:rPr>
                      <w:t>Рандомизированное, многоцентровое, двойное слепое</w:t>
                    </w:r>
                    <w:r w:rsidR="001F22BE" w:rsidRPr="009E6200">
                      <w:rPr>
                        <w:color w:val="auto"/>
                      </w:rPr>
                      <w:t xml:space="preserve"> </w:t>
                    </w:r>
                    <w:r w:rsidR="00E01593" w:rsidRPr="009E6200">
                      <w:rPr>
                        <w:color w:val="auto"/>
                      </w:rPr>
                      <w:t>клиническое исследование для оценки эффективности и безопасности препарата RPH-001 (биоаналога Авастина</w:t>
                    </w:r>
                    <w:r w:rsidR="00121FA5" w:rsidRPr="009E6200">
                      <w:rPr>
                        <w:color w:val="auto"/>
                        <w:vertAlign w:val="superscript"/>
                      </w:rPr>
                      <w:t>®</w:t>
                    </w:r>
                    <w:r w:rsidR="00E01593" w:rsidRPr="009E6200">
                      <w:rPr>
                        <w:color w:val="auto"/>
                      </w:rPr>
                      <w:t>, АО «Р-Фарм», Россия ) в сравнении с Авастином</w:t>
                    </w:r>
                    <w:r w:rsidR="00121FA5" w:rsidRPr="009E6200">
                      <w:rPr>
                        <w:color w:val="auto"/>
                        <w:vertAlign w:val="superscript"/>
                      </w:rPr>
                      <w:t>®</w:t>
                    </w:r>
                    <w:r w:rsidR="00E01593" w:rsidRPr="009E6200">
                      <w:rPr>
                        <w:color w:val="auto"/>
                      </w:rPr>
                      <w:t xml:space="preserve"> (Ф. Хоффманн-Ля Рош Лтд., Швейцария) в комбинации с карбоплатином и паклитакселом в лечении пациентов с неплоскоклеточным немелкоклеточным раком легкого стадии IIIB/IV</w:t>
                    </w:r>
                  </w:sdtContent>
                </w:sdt>
              </w:sdtContent>
            </w:sdt>
            <w:bookmarkEnd w:id="0"/>
          </w:p>
        </w:tc>
      </w:tr>
      <w:tr w:rsidR="00F46B68" w:rsidRPr="009E6200" w14:paraId="7B9878DD" w14:textId="77777777" w:rsidTr="00CC6651">
        <w:tc>
          <w:tcPr>
            <w:tcW w:w="2268" w:type="dxa"/>
          </w:tcPr>
          <w:p w14:paraId="73CB143D" w14:textId="77777777" w:rsidR="00317FD1" w:rsidRPr="009E6200" w:rsidRDefault="00317FD1" w:rsidP="007B46F5">
            <w:pPr>
              <w:pStyle w:val="SDText"/>
              <w:jc w:val="both"/>
              <w:rPr>
                <w:rFonts w:cs="Times New Roman"/>
                <w:b/>
                <w:sz w:val="20"/>
                <w:szCs w:val="20"/>
                <w:lang w:eastAsia="ru-RU"/>
              </w:rPr>
            </w:pPr>
            <w:r w:rsidRPr="009E6200">
              <w:rPr>
                <w:rFonts w:cs="Times New Roman"/>
                <w:b/>
                <w:sz w:val="20"/>
                <w:szCs w:val="20"/>
              </w:rPr>
              <w:t>Идентификационный номер:</w:t>
            </w:r>
          </w:p>
        </w:tc>
        <w:tc>
          <w:tcPr>
            <w:tcW w:w="7077" w:type="dxa"/>
          </w:tcPr>
          <w:p w14:paraId="50D44CF0" w14:textId="77777777" w:rsidR="00317FD1" w:rsidRPr="009E6200" w:rsidRDefault="00B851EA" w:rsidP="007B46F5">
            <w:pPr>
              <w:pStyle w:val="ProtID"/>
              <w:jc w:val="both"/>
              <w:rPr>
                <w:color w:val="auto"/>
              </w:rPr>
            </w:pPr>
            <w:r w:rsidRPr="009E6200">
              <w:rPr>
                <w:color w:val="auto"/>
              </w:rPr>
              <w:t>CL01011070</w:t>
            </w:r>
          </w:p>
        </w:tc>
      </w:tr>
      <w:tr w:rsidR="00F46B68" w:rsidRPr="009E6200" w14:paraId="0F3354C7" w14:textId="77777777" w:rsidTr="00CC6651">
        <w:tc>
          <w:tcPr>
            <w:tcW w:w="2268" w:type="dxa"/>
          </w:tcPr>
          <w:p w14:paraId="2361A2C9" w14:textId="77777777" w:rsidR="00317FD1" w:rsidRPr="009E6200" w:rsidRDefault="00317FD1" w:rsidP="007B46F5">
            <w:pPr>
              <w:pStyle w:val="SDText"/>
              <w:jc w:val="both"/>
              <w:rPr>
                <w:rFonts w:cs="Times New Roman"/>
                <w:b/>
                <w:sz w:val="20"/>
                <w:szCs w:val="20"/>
                <w:lang w:val="en-US" w:eastAsia="ru-RU"/>
              </w:rPr>
            </w:pPr>
            <w:r w:rsidRPr="009E6200">
              <w:rPr>
                <w:rFonts w:cs="Times New Roman"/>
                <w:b/>
                <w:sz w:val="20"/>
                <w:szCs w:val="20"/>
                <w:lang w:eastAsia="ru-RU"/>
              </w:rPr>
              <w:t>Версия протокола:</w:t>
            </w:r>
          </w:p>
        </w:tc>
        <w:tc>
          <w:tcPr>
            <w:tcW w:w="7077" w:type="dxa"/>
          </w:tcPr>
          <w:p w14:paraId="73AEAD18" w14:textId="6B68CB45" w:rsidR="00317FD1" w:rsidRPr="009E6200" w:rsidRDefault="00887681" w:rsidP="007B46F5">
            <w:pPr>
              <w:pStyle w:val="ProtVers"/>
              <w:jc w:val="both"/>
              <w:rPr>
                <w:color w:val="auto"/>
                <w:lang w:val="ru-RU"/>
              </w:rPr>
            </w:pPr>
            <w:r>
              <w:rPr>
                <w:color w:val="auto"/>
                <w:lang w:val="ru-RU"/>
              </w:rPr>
              <w:t>4</w:t>
            </w:r>
            <w:r w:rsidR="00CB5EAC" w:rsidRPr="009E6200">
              <w:rPr>
                <w:color w:val="auto"/>
              </w:rPr>
              <w:t>.</w:t>
            </w:r>
            <w:r w:rsidR="00DA24D0" w:rsidRPr="009E6200">
              <w:rPr>
                <w:color w:val="auto"/>
                <w:lang w:val="ru-RU"/>
              </w:rPr>
              <w:t>0</w:t>
            </w:r>
          </w:p>
        </w:tc>
      </w:tr>
      <w:tr w:rsidR="00F46B68" w:rsidRPr="009E6200" w14:paraId="2249CA1E" w14:textId="77777777" w:rsidTr="00CC6651">
        <w:tc>
          <w:tcPr>
            <w:tcW w:w="2268" w:type="dxa"/>
          </w:tcPr>
          <w:p w14:paraId="3F480EDD" w14:textId="77777777" w:rsidR="00317FD1" w:rsidRPr="009E6200" w:rsidRDefault="00317FD1" w:rsidP="007B46F5">
            <w:pPr>
              <w:pStyle w:val="SDText"/>
              <w:jc w:val="both"/>
              <w:rPr>
                <w:rFonts w:cs="Times New Roman"/>
                <w:b/>
                <w:sz w:val="20"/>
                <w:szCs w:val="20"/>
                <w:lang w:eastAsia="ru-RU"/>
              </w:rPr>
            </w:pPr>
            <w:r w:rsidRPr="009E6200">
              <w:rPr>
                <w:rFonts w:cs="Times New Roman"/>
                <w:b/>
                <w:sz w:val="20"/>
                <w:szCs w:val="20"/>
                <w:lang w:eastAsia="ru-RU"/>
              </w:rPr>
              <w:t>Дата версии:</w:t>
            </w:r>
          </w:p>
        </w:tc>
        <w:tc>
          <w:tcPr>
            <w:tcW w:w="7077" w:type="dxa"/>
          </w:tcPr>
          <w:p w14:paraId="4A6F1372" w14:textId="7184C1A5" w:rsidR="00317FD1" w:rsidRPr="009E6200" w:rsidRDefault="007B46F5" w:rsidP="007B46F5">
            <w:pPr>
              <w:pStyle w:val="ProtVersDate"/>
              <w:jc w:val="both"/>
              <w:rPr>
                <w:color w:val="auto"/>
                <w:lang w:val="en-US"/>
              </w:rPr>
            </w:pPr>
            <w:r>
              <w:rPr>
                <w:color w:val="auto"/>
              </w:rPr>
              <w:t>01</w:t>
            </w:r>
            <w:r>
              <w:rPr>
                <w:color w:val="auto"/>
                <w:lang w:val="en-US"/>
              </w:rPr>
              <w:t xml:space="preserve"> декабря</w:t>
            </w:r>
            <w:r w:rsidR="00887681">
              <w:rPr>
                <w:color w:val="auto"/>
              </w:rPr>
              <w:t xml:space="preserve"> </w:t>
            </w:r>
            <w:r w:rsidR="00961083" w:rsidRPr="00092D27">
              <w:rPr>
                <w:color w:val="auto"/>
                <w:lang w:val="en-US"/>
              </w:rPr>
              <w:t>20</w:t>
            </w:r>
            <w:r w:rsidR="00A11119">
              <w:rPr>
                <w:color w:val="auto"/>
              </w:rPr>
              <w:t>22</w:t>
            </w:r>
          </w:p>
        </w:tc>
      </w:tr>
      <w:tr w:rsidR="007B46F5" w:rsidRPr="009E6200" w14:paraId="3188FB31" w14:textId="77777777" w:rsidTr="00CC6651">
        <w:tc>
          <w:tcPr>
            <w:tcW w:w="2268" w:type="dxa"/>
          </w:tcPr>
          <w:p w14:paraId="4789EA4F" w14:textId="5D536AFF" w:rsidR="007B46F5" w:rsidRPr="009E6200" w:rsidRDefault="007B46F5" w:rsidP="007B46F5">
            <w:pPr>
              <w:pStyle w:val="SDText"/>
              <w:jc w:val="both"/>
              <w:rPr>
                <w:rFonts w:cs="Times New Roman"/>
                <w:b/>
                <w:sz w:val="20"/>
                <w:szCs w:val="20"/>
                <w:lang w:eastAsia="ru-RU"/>
              </w:rPr>
            </w:pPr>
            <w:r>
              <w:rPr>
                <w:rFonts w:cs="Times New Roman"/>
                <w:b/>
                <w:sz w:val="20"/>
                <w:szCs w:val="20"/>
                <w:lang w:eastAsia="ru-RU"/>
              </w:rPr>
              <w:t>Заменяет версию:</w:t>
            </w:r>
          </w:p>
        </w:tc>
        <w:tc>
          <w:tcPr>
            <w:tcW w:w="7077" w:type="dxa"/>
          </w:tcPr>
          <w:p w14:paraId="10EEBB02" w14:textId="10E925F2" w:rsidR="007B46F5" w:rsidRDefault="007B46F5" w:rsidP="007B46F5">
            <w:pPr>
              <w:pStyle w:val="ProtVersDate"/>
              <w:jc w:val="both"/>
              <w:rPr>
                <w:color w:val="auto"/>
              </w:rPr>
            </w:pPr>
            <w:r>
              <w:rPr>
                <w:color w:val="auto"/>
              </w:rPr>
              <w:t xml:space="preserve">3.0 от </w:t>
            </w:r>
            <w:r w:rsidRPr="007B46F5">
              <w:rPr>
                <w:color w:val="auto"/>
              </w:rPr>
              <w:t>08 июля 2022 г.</w:t>
            </w:r>
          </w:p>
        </w:tc>
      </w:tr>
      <w:tr w:rsidR="00F46B68" w:rsidRPr="009E6200" w14:paraId="3E497206" w14:textId="77777777" w:rsidTr="00CC6651">
        <w:tc>
          <w:tcPr>
            <w:tcW w:w="2268" w:type="dxa"/>
          </w:tcPr>
          <w:p w14:paraId="03DBA23D" w14:textId="77777777" w:rsidR="00317FD1" w:rsidRPr="009E6200" w:rsidRDefault="00317FD1" w:rsidP="007B46F5">
            <w:pPr>
              <w:pStyle w:val="SDText"/>
              <w:jc w:val="both"/>
              <w:rPr>
                <w:rFonts w:cs="Times New Roman"/>
                <w:b/>
                <w:sz w:val="20"/>
                <w:szCs w:val="20"/>
                <w:lang w:eastAsia="ru-RU"/>
              </w:rPr>
            </w:pPr>
            <w:r w:rsidRPr="009E6200">
              <w:rPr>
                <w:rFonts w:cs="Times New Roman"/>
                <w:b/>
                <w:sz w:val="20"/>
                <w:szCs w:val="20"/>
                <w:lang w:eastAsia="ru-RU"/>
              </w:rPr>
              <w:t>Исследуемый препарат:</w:t>
            </w:r>
          </w:p>
        </w:tc>
        <w:tc>
          <w:tcPr>
            <w:tcW w:w="7077" w:type="dxa"/>
          </w:tcPr>
          <w:p w14:paraId="1BEBC0A0" w14:textId="77777777" w:rsidR="00317FD1" w:rsidRPr="009E6200" w:rsidRDefault="0025247C" w:rsidP="007B46F5">
            <w:pPr>
              <w:pStyle w:val="IpName"/>
              <w:jc w:val="both"/>
              <w:rPr>
                <w:color w:val="auto"/>
              </w:rPr>
            </w:pPr>
            <w:r w:rsidRPr="009E6200">
              <w:rPr>
                <w:color w:val="auto"/>
                <w:lang w:val="en-US"/>
              </w:rPr>
              <w:t>RPH</w:t>
            </w:r>
            <w:r w:rsidRPr="009E6200">
              <w:rPr>
                <w:color w:val="auto"/>
              </w:rPr>
              <w:t>-001</w:t>
            </w:r>
            <w:r w:rsidR="00B851EA" w:rsidRPr="009E6200">
              <w:rPr>
                <w:color w:val="auto"/>
              </w:rPr>
              <w:t xml:space="preserve"> (АО «Р-Фарм», Россия)</w:t>
            </w:r>
          </w:p>
        </w:tc>
      </w:tr>
      <w:tr w:rsidR="00F46B68" w:rsidRPr="009E6200" w14:paraId="3BC12B92" w14:textId="77777777" w:rsidTr="00CC6651">
        <w:tc>
          <w:tcPr>
            <w:tcW w:w="2268" w:type="dxa"/>
          </w:tcPr>
          <w:p w14:paraId="22A816FD" w14:textId="77777777" w:rsidR="00317FD1" w:rsidRPr="009E6200" w:rsidRDefault="00317FD1" w:rsidP="007B46F5">
            <w:pPr>
              <w:pStyle w:val="SDText"/>
              <w:jc w:val="both"/>
              <w:rPr>
                <w:rFonts w:cs="Times New Roman"/>
                <w:b/>
                <w:sz w:val="20"/>
                <w:szCs w:val="20"/>
                <w:lang w:eastAsia="ru-RU"/>
              </w:rPr>
            </w:pPr>
            <w:r w:rsidRPr="009E6200">
              <w:rPr>
                <w:rFonts w:cs="Times New Roman"/>
                <w:b/>
                <w:sz w:val="20"/>
                <w:szCs w:val="20"/>
                <w:lang w:eastAsia="ru-RU"/>
              </w:rPr>
              <w:t>Международное непатентованное наименование:</w:t>
            </w:r>
          </w:p>
        </w:tc>
        <w:tc>
          <w:tcPr>
            <w:tcW w:w="7077" w:type="dxa"/>
          </w:tcPr>
          <w:p w14:paraId="2586B457" w14:textId="77777777" w:rsidR="00317FD1" w:rsidRPr="009E6200" w:rsidRDefault="0025247C" w:rsidP="007B46F5">
            <w:pPr>
              <w:pStyle w:val="SDText"/>
              <w:jc w:val="both"/>
              <w:rPr>
                <w:rFonts w:cs="Times New Roman"/>
                <w:lang w:eastAsia="ru-RU"/>
              </w:rPr>
            </w:pPr>
            <w:r w:rsidRPr="009E6200">
              <w:rPr>
                <w:rFonts w:cs="Times New Roman"/>
                <w:lang w:eastAsia="ru-RU"/>
              </w:rPr>
              <w:t>Бевацизумаб</w:t>
            </w:r>
          </w:p>
        </w:tc>
      </w:tr>
      <w:tr w:rsidR="00F46B68" w:rsidRPr="009E6200" w14:paraId="70D62578" w14:textId="77777777" w:rsidTr="00CC6651">
        <w:tc>
          <w:tcPr>
            <w:tcW w:w="2268" w:type="dxa"/>
          </w:tcPr>
          <w:p w14:paraId="7CB16231" w14:textId="77777777" w:rsidR="00317FD1" w:rsidRPr="009E6200" w:rsidRDefault="00317FD1" w:rsidP="007B46F5">
            <w:pPr>
              <w:pStyle w:val="SDText"/>
              <w:jc w:val="both"/>
              <w:rPr>
                <w:rFonts w:cs="Times New Roman"/>
                <w:b/>
                <w:sz w:val="20"/>
                <w:szCs w:val="20"/>
                <w:lang w:eastAsia="ru-RU"/>
              </w:rPr>
            </w:pPr>
            <w:r w:rsidRPr="009E6200">
              <w:rPr>
                <w:rFonts w:cs="Times New Roman"/>
                <w:b/>
                <w:sz w:val="20"/>
                <w:szCs w:val="20"/>
                <w:lang w:eastAsia="ru-RU"/>
              </w:rPr>
              <w:t>Лекарственная форма</w:t>
            </w:r>
            <w:r w:rsidRPr="009E6200">
              <w:rPr>
                <w:rFonts w:cs="Times New Roman"/>
                <w:b/>
                <w:sz w:val="20"/>
                <w:szCs w:val="20"/>
                <w:lang w:val="en-US" w:eastAsia="ru-RU"/>
              </w:rPr>
              <w:t xml:space="preserve"> </w:t>
            </w:r>
            <w:r w:rsidRPr="009E6200">
              <w:rPr>
                <w:rFonts w:cs="Times New Roman"/>
                <w:b/>
                <w:sz w:val="20"/>
                <w:szCs w:val="20"/>
                <w:lang w:eastAsia="ru-RU"/>
              </w:rPr>
              <w:t>и дозировка:</w:t>
            </w:r>
          </w:p>
        </w:tc>
        <w:tc>
          <w:tcPr>
            <w:tcW w:w="7077" w:type="dxa"/>
          </w:tcPr>
          <w:p w14:paraId="3C10F00E" w14:textId="77777777" w:rsidR="00317FD1" w:rsidRPr="009E6200" w:rsidRDefault="005A1253" w:rsidP="007B46F5">
            <w:pPr>
              <w:pStyle w:val="SDText"/>
              <w:jc w:val="both"/>
              <w:rPr>
                <w:rFonts w:cs="Times New Roman"/>
                <w:lang w:eastAsia="ru-RU"/>
              </w:rPr>
            </w:pPr>
            <w:r w:rsidRPr="009E6200">
              <w:rPr>
                <w:lang w:eastAsia="ru-RU"/>
              </w:rPr>
              <w:t>Концентрат для приготовления раствора дли инфузий, 100 мг / 4 мл</w:t>
            </w:r>
          </w:p>
        </w:tc>
      </w:tr>
      <w:tr w:rsidR="00F46B68" w:rsidRPr="009E6200" w14:paraId="2B1EB920" w14:textId="77777777" w:rsidTr="00CC6651">
        <w:tc>
          <w:tcPr>
            <w:tcW w:w="2268" w:type="dxa"/>
          </w:tcPr>
          <w:p w14:paraId="62686B5F" w14:textId="77777777" w:rsidR="00317FD1" w:rsidRPr="009E6200" w:rsidRDefault="00317FD1" w:rsidP="007B46F5">
            <w:pPr>
              <w:pStyle w:val="SDText"/>
              <w:jc w:val="both"/>
              <w:rPr>
                <w:rFonts w:cs="Times New Roman"/>
                <w:b/>
                <w:sz w:val="20"/>
                <w:szCs w:val="20"/>
                <w:lang w:eastAsia="ru-RU"/>
              </w:rPr>
            </w:pPr>
            <w:r w:rsidRPr="009E6200">
              <w:rPr>
                <w:rFonts w:cs="Times New Roman"/>
                <w:b/>
                <w:sz w:val="20"/>
                <w:szCs w:val="20"/>
                <w:lang w:eastAsia="ru-RU"/>
              </w:rPr>
              <w:t>Фаза исследования:</w:t>
            </w:r>
          </w:p>
        </w:tc>
        <w:bookmarkStart w:id="1" w:name="OLE_LINK_Phase"/>
        <w:tc>
          <w:tcPr>
            <w:tcW w:w="7077" w:type="dxa"/>
          </w:tcPr>
          <w:p w14:paraId="5AEC023D" w14:textId="77777777" w:rsidR="00317FD1" w:rsidRPr="009E6200" w:rsidRDefault="00E767EF" w:rsidP="007B46F5">
            <w:pPr>
              <w:pStyle w:val="SDText"/>
              <w:tabs>
                <w:tab w:val="left" w:pos="4166"/>
              </w:tabs>
              <w:jc w:val="both"/>
              <w:rPr>
                <w:rFonts w:cs="Times New Roman"/>
                <w:lang w:val="en-US" w:eastAsia="ru-RU"/>
              </w:rPr>
            </w:pPr>
            <w:sdt>
              <w:sdtPr>
                <w:rPr>
                  <w:rFonts w:cs="Times New Roman"/>
                  <w:lang w:val="en-US" w:eastAsia="ru-RU"/>
                </w:rPr>
                <w:alias w:val="Фаза исследования"/>
                <w:tag w:val="Фаза исследования"/>
                <w:id w:val="-1217653391"/>
                <w:placeholder>
                  <w:docPart w:val="DefaultPlaceholder_-1854013440"/>
                </w:placeholder>
              </w:sdtPr>
              <w:sdtEndPr/>
              <w:sdtContent>
                <w:r w:rsidR="0025247C" w:rsidRPr="009E6200">
                  <w:rPr>
                    <w:rFonts w:cs="Times New Roman"/>
                    <w:lang w:val="en-US" w:eastAsia="ru-RU"/>
                  </w:rPr>
                  <w:t>III</w:t>
                </w:r>
              </w:sdtContent>
            </w:sdt>
            <w:bookmarkEnd w:id="1"/>
          </w:p>
        </w:tc>
      </w:tr>
      <w:tr w:rsidR="00317FD1" w:rsidRPr="009E6200" w14:paraId="06FF86A5" w14:textId="77777777" w:rsidTr="00CC6651">
        <w:tc>
          <w:tcPr>
            <w:tcW w:w="2268" w:type="dxa"/>
          </w:tcPr>
          <w:p w14:paraId="54B0C7BB" w14:textId="77777777" w:rsidR="00317FD1" w:rsidRPr="009E6200" w:rsidRDefault="00317FD1" w:rsidP="007B46F5">
            <w:pPr>
              <w:pStyle w:val="SDText"/>
              <w:jc w:val="both"/>
              <w:rPr>
                <w:rFonts w:cs="Times New Roman"/>
                <w:b/>
                <w:sz w:val="20"/>
                <w:szCs w:val="20"/>
                <w:lang w:eastAsia="ru-RU"/>
              </w:rPr>
            </w:pPr>
            <w:r w:rsidRPr="009E6200">
              <w:rPr>
                <w:rFonts w:cs="Times New Roman"/>
                <w:b/>
                <w:sz w:val="20"/>
                <w:szCs w:val="20"/>
                <w:lang w:eastAsia="ru-RU"/>
              </w:rPr>
              <w:t>Спонсор исследования</w:t>
            </w:r>
          </w:p>
        </w:tc>
        <w:bookmarkStart w:id="2" w:name="OLE_LINK_Sponsor" w:displacedByCustomXml="next"/>
        <w:sdt>
          <w:sdtPr>
            <w:rPr>
              <w:color w:val="auto"/>
            </w:rPr>
            <w:alias w:val="Спонсор исследования"/>
            <w:tag w:val="Спонсор исследования"/>
            <w:id w:val="-114832208"/>
            <w:placeholder>
              <w:docPart w:val="3146126B43F94A29800A2A276BCF2DC0"/>
            </w:placeholder>
          </w:sdtPr>
          <w:sdtEndPr/>
          <w:sdtContent>
            <w:tc>
              <w:tcPr>
                <w:tcW w:w="7077" w:type="dxa"/>
              </w:tcPr>
              <w:p w14:paraId="1CEB393C" w14:textId="77777777" w:rsidR="00317FD1" w:rsidRPr="009E6200" w:rsidRDefault="00ED52E5" w:rsidP="007B46F5">
                <w:pPr>
                  <w:pStyle w:val="Sponsor"/>
                  <w:jc w:val="both"/>
                  <w:rPr>
                    <w:color w:val="auto"/>
                  </w:rPr>
                </w:pPr>
                <w:r w:rsidRPr="009E6200">
                  <w:rPr>
                    <w:color w:val="auto"/>
                  </w:rPr>
                  <w:t>АО «Р-Фарм»</w:t>
                </w:r>
              </w:p>
            </w:tc>
          </w:sdtContent>
        </w:sdt>
        <w:bookmarkEnd w:id="2" w:displacedByCustomXml="prev"/>
      </w:tr>
    </w:tbl>
    <w:p w14:paraId="13DD253C" w14:textId="77777777" w:rsidR="00317FD1" w:rsidRPr="009E6200" w:rsidRDefault="00317FD1" w:rsidP="007B46F5">
      <w:pPr>
        <w:pStyle w:val="SDText"/>
        <w:jc w:val="both"/>
        <w:rPr>
          <w:rFonts w:cs="Times New Roman"/>
          <w:lang w:eastAsia="ru-RU"/>
        </w:rPr>
      </w:pPr>
    </w:p>
    <w:p w14:paraId="25EA389A" w14:textId="77777777" w:rsidR="00317FD1" w:rsidRPr="009E6200" w:rsidRDefault="00317FD1" w:rsidP="007B46F5">
      <w:pPr>
        <w:pStyle w:val="SDText"/>
        <w:jc w:val="both"/>
        <w:rPr>
          <w:rFonts w:cs="Times New Roman"/>
          <w:lang w:eastAsia="ru-RU"/>
        </w:rPr>
      </w:pPr>
    </w:p>
    <w:p w14:paraId="44286741" w14:textId="1244F66C" w:rsidR="00317FD1" w:rsidRDefault="00317FD1" w:rsidP="007B46F5">
      <w:pPr>
        <w:pStyle w:val="SDText"/>
        <w:jc w:val="both"/>
        <w:rPr>
          <w:rFonts w:cs="Times New Roman"/>
          <w:b/>
        </w:rPr>
      </w:pPr>
      <w:r w:rsidRPr="009E6200">
        <w:rPr>
          <w:rFonts w:cs="Times New Roman"/>
          <w:b/>
        </w:rPr>
        <w:t>Уведомление о Конфиденциальности</w:t>
      </w:r>
    </w:p>
    <w:p w14:paraId="7AAE3C70" w14:textId="77777777" w:rsidR="00887681" w:rsidRPr="009E6200" w:rsidRDefault="00887681" w:rsidP="007B46F5">
      <w:pPr>
        <w:pStyle w:val="SDText"/>
        <w:jc w:val="both"/>
        <w:rPr>
          <w:rFonts w:cs="Times New Roman"/>
          <w:b/>
        </w:rPr>
      </w:pPr>
    </w:p>
    <w:p w14:paraId="7B3F27CE" w14:textId="518A6F81" w:rsidR="00EF25E9" w:rsidRPr="009E6200" w:rsidRDefault="00317FD1" w:rsidP="007B46F5">
      <w:pPr>
        <w:pStyle w:val="SDText"/>
        <w:ind w:firstLine="709"/>
        <w:jc w:val="both"/>
        <w:rPr>
          <w:lang w:eastAsia="ru-RU"/>
        </w:rPr>
      </w:pPr>
      <w:r w:rsidRPr="009E6200">
        <w:rPr>
          <w:szCs w:val="24"/>
        </w:rPr>
        <w:t>Этот документ предназначен для использования стороной, которой он был адресован, и содержит не подлежащую разглашению, конфиденциальную информацию и/или коммерческую тайну, защищаемую от раскрытия в соответствии с действующим законом. Принимая такую документацию, сторона признает, что такой материал является конфиденциальным, и соглашается не раскрывать ее любому третьему лицу без предварительного письменного согласия</w:t>
      </w:r>
      <w:r w:rsidR="004D0065" w:rsidRPr="009E6200">
        <w:rPr>
          <w:szCs w:val="24"/>
        </w:rPr>
        <w:t xml:space="preserve"> спонсора исследования</w:t>
      </w:r>
      <w:r w:rsidR="00A20D86" w:rsidRPr="009E6200">
        <w:rPr>
          <w:szCs w:val="24"/>
        </w:rPr>
        <w:t xml:space="preserve"> </w:t>
      </w:r>
      <w:r w:rsidR="009864D8" w:rsidRPr="009E6200">
        <w:rPr>
          <w:rFonts w:eastAsiaTheme="majorEastAsia"/>
          <w:szCs w:val="32"/>
        </w:rPr>
        <w:fldChar w:fldCharType="begin"/>
      </w:r>
      <w:r w:rsidR="009864D8" w:rsidRPr="009E6200">
        <w:instrText xml:space="preserve"> REF OLE_LINK_Sponsor \h </w:instrText>
      </w:r>
      <w:r w:rsidR="009E6200">
        <w:rPr>
          <w:rFonts w:eastAsiaTheme="majorEastAsia"/>
          <w:szCs w:val="32"/>
        </w:rPr>
        <w:instrText xml:space="preserve"> \* MERGEFORMAT </w:instrText>
      </w:r>
      <w:r w:rsidR="009864D8" w:rsidRPr="009E6200">
        <w:rPr>
          <w:rFonts w:eastAsiaTheme="majorEastAsia"/>
          <w:szCs w:val="32"/>
        </w:rPr>
      </w:r>
      <w:r w:rsidR="009864D8" w:rsidRPr="009E6200">
        <w:rPr>
          <w:rFonts w:eastAsiaTheme="majorEastAsia"/>
          <w:szCs w:val="32"/>
        </w:rPr>
        <w:fldChar w:fldCharType="separate"/>
      </w:r>
      <w:sdt>
        <w:sdtPr>
          <w:alias w:val="Спонсор исследования"/>
          <w:tag w:val="Спонсор исследования"/>
          <w:id w:val="26921621"/>
          <w:placeholder>
            <w:docPart w:val="0ACBF6F629B8465ABD63D65D003C490B"/>
          </w:placeholder>
        </w:sdtPr>
        <w:sdtEndPr/>
        <w:sdtContent>
          <w:r w:rsidR="005A436A" w:rsidRPr="009E6200">
            <w:t>АО «Р-Фарм»</w:t>
          </w:r>
        </w:sdtContent>
      </w:sdt>
      <w:r w:rsidR="009864D8" w:rsidRPr="009E6200">
        <w:rPr>
          <w:rFonts w:cs="Times New Roman"/>
          <w:lang w:eastAsia="ru-RU"/>
        </w:rPr>
        <w:fldChar w:fldCharType="end"/>
      </w:r>
      <w:r w:rsidR="009864D8" w:rsidRPr="009E6200">
        <w:rPr>
          <w:rFonts w:cs="Times New Roman"/>
          <w:lang w:eastAsia="ru-RU"/>
        </w:rPr>
        <w:t xml:space="preserve"> </w:t>
      </w:r>
      <w:r w:rsidRPr="009E6200">
        <w:rPr>
          <w:rFonts w:cs="Times New Roman"/>
          <w:szCs w:val="24"/>
        </w:rPr>
        <w:t>и не использовать ее в любой другой цели, кроме предназначенной.</w:t>
      </w:r>
    </w:p>
    <w:p w14:paraId="6FF7E23B" w14:textId="687F4CA7" w:rsidR="005B03A3" w:rsidRPr="009E6200" w:rsidRDefault="008458CC" w:rsidP="007B46F5">
      <w:pPr>
        <w:jc w:val="both"/>
        <w:outlineLvl w:val="0"/>
        <w:rPr>
          <w:rFonts w:cs="Times New Roman"/>
          <w:b/>
          <w:sz w:val="32"/>
          <w:szCs w:val="24"/>
        </w:rPr>
      </w:pPr>
      <w:r w:rsidRPr="009E6200">
        <w:rPr>
          <w:rFonts w:cs="Calibri"/>
          <w:szCs w:val="24"/>
        </w:rPr>
        <w:br w:type="page"/>
      </w:r>
      <w:bookmarkStart w:id="3" w:name="_Toc523731554"/>
      <w:bookmarkStart w:id="4" w:name="_Toc120865213"/>
      <w:bookmarkStart w:id="5" w:name="_Toc433895163"/>
      <w:bookmarkStart w:id="6" w:name="_Toc433990960"/>
      <w:r w:rsidR="005B03A3" w:rsidRPr="007B46F5">
        <w:rPr>
          <w:rFonts w:cs="Times New Roman"/>
          <w:b/>
          <w:sz w:val="28"/>
          <w:szCs w:val="24"/>
        </w:rPr>
        <w:lastRenderedPageBreak/>
        <w:t>Страница одобрения протокола спонсором исследования</w:t>
      </w:r>
      <w:bookmarkEnd w:id="3"/>
      <w:bookmarkEnd w:id="4"/>
    </w:p>
    <w:p w14:paraId="13AEE25B" w14:textId="77777777" w:rsidR="005B03A3" w:rsidRPr="009E6200" w:rsidRDefault="005B03A3" w:rsidP="007B46F5">
      <w:pPr>
        <w:jc w:val="both"/>
        <w:rPr>
          <w:rFonts w:cs="Times New Roman"/>
          <w:b/>
          <w:szCs w:val="24"/>
        </w:rPr>
      </w:pPr>
    </w:p>
    <w:p w14:paraId="372E6658" w14:textId="4163780E" w:rsidR="005B03A3" w:rsidRPr="009E6200" w:rsidRDefault="005B03A3" w:rsidP="007B46F5">
      <w:pPr>
        <w:jc w:val="both"/>
        <w:rPr>
          <w:rFonts w:cs="Times New Roman"/>
          <w:szCs w:val="24"/>
        </w:rPr>
      </w:pPr>
      <w:r w:rsidRPr="009E6200">
        <w:rPr>
          <w:rFonts w:cs="Times New Roman"/>
          <w:b/>
          <w:szCs w:val="24"/>
        </w:rPr>
        <w:t>Название протокола:</w:t>
      </w:r>
      <w:r w:rsidRPr="009E6200">
        <w:rPr>
          <w:rFonts w:cs="Times New Roman"/>
        </w:rPr>
        <w:t xml:space="preserve"> </w:t>
      </w:r>
      <w:sdt>
        <w:sdtPr>
          <w:id w:val="-1355031497"/>
          <w:placeholder>
            <w:docPart w:val="FFC3F02904D14899B46BAAF727D27C1A"/>
          </w:placeholder>
        </w:sdtPr>
        <w:sdtEndPr/>
        <w:sdtContent>
          <w:sdt>
            <w:sdtPr>
              <w:id w:val="-1587212157"/>
              <w:placeholder>
                <w:docPart w:val="12D2BE05EFC445E8BE6BC116C2182C56"/>
              </w:placeholder>
            </w:sdtPr>
            <w:sdtEndPr/>
            <w:sdtContent>
              <w:r w:rsidRPr="009E6200">
                <w:fldChar w:fldCharType="begin"/>
              </w:r>
              <w:r w:rsidRPr="009E6200">
                <w:instrText xml:space="preserve"> </w:instrText>
              </w:r>
              <w:r w:rsidRPr="009E6200">
                <w:rPr>
                  <w:lang w:val="en-US"/>
                </w:rPr>
                <w:instrText>REF</w:instrText>
              </w:r>
              <w:r w:rsidRPr="009E6200">
                <w:instrText xml:space="preserve"> "OLE_LINK1"</w:instrText>
              </w:r>
              <w:r w:rsidR="009E6200">
                <w:instrText xml:space="preserve"> \* MERGEFORMAT </w:instrText>
              </w:r>
              <w:r w:rsidRPr="009E6200">
                <w:fldChar w:fldCharType="separate"/>
              </w:r>
              <w:sdt>
                <w:sdtPr>
                  <w:alias w:val="Название исследования"/>
                  <w:tag w:val="Название исследования"/>
                  <w:id w:val="-1067646006"/>
                  <w:placeholder>
                    <w:docPart w:val="44A78374739645A98B6C95AE7F23F5D4"/>
                  </w:placeholder>
                </w:sdtPr>
                <w:sdtEndPr/>
                <w:sdtContent>
                  <w:sdt>
                    <w:sdtPr>
                      <w:alias w:val="Название исследования"/>
                      <w:tag w:val="Название исследования"/>
                      <w:id w:val="-1431729524"/>
                      <w:placeholder>
                        <w:docPart w:val="4278AB0F890D49CFB8BC88FE553C92BB"/>
                      </w:placeholder>
                    </w:sdtPr>
                    <w:sdtEndPr/>
                    <w:sdtContent>
                      <w:r w:rsidR="005A436A" w:rsidRPr="009E6200">
                        <w:t>Рандомизированное, многоцентровое, двойное слепое клиническое исследование для оценки эффективности и безопасности препарата RPH-001 (биоаналога Авастина</w:t>
                      </w:r>
                      <w:r w:rsidR="005A436A" w:rsidRPr="009E6200">
                        <w:rPr>
                          <w:vertAlign w:val="superscript"/>
                        </w:rPr>
                        <w:t>®</w:t>
                      </w:r>
                      <w:r w:rsidR="005A436A" w:rsidRPr="009E6200">
                        <w:t>, АО «Р-Фарм», Россия ) в сравнении с Авастином</w:t>
                      </w:r>
                      <w:r w:rsidR="005A436A" w:rsidRPr="009E6200">
                        <w:rPr>
                          <w:vertAlign w:val="superscript"/>
                        </w:rPr>
                        <w:t>®</w:t>
                      </w:r>
                      <w:r w:rsidR="005A436A" w:rsidRPr="009E6200">
                        <w:t xml:space="preserve"> (Ф. Хоффманн-Ля Рош Лтд., Швейцария) в комбинации с карбоплатином и паклитакселом в лечении пациентов с неплоскоклеточным немелкоклеточным раком легкого стадии IIIB/IV</w:t>
                      </w:r>
                    </w:sdtContent>
                  </w:sdt>
                </w:sdtContent>
              </w:sdt>
              <w:r w:rsidRPr="009E6200">
                <w:fldChar w:fldCharType="end"/>
              </w:r>
            </w:sdtContent>
          </w:sdt>
        </w:sdtContent>
      </w:sdt>
    </w:p>
    <w:p w14:paraId="6DE359A2" w14:textId="77777777" w:rsidR="00887681" w:rsidRDefault="00887681" w:rsidP="007B46F5">
      <w:pPr>
        <w:tabs>
          <w:tab w:val="center" w:pos="1995"/>
          <w:tab w:val="right" w:pos="9355"/>
        </w:tabs>
        <w:jc w:val="both"/>
        <w:rPr>
          <w:rFonts w:cs="Times New Roman"/>
          <w:b/>
        </w:rPr>
      </w:pPr>
    </w:p>
    <w:p w14:paraId="0A191B09" w14:textId="064A5D20" w:rsidR="001D1A4D" w:rsidRPr="009E6200" w:rsidRDefault="005B03A3" w:rsidP="007B46F5">
      <w:pPr>
        <w:tabs>
          <w:tab w:val="center" w:pos="1995"/>
          <w:tab w:val="right" w:pos="9355"/>
        </w:tabs>
        <w:jc w:val="both"/>
        <w:rPr>
          <w:rFonts w:eastAsia="Times New Roman"/>
          <w:noProof/>
          <w:sz w:val="20"/>
          <w:szCs w:val="20"/>
        </w:rPr>
      </w:pPr>
      <w:r w:rsidRPr="009E6200">
        <w:rPr>
          <w:rFonts w:cs="Times New Roman"/>
          <w:b/>
        </w:rPr>
        <w:t>Идентификационный номер</w:t>
      </w:r>
      <w:r w:rsidRPr="009E6200">
        <w:rPr>
          <w:rFonts w:cs="Times New Roman"/>
        </w:rPr>
        <w:t xml:space="preserve">: </w:t>
      </w:r>
      <w:r w:rsidR="00226A9D" w:rsidRPr="009E6200">
        <w:rPr>
          <w:rFonts w:cs="Times New Roman"/>
        </w:rPr>
        <w:fldChar w:fldCharType="begin"/>
      </w:r>
      <w:r w:rsidR="00226A9D" w:rsidRPr="009E6200">
        <w:rPr>
          <w:rFonts w:cs="Times New Roman"/>
        </w:rPr>
        <w:instrText xml:space="preserve"> STYLEREF  ProtID  \* MERGEFORMAT </w:instrText>
      </w:r>
      <w:r w:rsidR="00226A9D" w:rsidRPr="009E6200">
        <w:rPr>
          <w:rFonts w:cs="Times New Roman"/>
        </w:rPr>
        <w:fldChar w:fldCharType="separate"/>
      </w:r>
      <w:r w:rsidR="005A436A">
        <w:rPr>
          <w:rFonts w:cs="Times New Roman"/>
          <w:noProof/>
        </w:rPr>
        <w:t>CL01011070</w:t>
      </w:r>
      <w:r w:rsidR="00226A9D" w:rsidRPr="009E6200">
        <w:rPr>
          <w:rFonts w:cs="Times New Roman"/>
        </w:rPr>
        <w:fldChar w:fldCharType="end"/>
      </w:r>
    </w:p>
    <w:p w14:paraId="46CC1366" w14:textId="77777777" w:rsidR="00887681" w:rsidRDefault="00887681" w:rsidP="007B46F5">
      <w:pPr>
        <w:pStyle w:val="SDText"/>
        <w:jc w:val="both"/>
        <w:rPr>
          <w:rFonts w:cs="Times New Roman"/>
          <w:b/>
          <w:lang w:eastAsia="ru-RU"/>
        </w:rPr>
      </w:pPr>
    </w:p>
    <w:p w14:paraId="002ECC50" w14:textId="431E23D3" w:rsidR="005B03A3" w:rsidRPr="009E6200" w:rsidRDefault="005B03A3" w:rsidP="007B46F5">
      <w:pPr>
        <w:pStyle w:val="SDText"/>
        <w:jc w:val="both"/>
        <w:rPr>
          <w:rFonts w:cs="Times New Roman"/>
          <w:lang w:eastAsia="ru-RU"/>
        </w:rPr>
      </w:pPr>
      <w:r w:rsidRPr="009E6200">
        <w:rPr>
          <w:rFonts w:cs="Times New Roman"/>
          <w:b/>
          <w:lang w:eastAsia="ru-RU"/>
        </w:rPr>
        <w:t>Версия протокола</w:t>
      </w:r>
      <w:r w:rsidRPr="009E6200">
        <w:rPr>
          <w:rFonts w:cs="Times New Roman"/>
          <w:lang w:eastAsia="ru-RU"/>
        </w:rPr>
        <w:t xml:space="preserve">: </w:t>
      </w:r>
      <w:r w:rsidR="00887681">
        <w:rPr>
          <w:rFonts w:cs="Times New Roman"/>
          <w:lang w:eastAsia="ru-RU"/>
        </w:rPr>
        <w:t>4</w:t>
      </w:r>
      <w:r w:rsidR="000A1A5F">
        <w:rPr>
          <w:rFonts w:cs="Times New Roman"/>
          <w:lang w:eastAsia="ru-RU"/>
        </w:rPr>
        <w:t>.0</w:t>
      </w:r>
    </w:p>
    <w:p w14:paraId="73B5E32D" w14:textId="77777777" w:rsidR="00887681" w:rsidRDefault="00887681" w:rsidP="007B46F5">
      <w:pPr>
        <w:pStyle w:val="SDText"/>
        <w:jc w:val="both"/>
        <w:rPr>
          <w:rFonts w:cs="Times New Roman"/>
          <w:b/>
          <w:lang w:eastAsia="ru-RU"/>
        </w:rPr>
      </w:pPr>
    </w:p>
    <w:p w14:paraId="1E60DAB4" w14:textId="5A04B0BE" w:rsidR="005B03A3" w:rsidRPr="009E6200" w:rsidRDefault="005B03A3" w:rsidP="007B46F5">
      <w:pPr>
        <w:pStyle w:val="SDText"/>
        <w:jc w:val="both"/>
        <w:rPr>
          <w:rFonts w:cs="Times New Roman"/>
          <w:lang w:eastAsia="ru-RU"/>
        </w:rPr>
      </w:pPr>
      <w:r w:rsidRPr="009E6200">
        <w:rPr>
          <w:rFonts w:cs="Times New Roman"/>
          <w:b/>
          <w:lang w:eastAsia="ru-RU"/>
        </w:rPr>
        <w:t>Дата:</w:t>
      </w:r>
      <w:r w:rsidR="005A1253" w:rsidRPr="009E6200">
        <w:rPr>
          <w:rFonts w:cs="Times New Roman"/>
          <w:lang w:eastAsia="ru-RU"/>
        </w:rPr>
        <w:t xml:space="preserve"> </w:t>
      </w:r>
      <w:r w:rsidR="001F22BE" w:rsidRPr="009E6200">
        <w:rPr>
          <w:rFonts w:cs="Times New Roman"/>
          <w:lang w:val="en-US" w:eastAsia="ru-RU"/>
        </w:rPr>
        <w:fldChar w:fldCharType="begin"/>
      </w:r>
      <w:r w:rsidR="001F22BE" w:rsidRPr="009E6200">
        <w:rPr>
          <w:rFonts w:cs="Times New Roman"/>
          <w:lang w:eastAsia="ru-RU"/>
        </w:rPr>
        <w:instrText xml:space="preserve"> </w:instrText>
      </w:r>
      <w:r w:rsidR="001F22BE" w:rsidRPr="009E6200">
        <w:rPr>
          <w:rFonts w:cs="Times New Roman"/>
          <w:lang w:val="en-US" w:eastAsia="ru-RU"/>
        </w:rPr>
        <w:instrText>STYLEREF</w:instrText>
      </w:r>
      <w:r w:rsidR="001F22BE" w:rsidRPr="009E6200">
        <w:rPr>
          <w:rFonts w:cs="Times New Roman"/>
          <w:lang w:eastAsia="ru-RU"/>
        </w:rPr>
        <w:instrText xml:space="preserve">  </w:instrText>
      </w:r>
      <w:r w:rsidR="001F22BE" w:rsidRPr="009E6200">
        <w:rPr>
          <w:rFonts w:cs="Times New Roman"/>
          <w:lang w:val="en-US" w:eastAsia="ru-RU"/>
        </w:rPr>
        <w:instrText>ProtVersDate</w:instrText>
      </w:r>
      <w:r w:rsidR="001F22BE" w:rsidRPr="009E6200">
        <w:rPr>
          <w:rFonts w:cs="Times New Roman"/>
          <w:lang w:eastAsia="ru-RU"/>
        </w:rPr>
        <w:instrText xml:space="preserve">  \* </w:instrText>
      </w:r>
      <w:r w:rsidR="001F22BE" w:rsidRPr="009E6200">
        <w:rPr>
          <w:rFonts w:cs="Times New Roman"/>
          <w:lang w:val="en-US" w:eastAsia="ru-RU"/>
        </w:rPr>
        <w:instrText>MERGEFORMAT</w:instrText>
      </w:r>
      <w:r w:rsidR="001F22BE" w:rsidRPr="009E6200">
        <w:rPr>
          <w:rFonts w:cs="Times New Roman"/>
          <w:lang w:eastAsia="ru-RU"/>
        </w:rPr>
        <w:instrText xml:space="preserve"> </w:instrText>
      </w:r>
      <w:r w:rsidR="001F22BE" w:rsidRPr="009E6200">
        <w:rPr>
          <w:rFonts w:cs="Times New Roman"/>
          <w:lang w:val="en-US" w:eastAsia="ru-RU"/>
        </w:rPr>
        <w:fldChar w:fldCharType="separate"/>
      </w:r>
      <w:r w:rsidR="007B46F5">
        <w:rPr>
          <w:rFonts w:cs="Times New Roman"/>
          <w:noProof/>
          <w:lang w:val="en-US" w:eastAsia="ru-RU"/>
        </w:rPr>
        <w:t>01</w:t>
      </w:r>
      <w:r w:rsidR="007B46F5">
        <w:rPr>
          <w:rFonts w:cs="Times New Roman"/>
          <w:noProof/>
          <w:lang w:eastAsia="ru-RU"/>
        </w:rPr>
        <w:t xml:space="preserve"> декабря</w:t>
      </w:r>
      <w:r w:rsidR="00887681">
        <w:rPr>
          <w:rFonts w:cs="Times New Roman"/>
          <w:noProof/>
          <w:lang w:eastAsia="ru-RU"/>
        </w:rPr>
        <w:t xml:space="preserve"> </w:t>
      </w:r>
      <w:r w:rsidR="005A436A" w:rsidRPr="005A436A">
        <w:rPr>
          <w:rFonts w:cs="Times New Roman"/>
          <w:noProof/>
          <w:lang w:eastAsia="ru-RU"/>
        </w:rPr>
        <w:t>2022</w:t>
      </w:r>
      <w:r w:rsidR="001F22BE" w:rsidRPr="009E6200">
        <w:rPr>
          <w:rFonts w:cs="Times New Roman"/>
          <w:lang w:val="en-US" w:eastAsia="ru-RU"/>
        </w:rPr>
        <w:fldChar w:fldCharType="end"/>
      </w:r>
    </w:p>
    <w:p w14:paraId="04B2E35E" w14:textId="77777777" w:rsidR="0025247C" w:rsidRPr="009E6200" w:rsidRDefault="0025247C" w:rsidP="007B46F5">
      <w:pPr>
        <w:pStyle w:val="SDText"/>
        <w:jc w:val="both"/>
        <w:rPr>
          <w:rFonts w:cs="Times New Roman"/>
          <w:lang w:eastAsia="ru-RU"/>
        </w:rPr>
      </w:pPr>
    </w:p>
    <w:p w14:paraId="5DC942F2" w14:textId="77777777" w:rsidR="005B03A3" w:rsidRPr="009E6200" w:rsidRDefault="005B03A3" w:rsidP="007B46F5">
      <w:pPr>
        <w:pStyle w:val="SDText"/>
        <w:jc w:val="both"/>
        <w:rPr>
          <w:rFonts w:cs="Times New Roman"/>
        </w:rPr>
      </w:pPr>
      <w:r w:rsidRPr="009E6200">
        <w:rPr>
          <w:rFonts w:cs="Times New Roman"/>
          <w:b/>
        </w:rPr>
        <w:t>Представитель спонсора</w:t>
      </w:r>
      <w:r w:rsidRPr="009E6200">
        <w:rPr>
          <w:rFonts w:cs="Times New Roman"/>
        </w:rPr>
        <w:t>:</w:t>
      </w:r>
    </w:p>
    <w:p w14:paraId="0D1A27CB" w14:textId="77777777" w:rsidR="005B03A3" w:rsidRPr="009E6200" w:rsidRDefault="005B03A3" w:rsidP="007B46F5">
      <w:pPr>
        <w:jc w:val="both"/>
        <w:rPr>
          <w:rFonts w:cs="Times New Roman"/>
          <w:b/>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tblGrid>
      <w:tr w:rsidR="00F46B68" w:rsidRPr="009E6200" w14:paraId="0FB63504" w14:textId="77777777" w:rsidTr="00CC6651">
        <w:tc>
          <w:tcPr>
            <w:tcW w:w="5670" w:type="dxa"/>
            <w:tcBorders>
              <w:bottom w:val="single" w:sz="4" w:space="0" w:color="auto"/>
            </w:tcBorders>
          </w:tcPr>
          <w:p w14:paraId="3F753D1C" w14:textId="77777777" w:rsidR="005B03A3" w:rsidRPr="009E6200" w:rsidRDefault="00B851EA" w:rsidP="007B46F5">
            <w:pPr>
              <w:jc w:val="both"/>
              <w:rPr>
                <w:rFonts w:cs="Times New Roman"/>
                <w:szCs w:val="24"/>
              </w:rPr>
            </w:pPr>
            <w:r w:rsidRPr="009E6200">
              <w:rPr>
                <w:rFonts w:cs="Times New Roman"/>
                <w:szCs w:val="24"/>
              </w:rPr>
              <w:t>Самсонов Михаил Юрьевич</w:t>
            </w:r>
          </w:p>
        </w:tc>
      </w:tr>
      <w:tr w:rsidR="00F46B68" w:rsidRPr="009E6200" w14:paraId="4D44633B" w14:textId="77777777" w:rsidTr="00CC6651">
        <w:tc>
          <w:tcPr>
            <w:tcW w:w="5670" w:type="dxa"/>
            <w:tcBorders>
              <w:top w:val="single" w:sz="4" w:space="0" w:color="auto"/>
            </w:tcBorders>
          </w:tcPr>
          <w:p w14:paraId="5C1C85C3" w14:textId="77777777" w:rsidR="005B03A3" w:rsidRPr="009E6200" w:rsidRDefault="005B03A3" w:rsidP="007B46F5">
            <w:pPr>
              <w:jc w:val="both"/>
              <w:rPr>
                <w:rFonts w:cs="Times New Roman"/>
                <w:sz w:val="12"/>
                <w:szCs w:val="12"/>
              </w:rPr>
            </w:pPr>
            <w:r w:rsidRPr="009E6200">
              <w:rPr>
                <w:rFonts w:cs="Times New Roman"/>
                <w:sz w:val="12"/>
                <w:szCs w:val="12"/>
              </w:rPr>
              <w:t>(Ф.И.О. сотрудника)</w:t>
            </w:r>
          </w:p>
        </w:tc>
      </w:tr>
      <w:tr w:rsidR="00F46B68" w:rsidRPr="009E6200" w14:paraId="2D49CB26" w14:textId="77777777" w:rsidTr="00CC6651">
        <w:tc>
          <w:tcPr>
            <w:tcW w:w="5670" w:type="dxa"/>
            <w:tcBorders>
              <w:bottom w:val="single" w:sz="4" w:space="0" w:color="auto"/>
            </w:tcBorders>
          </w:tcPr>
          <w:p w14:paraId="10A4EEDF" w14:textId="6B9C4374" w:rsidR="00CF1959" w:rsidRPr="007D3833" w:rsidRDefault="00CF1959" w:rsidP="007B46F5">
            <w:pPr>
              <w:jc w:val="both"/>
              <w:rPr>
                <w:rFonts w:eastAsia="Times New Roman" w:cs="Times New Roman"/>
                <w:szCs w:val="24"/>
              </w:rPr>
            </w:pPr>
            <w:r w:rsidRPr="007D3833">
              <w:rPr>
                <w:rFonts w:eastAsia="Times New Roman" w:cs="Times New Roman"/>
                <w:szCs w:val="24"/>
              </w:rPr>
              <w:t xml:space="preserve">Медицинский </w:t>
            </w:r>
          </w:p>
          <w:p w14:paraId="539F9CA8" w14:textId="2626EFF6" w:rsidR="005B03A3" w:rsidRPr="009E6200" w:rsidRDefault="00CF1959" w:rsidP="007B46F5">
            <w:pPr>
              <w:jc w:val="both"/>
              <w:rPr>
                <w:rFonts w:cs="Times New Roman"/>
                <w:szCs w:val="24"/>
              </w:rPr>
            </w:pPr>
            <w:r w:rsidRPr="007D3833">
              <w:rPr>
                <w:rFonts w:eastAsia="Times New Roman" w:cs="Times New Roman"/>
                <w:szCs w:val="24"/>
              </w:rPr>
              <w:t>Директор Медицинской Дирекции АО «Р-Фарм»</w:t>
            </w:r>
          </w:p>
        </w:tc>
      </w:tr>
      <w:tr w:rsidR="005B03A3" w:rsidRPr="009E6200" w14:paraId="2E3FA58A" w14:textId="77777777" w:rsidTr="00CC6651">
        <w:tc>
          <w:tcPr>
            <w:tcW w:w="5670" w:type="dxa"/>
            <w:tcBorders>
              <w:top w:val="single" w:sz="4" w:space="0" w:color="auto"/>
            </w:tcBorders>
          </w:tcPr>
          <w:p w14:paraId="03033CC9" w14:textId="77777777" w:rsidR="005B03A3" w:rsidRPr="009E6200" w:rsidRDefault="005B03A3" w:rsidP="007B46F5">
            <w:pPr>
              <w:jc w:val="both"/>
              <w:rPr>
                <w:rFonts w:cs="Times New Roman"/>
                <w:sz w:val="12"/>
                <w:szCs w:val="12"/>
              </w:rPr>
            </w:pPr>
            <w:r w:rsidRPr="009E6200">
              <w:rPr>
                <w:rFonts w:cs="Times New Roman"/>
                <w:sz w:val="12"/>
                <w:szCs w:val="12"/>
              </w:rPr>
              <w:t>(должность)</w:t>
            </w:r>
          </w:p>
        </w:tc>
      </w:tr>
    </w:tbl>
    <w:p w14:paraId="5ABE73A7" w14:textId="77777777" w:rsidR="005B03A3" w:rsidRPr="009E6200" w:rsidRDefault="005B03A3" w:rsidP="007B46F5">
      <w:pPr>
        <w:jc w:val="both"/>
        <w:rPr>
          <w:rFonts w:cs="Times New Roman"/>
          <w:b/>
          <w:szCs w:val="24"/>
        </w:rPr>
      </w:pP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958"/>
      </w:tblGrid>
      <w:tr w:rsidR="00F46B68" w:rsidRPr="009E6200" w14:paraId="1FE9DE81" w14:textId="77777777" w:rsidTr="00CC6651">
        <w:tc>
          <w:tcPr>
            <w:tcW w:w="3256" w:type="dxa"/>
          </w:tcPr>
          <w:p w14:paraId="5767BA50" w14:textId="77777777" w:rsidR="005B03A3" w:rsidRPr="009E6200" w:rsidRDefault="005B03A3" w:rsidP="007B46F5">
            <w:pPr>
              <w:pStyle w:val="NormalWeb"/>
              <w:spacing w:before="0" w:beforeAutospacing="0" w:after="0" w:afterAutospacing="0"/>
              <w:ind w:right="57"/>
              <w:jc w:val="both"/>
            </w:pPr>
            <w:r w:rsidRPr="009E6200">
              <w:t>Наименование организации:</w:t>
            </w:r>
          </w:p>
        </w:tc>
        <w:tc>
          <w:tcPr>
            <w:tcW w:w="5958" w:type="dxa"/>
          </w:tcPr>
          <w:p w14:paraId="41637770" w14:textId="77777777" w:rsidR="005B03A3" w:rsidRPr="009E6200" w:rsidRDefault="00B57A9D" w:rsidP="007B46F5">
            <w:pPr>
              <w:pStyle w:val="NormalWeb"/>
              <w:spacing w:before="0" w:beforeAutospacing="0" w:after="0" w:afterAutospacing="0"/>
              <w:jc w:val="both"/>
            </w:pPr>
            <w:r w:rsidRPr="009E6200">
              <w:t>Компания АО «Р-Фарм», Россия,</w:t>
            </w:r>
          </w:p>
        </w:tc>
      </w:tr>
      <w:tr w:rsidR="00F46B68" w:rsidRPr="009E6200" w14:paraId="3FF519E0" w14:textId="77777777" w:rsidTr="00CC6651">
        <w:tc>
          <w:tcPr>
            <w:tcW w:w="3256" w:type="dxa"/>
          </w:tcPr>
          <w:p w14:paraId="6A09B408" w14:textId="77777777" w:rsidR="005B03A3" w:rsidRPr="009E6200" w:rsidRDefault="005B03A3" w:rsidP="007B46F5">
            <w:pPr>
              <w:pStyle w:val="NormalWeb"/>
              <w:spacing w:after="0"/>
              <w:ind w:right="57"/>
              <w:jc w:val="both"/>
            </w:pPr>
            <w:r w:rsidRPr="009E6200">
              <w:t>Адрес:</w:t>
            </w:r>
            <w:r w:rsidRPr="009E6200">
              <w:tab/>
            </w:r>
          </w:p>
        </w:tc>
        <w:tc>
          <w:tcPr>
            <w:tcW w:w="5958" w:type="dxa"/>
          </w:tcPr>
          <w:p w14:paraId="114C8774" w14:textId="3E4B0376" w:rsidR="005B03A3" w:rsidRPr="009E6200" w:rsidRDefault="00092D27" w:rsidP="007B46F5">
            <w:pPr>
              <w:pStyle w:val="NormalWeb"/>
              <w:spacing w:before="0" w:beforeAutospacing="0" w:after="0" w:afterAutospacing="0"/>
              <w:jc w:val="both"/>
            </w:pPr>
            <w:r>
              <w:t>123154, Москва, Ленинский пр-т, д. 111</w:t>
            </w:r>
            <w:r w:rsidR="00077F21" w:rsidRPr="009E6200">
              <w:t>, корп. 1</w:t>
            </w:r>
          </w:p>
        </w:tc>
      </w:tr>
      <w:tr w:rsidR="00F46B68" w:rsidRPr="009E6200" w14:paraId="38D81C70" w14:textId="77777777" w:rsidTr="00CC6651">
        <w:tc>
          <w:tcPr>
            <w:tcW w:w="3256" w:type="dxa"/>
          </w:tcPr>
          <w:p w14:paraId="38EE6AB6" w14:textId="77777777" w:rsidR="005B03A3" w:rsidRPr="009E6200" w:rsidRDefault="005B03A3" w:rsidP="007B46F5">
            <w:pPr>
              <w:pStyle w:val="NormalWeb"/>
              <w:spacing w:before="0" w:beforeAutospacing="0" w:after="0" w:afterAutospacing="0"/>
              <w:ind w:right="57"/>
              <w:jc w:val="both"/>
            </w:pPr>
            <w:r w:rsidRPr="009E6200">
              <w:t xml:space="preserve">Телефон: </w:t>
            </w:r>
          </w:p>
        </w:tc>
        <w:tc>
          <w:tcPr>
            <w:tcW w:w="5958" w:type="dxa"/>
          </w:tcPr>
          <w:p w14:paraId="2D8094C5" w14:textId="77777777" w:rsidR="005B03A3" w:rsidRPr="009E6200" w:rsidRDefault="00B83679" w:rsidP="007B46F5">
            <w:pPr>
              <w:pStyle w:val="NormalWeb"/>
              <w:spacing w:before="0" w:beforeAutospacing="0" w:after="0" w:afterAutospacing="0"/>
              <w:jc w:val="both"/>
            </w:pPr>
            <w:r w:rsidRPr="009E6200">
              <w:t>+7 (495) 956-79-37</w:t>
            </w:r>
          </w:p>
        </w:tc>
      </w:tr>
      <w:tr w:rsidR="005B03A3" w:rsidRPr="009E6200" w14:paraId="2A0E09C7" w14:textId="77777777" w:rsidTr="00CC6651">
        <w:trPr>
          <w:trHeight w:val="80"/>
        </w:trPr>
        <w:tc>
          <w:tcPr>
            <w:tcW w:w="3256" w:type="dxa"/>
          </w:tcPr>
          <w:p w14:paraId="55C7CA7B" w14:textId="77777777" w:rsidR="005B03A3" w:rsidRPr="009E6200" w:rsidRDefault="005B03A3" w:rsidP="007B46F5">
            <w:pPr>
              <w:pStyle w:val="NormalWeb"/>
              <w:spacing w:before="0" w:beforeAutospacing="0" w:after="0" w:afterAutospacing="0"/>
              <w:ind w:right="57"/>
              <w:jc w:val="both"/>
            </w:pPr>
            <w:r w:rsidRPr="009E6200">
              <w:t>Электронная почта:</w:t>
            </w:r>
          </w:p>
        </w:tc>
        <w:tc>
          <w:tcPr>
            <w:tcW w:w="5958" w:type="dxa"/>
          </w:tcPr>
          <w:p w14:paraId="6CAFA9B2" w14:textId="77777777" w:rsidR="005B03A3" w:rsidRPr="00092D27" w:rsidRDefault="00B851EA" w:rsidP="007B46F5">
            <w:pPr>
              <w:pStyle w:val="NormalWeb"/>
              <w:spacing w:before="0" w:beforeAutospacing="0" w:after="0" w:afterAutospacing="0"/>
              <w:jc w:val="both"/>
            </w:pPr>
            <w:r w:rsidRPr="009E6200">
              <w:rPr>
                <w:lang w:val="en-US"/>
              </w:rPr>
              <w:t>info</w:t>
            </w:r>
            <w:r w:rsidRPr="00092D27">
              <w:t>@</w:t>
            </w:r>
            <w:r w:rsidRPr="009E6200">
              <w:rPr>
                <w:lang w:val="en-US"/>
              </w:rPr>
              <w:t>rpharm</w:t>
            </w:r>
            <w:r w:rsidRPr="00092D27">
              <w:t>.</w:t>
            </w:r>
            <w:r w:rsidRPr="009E6200">
              <w:rPr>
                <w:lang w:val="en-US"/>
              </w:rPr>
              <w:t>ru</w:t>
            </w:r>
          </w:p>
        </w:tc>
      </w:tr>
    </w:tbl>
    <w:p w14:paraId="7799D15C" w14:textId="77777777" w:rsidR="005B03A3" w:rsidRPr="009E6200" w:rsidRDefault="005B03A3" w:rsidP="007B46F5">
      <w:pPr>
        <w:pStyle w:val="NormalWeb"/>
        <w:spacing w:before="0" w:beforeAutospacing="0" w:after="0" w:afterAutospacing="0"/>
        <w:ind w:right="57"/>
        <w:jc w:val="both"/>
      </w:pPr>
    </w:p>
    <w:p w14:paraId="6301ADDB" w14:textId="77777777" w:rsidR="005B03A3" w:rsidRPr="009E6200" w:rsidRDefault="005B03A3" w:rsidP="007B46F5">
      <w:pPr>
        <w:jc w:val="both"/>
        <w:rPr>
          <w:rFonts w:cs="Times New Roman"/>
          <w:szCs w:val="24"/>
        </w:rPr>
      </w:pPr>
    </w:p>
    <w:p w14:paraId="52779914" w14:textId="77777777" w:rsidR="005B03A3" w:rsidRPr="009E6200" w:rsidRDefault="005B03A3" w:rsidP="007B46F5">
      <w:pPr>
        <w:pStyle w:val="NormalWeb"/>
        <w:spacing w:before="0" w:beforeAutospacing="0" w:after="0" w:afterAutospacing="0"/>
        <w:ind w:right="57"/>
        <w:jc w:val="both"/>
      </w:pPr>
    </w:p>
    <w:p w14:paraId="51386B08" w14:textId="44123DF4" w:rsidR="005B03A3" w:rsidRPr="009E6200" w:rsidRDefault="005B03A3" w:rsidP="007B46F5">
      <w:pPr>
        <w:pStyle w:val="NormalWeb"/>
        <w:spacing w:before="0" w:beforeAutospacing="0" w:after="0" w:afterAutospacing="0"/>
        <w:ind w:right="57"/>
        <w:jc w:val="both"/>
      </w:pPr>
      <w:r w:rsidRPr="009E6200">
        <w:t>_____________________________ «____»___________ 20</w:t>
      </w:r>
      <w:r w:rsidR="003B56CE">
        <w:rPr>
          <w:lang w:val="en-US"/>
        </w:rPr>
        <w:t>2</w:t>
      </w:r>
      <w:r w:rsidRPr="009E6200">
        <w:t xml:space="preserve">__ г. </w:t>
      </w:r>
    </w:p>
    <w:p w14:paraId="7C6EF8C8" w14:textId="77777777" w:rsidR="005B03A3" w:rsidRPr="009E6200" w:rsidRDefault="005B03A3" w:rsidP="007B46F5">
      <w:pPr>
        <w:pStyle w:val="NormalWeb"/>
        <w:spacing w:before="0" w:beforeAutospacing="0" w:after="0" w:afterAutospacing="0"/>
        <w:ind w:right="57"/>
        <w:jc w:val="both"/>
        <w:rPr>
          <w:sz w:val="20"/>
        </w:rPr>
      </w:pPr>
      <w:r w:rsidRPr="009E6200">
        <w:rPr>
          <w:sz w:val="20"/>
        </w:rPr>
        <w:t xml:space="preserve"> Подпись </w:t>
      </w:r>
      <w:r w:rsidRPr="009E6200">
        <w:rPr>
          <w:sz w:val="20"/>
        </w:rPr>
        <w:tab/>
      </w:r>
      <w:r w:rsidRPr="009E6200">
        <w:rPr>
          <w:sz w:val="20"/>
        </w:rPr>
        <w:tab/>
      </w:r>
      <w:r w:rsidR="00B851EA" w:rsidRPr="008C68D8">
        <w:rPr>
          <w:sz w:val="20"/>
        </w:rPr>
        <w:t xml:space="preserve">                             </w:t>
      </w:r>
      <w:r w:rsidRPr="009E6200">
        <w:rPr>
          <w:sz w:val="20"/>
        </w:rPr>
        <w:t>Дата</w:t>
      </w:r>
    </w:p>
    <w:p w14:paraId="484AF98E" w14:textId="77777777" w:rsidR="005B03A3" w:rsidRPr="009E6200" w:rsidRDefault="005B03A3" w:rsidP="007B46F5">
      <w:pPr>
        <w:pStyle w:val="NormalWeb"/>
        <w:spacing w:before="0" w:beforeAutospacing="0" w:after="0" w:afterAutospacing="0"/>
        <w:ind w:right="57"/>
        <w:jc w:val="both"/>
      </w:pPr>
    </w:p>
    <w:p w14:paraId="7F54A1CF" w14:textId="77777777" w:rsidR="008458CC" w:rsidRPr="009E6200" w:rsidRDefault="008458CC" w:rsidP="007B46F5">
      <w:pPr>
        <w:jc w:val="both"/>
        <w:rPr>
          <w:rStyle w:val="SDText0"/>
          <w:rFonts w:cs="Times New Roman"/>
          <w:b/>
          <w:color w:val="auto"/>
          <w:szCs w:val="24"/>
        </w:rPr>
      </w:pPr>
      <w:r w:rsidRPr="009E6200">
        <w:rPr>
          <w:rStyle w:val="SDText0"/>
          <w:rFonts w:cs="Times New Roman"/>
          <w:color w:val="auto"/>
          <w:szCs w:val="24"/>
        </w:rPr>
        <w:br w:type="page"/>
      </w:r>
    </w:p>
    <w:p w14:paraId="6CD0919C" w14:textId="77777777" w:rsidR="00827871" w:rsidRPr="009E6200" w:rsidRDefault="00850E32" w:rsidP="007B46F5">
      <w:pPr>
        <w:pStyle w:val="Style12"/>
        <w:widowControl/>
        <w:tabs>
          <w:tab w:val="left" w:pos="567"/>
        </w:tabs>
        <w:spacing w:line="240" w:lineRule="auto"/>
        <w:jc w:val="both"/>
        <w:outlineLvl w:val="0"/>
        <w:rPr>
          <w:rStyle w:val="FontStyle74"/>
          <w:rFonts w:eastAsiaTheme="minorHAnsi"/>
          <w:b/>
          <w:sz w:val="28"/>
          <w:szCs w:val="28"/>
          <w:lang w:eastAsia="en-US"/>
        </w:rPr>
      </w:pPr>
      <w:bookmarkStart w:id="7" w:name="_Toc120865214"/>
      <w:bookmarkEnd w:id="5"/>
      <w:bookmarkEnd w:id="6"/>
      <w:r w:rsidRPr="009E6200">
        <w:rPr>
          <w:rStyle w:val="FontStyle74"/>
          <w:b/>
          <w:sz w:val="28"/>
          <w:szCs w:val="28"/>
          <w:lang w:eastAsia="en-US"/>
        </w:rPr>
        <w:lastRenderedPageBreak/>
        <w:t>С</w:t>
      </w:r>
      <w:r w:rsidR="00827871" w:rsidRPr="009E6200">
        <w:rPr>
          <w:rStyle w:val="FontStyle74"/>
          <w:b/>
          <w:sz w:val="28"/>
          <w:szCs w:val="28"/>
          <w:lang w:eastAsia="en-US"/>
        </w:rPr>
        <w:t>траница согла</w:t>
      </w:r>
      <w:r w:rsidR="00801E5E" w:rsidRPr="009E6200">
        <w:rPr>
          <w:rStyle w:val="FontStyle74"/>
          <w:b/>
          <w:sz w:val="28"/>
          <w:szCs w:val="28"/>
          <w:lang w:eastAsia="en-US"/>
        </w:rPr>
        <w:t>си</w:t>
      </w:r>
      <w:r w:rsidR="00827871" w:rsidRPr="009E6200">
        <w:rPr>
          <w:rStyle w:val="FontStyle74"/>
          <w:b/>
          <w:sz w:val="28"/>
          <w:szCs w:val="28"/>
          <w:lang w:eastAsia="en-US"/>
        </w:rPr>
        <w:t>я исследователя с протоколом исследования</w:t>
      </w:r>
      <w:bookmarkEnd w:id="7"/>
    </w:p>
    <w:p w14:paraId="7294115C" w14:textId="77777777" w:rsidR="00887681" w:rsidRDefault="00887681" w:rsidP="007B46F5">
      <w:pPr>
        <w:pStyle w:val="Style12"/>
        <w:widowControl/>
        <w:tabs>
          <w:tab w:val="left" w:pos="567"/>
        </w:tabs>
        <w:spacing w:line="240" w:lineRule="auto"/>
        <w:ind w:firstLine="567"/>
        <w:jc w:val="both"/>
        <w:rPr>
          <w:rStyle w:val="FontStyle74"/>
          <w:sz w:val="22"/>
          <w:szCs w:val="22"/>
          <w:lang w:eastAsia="en-US"/>
        </w:rPr>
      </w:pPr>
    </w:p>
    <w:p w14:paraId="186F00FD" w14:textId="5E7967E8" w:rsidR="00850E32" w:rsidRPr="009E6200" w:rsidRDefault="00850E32" w:rsidP="007B46F5">
      <w:pPr>
        <w:pStyle w:val="Style12"/>
        <w:widowControl/>
        <w:tabs>
          <w:tab w:val="left" w:pos="567"/>
        </w:tabs>
        <w:spacing w:line="240" w:lineRule="auto"/>
        <w:ind w:firstLine="567"/>
        <w:jc w:val="both"/>
        <w:rPr>
          <w:rStyle w:val="FontStyle74"/>
          <w:sz w:val="22"/>
          <w:szCs w:val="22"/>
          <w:lang w:eastAsia="en-US"/>
        </w:rPr>
      </w:pPr>
      <w:r w:rsidRPr="009E6200">
        <w:rPr>
          <w:rStyle w:val="FontStyle74"/>
          <w:sz w:val="22"/>
          <w:szCs w:val="22"/>
          <w:lang w:eastAsia="en-US"/>
        </w:rPr>
        <w:t xml:space="preserve">Я подтверждаю, что прочитал и понял данный протокол, брошюру исследователя, включая потенциальные риски и побочные эффекты препарата, и прочую информацию о препарате и исследовании, предоставленную Спонсором. </w:t>
      </w:r>
    </w:p>
    <w:p w14:paraId="7585B25D" w14:textId="3F11C565" w:rsidR="00850E32" w:rsidRPr="009E6200" w:rsidRDefault="00850E32" w:rsidP="007B46F5">
      <w:pPr>
        <w:pStyle w:val="Style12"/>
        <w:tabs>
          <w:tab w:val="left" w:pos="567"/>
        </w:tabs>
        <w:spacing w:line="240" w:lineRule="auto"/>
        <w:ind w:firstLine="567"/>
        <w:jc w:val="both"/>
        <w:rPr>
          <w:rStyle w:val="FontStyle74"/>
          <w:bCs/>
          <w:iCs/>
          <w:sz w:val="22"/>
          <w:szCs w:val="22"/>
        </w:rPr>
      </w:pPr>
      <w:r w:rsidRPr="009E6200">
        <w:rPr>
          <w:rStyle w:val="FontStyle74"/>
          <w:sz w:val="22"/>
          <w:szCs w:val="22"/>
          <w:lang w:eastAsia="en-US"/>
        </w:rPr>
        <w:t>Я согласен провести это исследование в соответствии с требованиями данного протокола, а также защищать права, безопасность, конфиденциальность и благ</w:t>
      </w:r>
      <w:r w:rsidR="00E86CC0" w:rsidRPr="009E6200">
        <w:rPr>
          <w:rStyle w:val="FontStyle74"/>
          <w:sz w:val="22"/>
          <w:szCs w:val="22"/>
          <w:lang w:eastAsia="en-US"/>
        </w:rPr>
        <w:t xml:space="preserve">ополучие </w:t>
      </w:r>
      <w:r w:rsidRPr="009E6200">
        <w:rPr>
          <w:rStyle w:val="FontStyle74"/>
          <w:sz w:val="22"/>
          <w:szCs w:val="22"/>
          <w:lang w:eastAsia="en-US"/>
        </w:rPr>
        <w:t xml:space="preserve">здоровья </w:t>
      </w:r>
      <w:r w:rsidR="004F382A" w:rsidRPr="009E6200">
        <w:rPr>
          <w:rStyle w:val="FontStyle74"/>
          <w:sz w:val="22"/>
          <w:szCs w:val="22"/>
          <w:lang w:eastAsia="en-US"/>
        </w:rPr>
        <w:t>пациентов</w:t>
      </w:r>
      <w:r w:rsidRPr="009E6200">
        <w:rPr>
          <w:rStyle w:val="FontStyle74"/>
          <w:sz w:val="22"/>
          <w:szCs w:val="22"/>
          <w:lang w:eastAsia="en-US"/>
        </w:rPr>
        <w:t xml:space="preserve"> в соответствии с этическими требованиями, изложенными в Хельсинской Декларации ВМА</w:t>
      </w:r>
      <w:r w:rsidR="00A1381C" w:rsidRPr="00004968">
        <w:rPr>
          <w:rStyle w:val="FontStyle74"/>
          <w:sz w:val="22"/>
          <w:szCs w:val="22"/>
          <w:lang w:eastAsia="en-US"/>
        </w:rPr>
        <w:t xml:space="preserve"> (</w:t>
      </w:r>
      <w:r w:rsidR="00A1381C">
        <w:rPr>
          <w:rStyle w:val="FontStyle74"/>
          <w:sz w:val="22"/>
          <w:szCs w:val="22"/>
          <w:lang w:eastAsia="en-US"/>
        </w:rPr>
        <w:t>в текущей редакции)</w:t>
      </w:r>
      <w:r w:rsidRPr="009E6200">
        <w:rPr>
          <w:rStyle w:val="FontStyle74"/>
          <w:sz w:val="22"/>
          <w:szCs w:val="22"/>
          <w:lang w:eastAsia="en-US"/>
        </w:rPr>
        <w:t xml:space="preserve">, </w:t>
      </w:r>
      <w:r w:rsidR="00801E5E" w:rsidRPr="009E6200">
        <w:rPr>
          <w:rStyle w:val="FontStyle74"/>
          <w:sz w:val="22"/>
          <w:szCs w:val="22"/>
          <w:lang w:eastAsia="en-US"/>
        </w:rPr>
        <w:t>в</w:t>
      </w:r>
      <w:r w:rsidR="00D07EAF" w:rsidRPr="009E6200">
        <w:rPr>
          <w:rStyle w:val="FontStyle74"/>
          <w:sz w:val="22"/>
          <w:szCs w:val="22"/>
          <w:lang w:eastAsia="en-US"/>
        </w:rPr>
        <w:t xml:space="preserve"> </w:t>
      </w:r>
      <w:r w:rsidR="00801E5E" w:rsidRPr="009E6200">
        <w:rPr>
          <w:rStyle w:val="FontStyle79"/>
          <w:bCs/>
          <w:iCs/>
          <w:sz w:val="22"/>
          <w:szCs w:val="22"/>
        </w:rPr>
        <w:t>Федеральном законе</w:t>
      </w:r>
      <w:r w:rsidRPr="009E6200">
        <w:rPr>
          <w:rStyle w:val="FontStyle79"/>
          <w:bCs/>
          <w:iCs/>
          <w:sz w:val="22"/>
          <w:szCs w:val="22"/>
        </w:rPr>
        <w:t xml:space="preserve"> от 12 апреля 2010 г</w:t>
      </w:r>
      <w:r w:rsidR="000D0833" w:rsidRPr="009E6200">
        <w:rPr>
          <w:rStyle w:val="FontStyle79"/>
          <w:bCs/>
          <w:iCs/>
          <w:sz w:val="22"/>
          <w:szCs w:val="22"/>
        </w:rPr>
        <w:t>. N 61-ФЗ «</w:t>
      </w:r>
      <w:r w:rsidRPr="009E6200">
        <w:rPr>
          <w:rStyle w:val="FontStyle79"/>
          <w:bCs/>
          <w:iCs/>
          <w:sz w:val="22"/>
          <w:szCs w:val="22"/>
        </w:rPr>
        <w:t xml:space="preserve">Об </w:t>
      </w:r>
      <w:r w:rsidR="000D0833" w:rsidRPr="009E6200">
        <w:rPr>
          <w:rStyle w:val="FontStyle79"/>
          <w:bCs/>
          <w:iCs/>
          <w:sz w:val="22"/>
          <w:szCs w:val="22"/>
        </w:rPr>
        <w:t>обращении лекарственных средств»</w:t>
      </w:r>
      <w:r w:rsidR="00A1381C">
        <w:rPr>
          <w:rStyle w:val="FontStyle79"/>
          <w:bCs/>
          <w:iCs/>
          <w:sz w:val="22"/>
          <w:szCs w:val="22"/>
        </w:rPr>
        <w:t xml:space="preserve"> ( в текущей редакции)</w:t>
      </w:r>
      <w:r w:rsidRPr="009E6200">
        <w:rPr>
          <w:rStyle w:val="FontStyle79"/>
          <w:bCs/>
          <w:iCs/>
          <w:sz w:val="22"/>
          <w:szCs w:val="22"/>
        </w:rPr>
        <w:t xml:space="preserve">; </w:t>
      </w:r>
      <w:r w:rsidR="004F382A" w:rsidRPr="009E6200">
        <w:rPr>
          <w:rStyle w:val="FontStyle79"/>
          <w:bCs/>
          <w:iCs/>
          <w:sz w:val="22"/>
          <w:szCs w:val="22"/>
        </w:rPr>
        <w:t>требованиями</w:t>
      </w:r>
      <w:r w:rsidRPr="009E6200">
        <w:rPr>
          <w:rStyle w:val="FontStyle79"/>
          <w:bCs/>
          <w:iCs/>
          <w:sz w:val="22"/>
          <w:szCs w:val="22"/>
        </w:rPr>
        <w:t xml:space="preserve"> </w:t>
      </w:r>
      <w:r w:rsidR="004F382A" w:rsidRPr="009E6200">
        <w:rPr>
          <w:rStyle w:val="FontStyle79"/>
          <w:bCs/>
          <w:iCs/>
          <w:sz w:val="22"/>
          <w:szCs w:val="22"/>
        </w:rPr>
        <w:t>приказа Министерства здравоохранения РФ от 01.04.2016 года N 200н «Об утверждении правил надлежащей клинической практики</w:t>
      </w:r>
      <w:r w:rsidR="00801E5E" w:rsidRPr="009E6200">
        <w:rPr>
          <w:rStyle w:val="FontStyle79"/>
          <w:bCs/>
          <w:iCs/>
          <w:sz w:val="22"/>
          <w:szCs w:val="22"/>
        </w:rPr>
        <w:t>»;</w:t>
      </w:r>
      <w:r w:rsidR="004F382A" w:rsidRPr="009E6200">
        <w:rPr>
          <w:rStyle w:val="FontStyle79"/>
          <w:bCs/>
          <w:iCs/>
          <w:sz w:val="22"/>
          <w:szCs w:val="22"/>
        </w:rPr>
        <w:t xml:space="preserve"> принципами </w:t>
      </w:r>
      <w:r w:rsidRPr="009E6200">
        <w:rPr>
          <w:rStyle w:val="FontStyle79"/>
          <w:bCs/>
          <w:iCs/>
          <w:sz w:val="22"/>
          <w:szCs w:val="22"/>
        </w:rPr>
        <w:t>Национального стандарта Российс</w:t>
      </w:r>
      <w:r w:rsidR="000D0833" w:rsidRPr="009E6200">
        <w:rPr>
          <w:rStyle w:val="FontStyle79"/>
          <w:bCs/>
          <w:iCs/>
          <w:sz w:val="22"/>
          <w:szCs w:val="22"/>
        </w:rPr>
        <w:t>кой Федерации ГОСТР 52379-2005 «</w:t>
      </w:r>
      <w:r w:rsidRPr="009E6200">
        <w:rPr>
          <w:rStyle w:val="FontStyle79"/>
          <w:bCs/>
          <w:iCs/>
          <w:sz w:val="22"/>
          <w:szCs w:val="22"/>
        </w:rPr>
        <w:t>Н</w:t>
      </w:r>
      <w:r w:rsidR="000D0833" w:rsidRPr="009E6200">
        <w:rPr>
          <w:rStyle w:val="FontStyle79"/>
          <w:bCs/>
          <w:iCs/>
          <w:sz w:val="22"/>
          <w:szCs w:val="22"/>
        </w:rPr>
        <w:t>адлежащая клиническая практика» (НКП)</w:t>
      </w:r>
      <w:r w:rsidR="00FB3930">
        <w:rPr>
          <w:rStyle w:val="FontStyle79"/>
          <w:bCs/>
          <w:iCs/>
          <w:sz w:val="22"/>
          <w:szCs w:val="22"/>
        </w:rPr>
        <w:t xml:space="preserve">, </w:t>
      </w:r>
      <w:r w:rsidR="00FB3930" w:rsidRPr="009E6200">
        <w:t xml:space="preserve">а также руководящими документами </w:t>
      </w:r>
      <w:r w:rsidR="00FB3930" w:rsidRPr="00030BF5">
        <w:t>International Co</w:t>
      </w:r>
      <w:r w:rsidR="00FB3930" w:rsidRPr="00030BF5">
        <w:rPr>
          <w:lang w:val="en-US"/>
        </w:rPr>
        <w:t>uncil</w:t>
      </w:r>
      <w:r w:rsidR="00FB3930" w:rsidRPr="00030BF5">
        <w:t xml:space="preserve"> </w:t>
      </w:r>
      <w:r w:rsidR="00FB3930" w:rsidRPr="00030BF5">
        <w:rPr>
          <w:lang w:val="en-US"/>
        </w:rPr>
        <w:t>for</w:t>
      </w:r>
      <w:r w:rsidR="00FB3930" w:rsidRPr="00030BF5">
        <w:t xml:space="preserve"> Harmonization, в том числе руководствами E6 Good Clinical Practice (ICH GCP</w:t>
      </w:r>
      <w:r w:rsidR="00E44E94">
        <w:t xml:space="preserve"> </w:t>
      </w:r>
      <w:r w:rsidR="00E44E94" w:rsidRPr="00030BF5">
        <w:t>E6</w:t>
      </w:r>
      <w:r w:rsidR="00FB3930" w:rsidRPr="00030BF5">
        <w:t>)</w:t>
      </w:r>
      <w:r w:rsidR="00FB3930" w:rsidRPr="00955DBE">
        <w:t xml:space="preserve"> </w:t>
      </w:r>
      <w:r w:rsidR="00FB3930" w:rsidRPr="00030BF5">
        <w:t xml:space="preserve">в текущей редакции </w:t>
      </w:r>
      <w:r w:rsidRPr="009E6200">
        <w:rPr>
          <w:rStyle w:val="FontStyle79"/>
          <w:iCs/>
          <w:sz w:val="22"/>
          <w:szCs w:val="22"/>
        </w:rPr>
        <w:t xml:space="preserve">и прочими регуляторными требованиями </w:t>
      </w:r>
      <w:r w:rsidR="0013538D" w:rsidRPr="0013538D">
        <w:rPr>
          <w:iCs/>
          <w:sz w:val="22"/>
          <w:szCs w:val="18"/>
          <w:lang w:eastAsia="en-US"/>
        </w:rPr>
        <w:t>РФ и ЕАЭС.</w:t>
      </w:r>
    </w:p>
    <w:p w14:paraId="25188C6D" w14:textId="77777777" w:rsidR="00850E32" w:rsidRPr="009E6200" w:rsidRDefault="00850E32" w:rsidP="007B46F5">
      <w:pPr>
        <w:pStyle w:val="Style4"/>
        <w:widowControl/>
        <w:tabs>
          <w:tab w:val="left" w:pos="567"/>
        </w:tabs>
        <w:spacing w:line="240" w:lineRule="auto"/>
        <w:ind w:firstLine="567"/>
        <w:jc w:val="both"/>
        <w:rPr>
          <w:rStyle w:val="FontStyle74"/>
          <w:sz w:val="22"/>
          <w:szCs w:val="22"/>
          <w:lang w:eastAsia="en-US"/>
        </w:rPr>
      </w:pPr>
      <w:r w:rsidRPr="009E6200">
        <w:rPr>
          <w:rStyle w:val="FontStyle74"/>
          <w:sz w:val="22"/>
          <w:szCs w:val="22"/>
          <w:lang w:eastAsia="en-US"/>
        </w:rPr>
        <w:t xml:space="preserve">Я согласен вносить в протокол изменения только после уведомления Спонсора, за исключением тех случаев, когда это необходимо для защиты безопасности, прав и благополучия </w:t>
      </w:r>
      <w:r w:rsidR="004F382A" w:rsidRPr="009E6200">
        <w:rPr>
          <w:rStyle w:val="FontStyle74"/>
          <w:sz w:val="22"/>
          <w:szCs w:val="22"/>
          <w:lang w:eastAsia="en-US"/>
        </w:rPr>
        <w:t>пациентов</w:t>
      </w:r>
      <w:r w:rsidRPr="009E6200">
        <w:rPr>
          <w:rStyle w:val="FontStyle74"/>
          <w:sz w:val="22"/>
          <w:szCs w:val="22"/>
          <w:lang w:eastAsia="en-US"/>
        </w:rPr>
        <w:t xml:space="preserve">. </w:t>
      </w:r>
      <w:r w:rsidRPr="009E6200">
        <w:rPr>
          <w:sz w:val="22"/>
          <w:szCs w:val="22"/>
        </w:rPr>
        <w:t>Я полностью понимаю, что любые изменен</w:t>
      </w:r>
      <w:r w:rsidR="00801E5E" w:rsidRPr="009E6200">
        <w:rPr>
          <w:sz w:val="22"/>
          <w:szCs w:val="22"/>
        </w:rPr>
        <w:t>ия, предпринятые Исследователем</w:t>
      </w:r>
      <w:r w:rsidRPr="009E6200">
        <w:rPr>
          <w:sz w:val="22"/>
          <w:szCs w:val="22"/>
        </w:rPr>
        <w:t>(ями) без предварительного обсуждения с представителем Спонсора, будут представ</w:t>
      </w:r>
      <w:r w:rsidR="00801E5E" w:rsidRPr="009E6200">
        <w:rPr>
          <w:sz w:val="22"/>
          <w:szCs w:val="22"/>
        </w:rPr>
        <w:t xml:space="preserve">лять собой нарушение протокола </w:t>
      </w:r>
      <w:r w:rsidRPr="009E6200">
        <w:rPr>
          <w:sz w:val="22"/>
          <w:szCs w:val="22"/>
        </w:rPr>
        <w:t>(кроме т</w:t>
      </w:r>
      <w:r w:rsidR="00801E5E" w:rsidRPr="009E6200">
        <w:rPr>
          <w:sz w:val="22"/>
          <w:szCs w:val="22"/>
        </w:rPr>
        <w:t>ех процедур, которые необходимы</w:t>
      </w:r>
      <w:r w:rsidRPr="009E6200">
        <w:rPr>
          <w:sz w:val="22"/>
          <w:szCs w:val="22"/>
        </w:rPr>
        <w:t xml:space="preserve"> для </w:t>
      </w:r>
      <w:r w:rsidR="00801E5E" w:rsidRPr="009E6200">
        <w:rPr>
          <w:sz w:val="22"/>
          <w:szCs w:val="22"/>
        </w:rPr>
        <w:t>сохранения</w:t>
      </w:r>
      <w:r w:rsidRPr="009E6200">
        <w:rPr>
          <w:sz w:val="22"/>
          <w:szCs w:val="22"/>
        </w:rPr>
        <w:t xml:space="preserve"> здоровья </w:t>
      </w:r>
      <w:r w:rsidR="004F382A" w:rsidRPr="009E6200">
        <w:rPr>
          <w:sz w:val="22"/>
          <w:szCs w:val="22"/>
        </w:rPr>
        <w:t>пациентов</w:t>
      </w:r>
      <w:r w:rsidRPr="009E6200">
        <w:rPr>
          <w:sz w:val="22"/>
          <w:szCs w:val="22"/>
        </w:rPr>
        <w:t>).</w:t>
      </w:r>
    </w:p>
    <w:p w14:paraId="39D00824" w14:textId="77777777" w:rsidR="00850E32" w:rsidRPr="009E6200" w:rsidRDefault="00850E32" w:rsidP="007B46F5">
      <w:pPr>
        <w:pStyle w:val="Style4"/>
        <w:widowControl/>
        <w:tabs>
          <w:tab w:val="left" w:pos="567"/>
        </w:tabs>
        <w:spacing w:line="240" w:lineRule="auto"/>
        <w:ind w:firstLine="567"/>
        <w:jc w:val="both"/>
        <w:rPr>
          <w:rStyle w:val="FontStyle74"/>
          <w:sz w:val="22"/>
          <w:szCs w:val="22"/>
          <w:lang w:eastAsia="en-US"/>
        </w:rPr>
      </w:pPr>
      <w:r w:rsidRPr="009E6200">
        <w:rPr>
          <w:rStyle w:val="FontStyle74"/>
          <w:sz w:val="22"/>
          <w:szCs w:val="22"/>
          <w:lang w:eastAsia="en-US"/>
        </w:rPr>
        <w:t>Я согласен лично проводить или контролировать описанное исследование.</w:t>
      </w:r>
    </w:p>
    <w:p w14:paraId="7CD51F0C" w14:textId="77777777" w:rsidR="00850E32" w:rsidRPr="009E6200" w:rsidRDefault="00850E32" w:rsidP="007B46F5">
      <w:pPr>
        <w:pStyle w:val="Style4"/>
        <w:widowControl/>
        <w:tabs>
          <w:tab w:val="left" w:pos="567"/>
        </w:tabs>
        <w:spacing w:line="240" w:lineRule="auto"/>
        <w:ind w:firstLine="567"/>
        <w:jc w:val="both"/>
        <w:rPr>
          <w:rStyle w:val="FontStyle74"/>
          <w:sz w:val="22"/>
          <w:szCs w:val="22"/>
          <w:lang w:eastAsia="en-US"/>
        </w:rPr>
      </w:pPr>
      <w:r w:rsidRPr="009E6200">
        <w:rPr>
          <w:rStyle w:val="FontStyle74"/>
          <w:sz w:val="22"/>
          <w:szCs w:val="22"/>
          <w:lang w:eastAsia="en-US"/>
        </w:rPr>
        <w:t xml:space="preserve">Я согласен информировать </w:t>
      </w:r>
      <w:r w:rsidR="004F382A" w:rsidRPr="009E6200">
        <w:rPr>
          <w:rStyle w:val="FontStyle74"/>
          <w:sz w:val="22"/>
          <w:szCs w:val="22"/>
          <w:lang w:eastAsia="en-US"/>
        </w:rPr>
        <w:t>пациентов</w:t>
      </w:r>
      <w:r w:rsidRPr="009E6200">
        <w:rPr>
          <w:rStyle w:val="FontStyle74"/>
          <w:sz w:val="22"/>
          <w:szCs w:val="22"/>
          <w:lang w:eastAsia="en-US"/>
        </w:rPr>
        <w:t xml:space="preserve">, что препараты используются с исследовательскими целями; я обеспечу соблюдение требований, связанных с получением информированного согласия, после одобрения Совета по Этике и локального Независимого Этического Комитета (НЭК) и в соответствии с принципами НКП. </w:t>
      </w:r>
    </w:p>
    <w:p w14:paraId="171504A0" w14:textId="77777777" w:rsidR="00850E32" w:rsidRPr="009E6200" w:rsidRDefault="00850E32" w:rsidP="007B46F5">
      <w:pPr>
        <w:pStyle w:val="Style4"/>
        <w:widowControl/>
        <w:tabs>
          <w:tab w:val="left" w:pos="567"/>
        </w:tabs>
        <w:spacing w:line="240" w:lineRule="auto"/>
        <w:ind w:firstLine="567"/>
        <w:jc w:val="both"/>
        <w:rPr>
          <w:rStyle w:val="FontStyle74"/>
          <w:sz w:val="22"/>
          <w:szCs w:val="22"/>
          <w:lang w:eastAsia="en-US"/>
        </w:rPr>
      </w:pPr>
      <w:r w:rsidRPr="009E6200">
        <w:rPr>
          <w:rStyle w:val="FontStyle74"/>
          <w:sz w:val="22"/>
          <w:szCs w:val="22"/>
          <w:lang w:eastAsia="en-US"/>
        </w:rPr>
        <w:t xml:space="preserve">В соответствии с принципами НКП я согласен сообщать Спонсору о нежелательных явлениях, которые развились в ходе исследования. </w:t>
      </w:r>
    </w:p>
    <w:p w14:paraId="1C5F2BF1" w14:textId="77777777" w:rsidR="00850E32" w:rsidRPr="009E6200" w:rsidRDefault="00850E32" w:rsidP="007B46F5">
      <w:pPr>
        <w:pStyle w:val="Style4"/>
        <w:widowControl/>
        <w:tabs>
          <w:tab w:val="left" w:pos="567"/>
        </w:tabs>
        <w:spacing w:line="240" w:lineRule="auto"/>
        <w:ind w:firstLine="567"/>
        <w:jc w:val="both"/>
        <w:rPr>
          <w:rStyle w:val="FontStyle74"/>
          <w:sz w:val="22"/>
          <w:szCs w:val="22"/>
          <w:lang w:eastAsia="en-US"/>
        </w:rPr>
      </w:pPr>
      <w:r w:rsidRPr="009E6200">
        <w:rPr>
          <w:rStyle w:val="FontStyle74"/>
          <w:sz w:val="22"/>
          <w:szCs w:val="22"/>
          <w:lang w:eastAsia="en-US"/>
        </w:rPr>
        <w:t>Я согласен обеспечить, чтобы все сотрудники, коллеги и лица, привлеченные к проведению исследования, были проинформированы об их обязанностях соблюдать описанные выше договоренности. Я согласен вести адекватные и точные записи, а также предоставлять эти записи для анализа в соответствии с принципами НКП.</w:t>
      </w:r>
    </w:p>
    <w:p w14:paraId="0A2590C6" w14:textId="0041DDD3" w:rsidR="00850E32" w:rsidRPr="009E6200" w:rsidRDefault="00850E32" w:rsidP="007B46F5">
      <w:pPr>
        <w:pStyle w:val="Style4"/>
        <w:widowControl/>
        <w:tabs>
          <w:tab w:val="left" w:pos="567"/>
        </w:tabs>
        <w:spacing w:line="240" w:lineRule="auto"/>
        <w:ind w:firstLine="567"/>
        <w:jc w:val="both"/>
        <w:rPr>
          <w:rStyle w:val="FontStyle74"/>
          <w:sz w:val="22"/>
          <w:szCs w:val="22"/>
          <w:lang w:eastAsia="en-US"/>
        </w:rPr>
      </w:pPr>
      <w:r w:rsidRPr="009E6200">
        <w:rPr>
          <w:rStyle w:val="FontStyle74"/>
          <w:sz w:val="22"/>
          <w:szCs w:val="22"/>
          <w:lang w:eastAsia="en-US"/>
        </w:rPr>
        <w:t xml:space="preserve">Я обеспечу, чтобы локальный НЭК, который действует в соответствии с требованиями </w:t>
      </w:r>
      <w:r w:rsidR="00FB3930" w:rsidRPr="007D3833">
        <w:rPr>
          <w:sz w:val="22"/>
          <w:szCs w:val="20"/>
          <w:lang w:val="en-US" w:eastAsia="en-US"/>
        </w:rPr>
        <w:t>GCP</w:t>
      </w:r>
      <w:r w:rsidR="00FB3930" w:rsidRPr="008C68D8">
        <w:rPr>
          <w:sz w:val="22"/>
          <w:szCs w:val="20"/>
          <w:lang w:eastAsia="en-US"/>
        </w:rPr>
        <w:t xml:space="preserve"> </w:t>
      </w:r>
      <w:r w:rsidR="00FB3930" w:rsidRPr="007D3833">
        <w:rPr>
          <w:sz w:val="22"/>
          <w:szCs w:val="20"/>
          <w:lang w:eastAsia="en-US"/>
        </w:rPr>
        <w:t>ЕАЭС</w:t>
      </w:r>
      <w:r w:rsidRPr="009E6200">
        <w:rPr>
          <w:rStyle w:val="FontStyle74"/>
          <w:sz w:val="22"/>
          <w:szCs w:val="22"/>
          <w:lang w:eastAsia="en-US"/>
        </w:rPr>
        <w:t xml:space="preserve">, отвечал за проведение этической экспертизы, а также за одобрение исследования. Я также согласен </w:t>
      </w:r>
      <w:r w:rsidR="0083080E" w:rsidRPr="009E6200">
        <w:rPr>
          <w:rStyle w:val="FontStyle74"/>
          <w:sz w:val="22"/>
          <w:szCs w:val="22"/>
          <w:lang w:eastAsia="en-US"/>
        </w:rPr>
        <w:t xml:space="preserve">своевременно </w:t>
      </w:r>
      <w:r w:rsidRPr="009E6200">
        <w:rPr>
          <w:rStyle w:val="FontStyle74"/>
          <w:sz w:val="22"/>
          <w:szCs w:val="22"/>
          <w:lang w:eastAsia="en-US"/>
        </w:rPr>
        <w:t xml:space="preserve">сообщать в локальный НЭК </w:t>
      </w:r>
      <w:r w:rsidR="0083080E" w:rsidRPr="009E6200">
        <w:rPr>
          <w:rStyle w:val="FontStyle74"/>
          <w:sz w:val="22"/>
          <w:szCs w:val="22"/>
          <w:lang w:eastAsia="en-US"/>
        </w:rPr>
        <w:t xml:space="preserve">в соответствии с СОП НЭК </w:t>
      </w:r>
      <w:r w:rsidRPr="009E6200">
        <w:rPr>
          <w:rStyle w:val="FontStyle74"/>
          <w:sz w:val="22"/>
          <w:szCs w:val="22"/>
          <w:lang w:eastAsia="en-US"/>
        </w:rPr>
        <w:t xml:space="preserve">обо всех изменениях исследовательской деятельности и всех неожиданных проблемах, включая риск для </w:t>
      </w:r>
      <w:r w:rsidR="004F382A" w:rsidRPr="009E6200">
        <w:rPr>
          <w:rStyle w:val="FontStyle74"/>
          <w:sz w:val="22"/>
          <w:szCs w:val="22"/>
          <w:lang w:eastAsia="en-US"/>
        </w:rPr>
        <w:t>пациентов</w:t>
      </w:r>
      <w:r w:rsidRPr="009E6200">
        <w:rPr>
          <w:rStyle w:val="FontStyle74"/>
          <w:sz w:val="22"/>
          <w:szCs w:val="22"/>
          <w:lang w:eastAsia="en-US"/>
        </w:rPr>
        <w:t xml:space="preserve"> и прочие аспекты. Кроме того, я не б</w:t>
      </w:r>
      <w:r w:rsidR="00801E5E" w:rsidRPr="009E6200">
        <w:rPr>
          <w:rStyle w:val="FontStyle74"/>
          <w:sz w:val="22"/>
          <w:szCs w:val="22"/>
          <w:lang w:eastAsia="en-US"/>
        </w:rPr>
        <w:t>уду вносить в исследование какие</w:t>
      </w:r>
      <w:r w:rsidRPr="009E6200">
        <w:rPr>
          <w:rStyle w:val="FontStyle74"/>
          <w:sz w:val="22"/>
          <w:szCs w:val="22"/>
          <w:lang w:eastAsia="en-US"/>
        </w:rPr>
        <w:t>-либо изменения без одобрения со стороны Совета по Этике/локального НЭК, за исключением необходимых случаев устранения явной неожи</w:t>
      </w:r>
      <w:r w:rsidR="00827871" w:rsidRPr="009E6200">
        <w:rPr>
          <w:rStyle w:val="FontStyle74"/>
          <w:sz w:val="22"/>
          <w:szCs w:val="22"/>
          <w:lang w:eastAsia="en-US"/>
        </w:rPr>
        <w:t xml:space="preserve">данной угрозы жизни и здоровью </w:t>
      </w:r>
      <w:r w:rsidR="004F382A" w:rsidRPr="009E6200">
        <w:rPr>
          <w:rStyle w:val="FontStyle74"/>
          <w:sz w:val="22"/>
          <w:szCs w:val="22"/>
          <w:lang w:eastAsia="en-US"/>
        </w:rPr>
        <w:t>пациентов</w:t>
      </w:r>
      <w:r w:rsidRPr="009E6200">
        <w:rPr>
          <w:rStyle w:val="FontStyle74"/>
          <w:sz w:val="22"/>
          <w:szCs w:val="22"/>
          <w:lang w:eastAsia="en-US"/>
        </w:rPr>
        <w:t xml:space="preserve">. </w:t>
      </w:r>
    </w:p>
    <w:p w14:paraId="5E2FB5B3" w14:textId="77777777" w:rsidR="00850E32" w:rsidRPr="009E6200" w:rsidRDefault="00850E32" w:rsidP="007B46F5">
      <w:pPr>
        <w:pStyle w:val="Style4"/>
        <w:widowControl/>
        <w:tabs>
          <w:tab w:val="left" w:pos="567"/>
        </w:tabs>
        <w:spacing w:line="240" w:lineRule="auto"/>
        <w:ind w:firstLine="567"/>
        <w:jc w:val="both"/>
        <w:rPr>
          <w:rStyle w:val="FontStyle74"/>
          <w:sz w:val="22"/>
          <w:szCs w:val="22"/>
          <w:lang w:eastAsia="en-US"/>
        </w:rPr>
      </w:pPr>
      <w:r w:rsidRPr="009E6200">
        <w:rPr>
          <w:sz w:val="22"/>
          <w:szCs w:val="22"/>
        </w:rPr>
        <w:t>Я готов обеспечить прямой доступ к первичным документам и согласиться на проведение проверки аудиторами от представителей Спонсора и</w:t>
      </w:r>
      <w:r w:rsidR="0083080E" w:rsidRPr="009E6200">
        <w:rPr>
          <w:sz w:val="22"/>
          <w:szCs w:val="22"/>
        </w:rPr>
        <w:t xml:space="preserve"> инспекторами</w:t>
      </w:r>
      <w:r w:rsidRPr="009E6200">
        <w:rPr>
          <w:sz w:val="22"/>
          <w:szCs w:val="22"/>
        </w:rPr>
        <w:t xml:space="preserve"> контролирующих органов. Я гарантирую, что исследовательский продукт(ы), поставляемый Спонсором, будет использоваться только как описано в данном протоколе.</w:t>
      </w:r>
    </w:p>
    <w:p w14:paraId="675A6F96" w14:textId="77777777" w:rsidR="00850E32" w:rsidRPr="009E6200" w:rsidRDefault="00850E32" w:rsidP="007B46F5">
      <w:pPr>
        <w:pStyle w:val="Style4"/>
        <w:widowControl/>
        <w:tabs>
          <w:tab w:val="left" w:pos="567"/>
        </w:tabs>
        <w:spacing w:line="240" w:lineRule="auto"/>
        <w:ind w:firstLine="567"/>
        <w:jc w:val="both"/>
        <w:rPr>
          <w:rStyle w:val="FontStyle74"/>
          <w:sz w:val="22"/>
          <w:szCs w:val="22"/>
          <w:lang w:eastAsia="en-US"/>
        </w:rPr>
      </w:pPr>
      <w:r w:rsidRPr="009E6200">
        <w:rPr>
          <w:rStyle w:val="FontStyle74"/>
          <w:sz w:val="22"/>
          <w:szCs w:val="22"/>
          <w:lang w:eastAsia="en-US"/>
        </w:rPr>
        <w:t xml:space="preserve">Я согласен соблюдать все остальные требования относительно обязанностей клинических исследователей, а также все остальные важные требования Надлежащей Клинической Практики. </w:t>
      </w:r>
    </w:p>
    <w:p w14:paraId="1377CC59" w14:textId="77777777" w:rsidR="00850E32" w:rsidRPr="009E6200" w:rsidRDefault="00850E32" w:rsidP="007B46F5">
      <w:pPr>
        <w:pStyle w:val="SDText"/>
        <w:jc w:val="both"/>
        <w:rPr>
          <w:sz w:val="22"/>
        </w:rPr>
      </w:pPr>
      <w:r w:rsidRPr="009E6200">
        <w:rPr>
          <w:sz w:val="22"/>
        </w:rPr>
        <w:t xml:space="preserve">Исследователь: </w:t>
      </w:r>
    </w:p>
    <w:p w14:paraId="75E739A9" w14:textId="77777777" w:rsidR="00850E32" w:rsidRPr="009E6200" w:rsidRDefault="000D0833" w:rsidP="007B46F5">
      <w:pPr>
        <w:pStyle w:val="Style7"/>
        <w:widowControl/>
        <w:jc w:val="both"/>
        <w:rPr>
          <w:sz w:val="22"/>
          <w:szCs w:val="22"/>
        </w:rPr>
      </w:pPr>
      <w:r w:rsidRPr="009E6200">
        <w:rPr>
          <w:sz w:val="22"/>
          <w:szCs w:val="22"/>
        </w:rPr>
        <w:t>Подпись:</w:t>
      </w:r>
      <w:r w:rsidRPr="009E6200">
        <w:rPr>
          <w:sz w:val="22"/>
          <w:szCs w:val="22"/>
        </w:rPr>
        <w:tab/>
      </w:r>
      <w:r w:rsidR="00D07EAF" w:rsidRPr="009E6200">
        <w:rPr>
          <w:sz w:val="22"/>
          <w:szCs w:val="22"/>
        </w:rPr>
        <w:t xml:space="preserve"> </w:t>
      </w:r>
      <w:r w:rsidR="00850E32" w:rsidRPr="009E6200">
        <w:rPr>
          <w:sz w:val="22"/>
          <w:szCs w:val="22"/>
        </w:rPr>
        <w:tab/>
        <w:t>________________________________________________________</w:t>
      </w:r>
      <w:r w:rsidRPr="009E6200">
        <w:rPr>
          <w:sz w:val="22"/>
          <w:szCs w:val="22"/>
        </w:rPr>
        <w:t>________</w:t>
      </w:r>
      <w:r w:rsidRPr="009E6200">
        <w:rPr>
          <w:sz w:val="22"/>
          <w:szCs w:val="22"/>
        </w:rPr>
        <w:tab/>
      </w:r>
    </w:p>
    <w:p w14:paraId="429C059A" w14:textId="7E49C1C2" w:rsidR="00827871" w:rsidRPr="009E6200" w:rsidRDefault="00827871" w:rsidP="007B46F5">
      <w:pPr>
        <w:pStyle w:val="Style4"/>
        <w:widowControl/>
        <w:tabs>
          <w:tab w:val="left" w:pos="567"/>
        </w:tabs>
        <w:spacing w:line="240" w:lineRule="auto"/>
        <w:jc w:val="both"/>
        <w:rPr>
          <w:rStyle w:val="FontStyle74"/>
          <w:sz w:val="22"/>
          <w:szCs w:val="22"/>
          <w:lang w:eastAsia="en-US"/>
        </w:rPr>
      </w:pPr>
      <w:bookmarkStart w:id="8" w:name="_Toc358898677"/>
      <w:bookmarkStart w:id="9" w:name="_Toc363738982"/>
      <w:bookmarkStart w:id="10" w:name="_Toc363739747"/>
      <w:r w:rsidRPr="009E6200">
        <w:rPr>
          <w:rStyle w:val="FontStyle74"/>
          <w:sz w:val="22"/>
          <w:szCs w:val="22"/>
          <w:lang w:eastAsia="en-US"/>
        </w:rPr>
        <w:t>Дата:</w:t>
      </w:r>
      <w:r w:rsidRPr="009E6200">
        <w:rPr>
          <w:rStyle w:val="FontStyle74"/>
          <w:sz w:val="22"/>
          <w:szCs w:val="22"/>
          <w:lang w:eastAsia="en-US"/>
        </w:rPr>
        <w:tab/>
      </w:r>
      <w:r w:rsidRPr="009E6200">
        <w:rPr>
          <w:rStyle w:val="FontStyle74"/>
          <w:sz w:val="22"/>
          <w:szCs w:val="22"/>
          <w:lang w:eastAsia="en-US"/>
        </w:rPr>
        <w:tab/>
      </w:r>
      <w:r w:rsidRPr="009E6200">
        <w:rPr>
          <w:rStyle w:val="FontStyle74"/>
          <w:sz w:val="22"/>
          <w:szCs w:val="22"/>
          <w:lang w:eastAsia="en-US"/>
        </w:rPr>
        <w:tab/>
      </w:r>
      <w:r w:rsidRPr="009E6200">
        <w:rPr>
          <w:rStyle w:val="FontStyle74"/>
          <w:sz w:val="22"/>
          <w:szCs w:val="22"/>
          <w:lang w:eastAsia="en-US"/>
        </w:rPr>
        <w:tab/>
      </w:r>
      <w:bookmarkEnd w:id="8"/>
      <w:bookmarkEnd w:id="9"/>
      <w:bookmarkEnd w:id="10"/>
      <w:r w:rsidRPr="009E6200">
        <w:rPr>
          <w:sz w:val="22"/>
          <w:szCs w:val="22"/>
        </w:rPr>
        <w:t>«____»___________ 20</w:t>
      </w:r>
      <w:r w:rsidR="00C32972">
        <w:rPr>
          <w:sz w:val="22"/>
          <w:szCs w:val="22"/>
        </w:rPr>
        <w:t>2</w:t>
      </w:r>
      <w:r w:rsidRPr="009E6200">
        <w:rPr>
          <w:sz w:val="22"/>
          <w:szCs w:val="22"/>
        </w:rPr>
        <w:t>_ г.</w:t>
      </w:r>
    </w:p>
    <w:p w14:paraId="768FAC80" w14:textId="77777777" w:rsidR="00850E32" w:rsidRPr="009E6200" w:rsidRDefault="00827871" w:rsidP="007B46F5">
      <w:pPr>
        <w:pStyle w:val="SDText"/>
        <w:jc w:val="both"/>
        <w:rPr>
          <w:sz w:val="22"/>
        </w:rPr>
      </w:pPr>
      <w:r w:rsidRPr="009E6200">
        <w:rPr>
          <w:sz w:val="22"/>
        </w:rPr>
        <w:t>Ф.И.О.:</w:t>
      </w:r>
      <w:r w:rsidRPr="009E6200">
        <w:rPr>
          <w:sz w:val="22"/>
        </w:rPr>
        <w:tab/>
      </w:r>
      <w:r w:rsidRPr="009E6200">
        <w:rPr>
          <w:sz w:val="22"/>
        </w:rPr>
        <w:tab/>
      </w:r>
    </w:p>
    <w:p w14:paraId="00D99640" w14:textId="77777777" w:rsidR="00850E32" w:rsidRPr="009E6200" w:rsidRDefault="00850E32" w:rsidP="007B46F5">
      <w:pPr>
        <w:pStyle w:val="Style7"/>
        <w:widowControl/>
        <w:jc w:val="both"/>
        <w:rPr>
          <w:sz w:val="22"/>
          <w:szCs w:val="22"/>
        </w:rPr>
      </w:pPr>
      <w:r w:rsidRPr="009E6200">
        <w:rPr>
          <w:sz w:val="22"/>
          <w:szCs w:val="22"/>
        </w:rPr>
        <w:t>Должность:</w:t>
      </w:r>
      <w:r w:rsidRPr="009E6200">
        <w:rPr>
          <w:sz w:val="22"/>
          <w:szCs w:val="22"/>
        </w:rPr>
        <w:tab/>
      </w:r>
      <w:r w:rsidR="00D07EAF" w:rsidRPr="009E6200">
        <w:rPr>
          <w:sz w:val="22"/>
          <w:szCs w:val="22"/>
        </w:rPr>
        <w:t xml:space="preserve"> </w:t>
      </w:r>
      <w:r w:rsidRPr="009E6200">
        <w:rPr>
          <w:sz w:val="22"/>
          <w:szCs w:val="22"/>
        </w:rPr>
        <w:tab/>
      </w:r>
    </w:p>
    <w:p w14:paraId="3665D085" w14:textId="77777777" w:rsidR="00827871" w:rsidRPr="009E6200" w:rsidRDefault="00850E32" w:rsidP="007B46F5">
      <w:pPr>
        <w:pStyle w:val="Style7"/>
        <w:widowControl/>
        <w:jc w:val="both"/>
      </w:pPr>
      <w:r w:rsidRPr="009E6200">
        <w:rPr>
          <w:sz w:val="22"/>
          <w:szCs w:val="22"/>
        </w:rPr>
        <w:t>Учреждение:</w:t>
      </w:r>
      <w:r w:rsidRPr="009E6200">
        <w:rPr>
          <w:sz w:val="22"/>
          <w:szCs w:val="22"/>
        </w:rPr>
        <w:tab/>
      </w:r>
      <w:r w:rsidRPr="009E6200">
        <w:rPr>
          <w:sz w:val="22"/>
          <w:szCs w:val="22"/>
        </w:rPr>
        <w:tab/>
      </w:r>
    </w:p>
    <w:p w14:paraId="7FA861C8" w14:textId="22CC9A7D" w:rsidR="00947D41" w:rsidRPr="009E6200" w:rsidRDefault="00850E32" w:rsidP="007B46F5">
      <w:pPr>
        <w:pStyle w:val="Style7"/>
        <w:widowControl/>
        <w:jc w:val="both"/>
        <w:rPr>
          <w:sz w:val="22"/>
          <w:szCs w:val="22"/>
        </w:rPr>
      </w:pPr>
      <w:r w:rsidRPr="009E6200">
        <w:rPr>
          <w:sz w:val="22"/>
          <w:szCs w:val="22"/>
        </w:rPr>
        <w:t>Адрес:</w:t>
      </w:r>
      <w:r w:rsidRPr="009E6200">
        <w:rPr>
          <w:sz w:val="22"/>
          <w:szCs w:val="22"/>
        </w:rPr>
        <w:tab/>
      </w:r>
    </w:p>
    <w:p w14:paraId="4DCB19B8" w14:textId="77777777" w:rsidR="00947D41" w:rsidRPr="009E6200" w:rsidRDefault="00947D41" w:rsidP="007B46F5">
      <w:pPr>
        <w:pageBreakBefore/>
        <w:tabs>
          <w:tab w:val="left" w:pos="567"/>
        </w:tabs>
        <w:autoSpaceDE w:val="0"/>
        <w:autoSpaceDN w:val="0"/>
        <w:adjustRightInd w:val="0"/>
        <w:jc w:val="both"/>
        <w:outlineLvl w:val="0"/>
        <w:rPr>
          <w:rFonts w:eastAsia="Times New Roman" w:cs="Times New Roman"/>
          <w:b/>
          <w:sz w:val="28"/>
          <w:szCs w:val="28"/>
        </w:rPr>
      </w:pPr>
      <w:bookmarkStart w:id="11" w:name="_Toc120865215"/>
      <w:r w:rsidRPr="009E6200">
        <w:rPr>
          <w:rFonts w:eastAsia="Times New Roman" w:cs="Times New Roman"/>
          <w:b/>
          <w:sz w:val="28"/>
          <w:szCs w:val="28"/>
        </w:rPr>
        <w:lastRenderedPageBreak/>
        <w:t>Описание изменений в протоколе</w:t>
      </w:r>
      <w:bookmarkEnd w:id="11"/>
    </w:p>
    <w:p w14:paraId="32CC5BB9" w14:textId="77777777" w:rsidR="00887681" w:rsidRDefault="00887681" w:rsidP="007B46F5">
      <w:pPr>
        <w:autoSpaceDE w:val="0"/>
        <w:autoSpaceDN w:val="0"/>
        <w:adjustRightInd w:val="0"/>
        <w:jc w:val="both"/>
        <w:rPr>
          <w:rFonts w:eastAsia="Times New Roman" w:cs="Times New Roman"/>
          <w:sz w:val="22"/>
          <w:lang w:eastAsia="ru-RU"/>
        </w:rPr>
      </w:pPr>
    </w:p>
    <w:p w14:paraId="03A6838F" w14:textId="31E82B28" w:rsidR="00947D41" w:rsidRPr="009E6200" w:rsidRDefault="00947D41" w:rsidP="007B46F5">
      <w:pPr>
        <w:autoSpaceDE w:val="0"/>
        <w:autoSpaceDN w:val="0"/>
        <w:adjustRightInd w:val="0"/>
        <w:jc w:val="both"/>
        <w:rPr>
          <w:rFonts w:eastAsia="Times New Roman" w:cs="Times New Roman"/>
          <w:szCs w:val="24"/>
          <w:lang w:eastAsia="ru-RU"/>
        </w:rPr>
      </w:pPr>
      <w:r w:rsidRPr="009E6200">
        <w:rPr>
          <w:rFonts w:eastAsia="Times New Roman" w:cs="Times New Roman"/>
          <w:sz w:val="22"/>
          <w:lang w:eastAsia="ru-RU"/>
        </w:rPr>
        <w:t xml:space="preserve">Изменения, вносимые в протокол Поправкой №1 от </w:t>
      </w:r>
      <w:r w:rsidR="006245D0">
        <w:rPr>
          <w:rFonts w:eastAsia="Times New Roman" w:cs="Times New Roman"/>
          <w:sz w:val="22"/>
          <w:lang w:eastAsia="ru-RU"/>
        </w:rPr>
        <w:t>20</w:t>
      </w:r>
      <w:r w:rsidRPr="009E6200">
        <w:rPr>
          <w:rFonts w:eastAsia="Times New Roman" w:cs="Times New Roman"/>
          <w:sz w:val="22"/>
          <w:lang w:eastAsia="ru-RU"/>
        </w:rPr>
        <w:t>.12.2019 г., перечислены ниже:</w:t>
      </w:r>
    </w:p>
    <w:p w14:paraId="2611C504" w14:textId="77777777" w:rsidR="00947D41" w:rsidRPr="009E6200" w:rsidRDefault="00947D41" w:rsidP="007B46F5">
      <w:pPr>
        <w:numPr>
          <w:ilvl w:val="0"/>
          <w:numId w:val="39"/>
        </w:numPr>
        <w:autoSpaceDE w:val="0"/>
        <w:autoSpaceDN w:val="0"/>
        <w:adjustRightInd w:val="0"/>
        <w:ind w:left="567" w:hanging="567"/>
        <w:jc w:val="both"/>
        <w:rPr>
          <w:rFonts w:eastAsia="Times New Roman" w:cs="Times New Roman"/>
          <w:sz w:val="22"/>
          <w:lang w:eastAsia="ru-RU"/>
        </w:rPr>
      </w:pPr>
      <w:r w:rsidRPr="009E6200">
        <w:rPr>
          <w:rFonts w:eastAsia="Times New Roman" w:cs="Times New Roman"/>
          <w:sz w:val="22"/>
          <w:szCs w:val="24"/>
          <w:lang w:eastAsia="ru-RU"/>
        </w:rPr>
        <w:t>Внесены коррективы в название исследования по тексту протокола</w:t>
      </w:r>
      <w:r w:rsidRPr="009E6200">
        <w:rPr>
          <w:rFonts w:eastAsia="Times New Roman" w:cs="Times New Roman"/>
          <w:sz w:val="22"/>
          <w:lang w:eastAsia="ru-RU"/>
        </w:rPr>
        <w:t>;</w:t>
      </w:r>
    </w:p>
    <w:p w14:paraId="12BFE98C" w14:textId="7F29E9CC" w:rsidR="00947D41" w:rsidRPr="009E6200" w:rsidRDefault="00947D41" w:rsidP="007B46F5">
      <w:pPr>
        <w:numPr>
          <w:ilvl w:val="0"/>
          <w:numId w:val="39"/>
        </w:numPr>
        <w:autoSpaceDE w:val="0"/>
        <w:autoSpaceDN w:val="0"/>
        <w:adjustRightInd w:val="0"/>
        <w:ind w:left="567" w:hanging="567"/>
        <w:jc w:val="both"/>
        <w:rPr>
          <w:rFonts w:eastAsia="Times New Roman" w:cs="Times New Roman"/>
          <w:sz w:val="22"/>
          <w:lang w:eastAsia="ru-RU"/>
        </w:rPr>
      </w:pPr>
      <w:r w:rsidRPr="009E6200">
        <w:rPr>
          <w:rFonts w:eastAsia="Times New Roman" w:cs="Times New Roman"/>
          <w:sz w:val="22"/>
          <w:lang w:eastAsia="ru-RU"/>
        </w:rPr>
        <w:t xml:space="preserve">В синопсисе (разделы «Сроки проведения исследования, количество исследовательских центров и пациентов», «методология исследования») и в тексте протокола (разделы </w:t>
      </w:r>
      <w:r w:rsidR="00822FE7" w:rsidRPr="009E6200">
        <w:rPr>
          <w:rFonts w:eastAsia="Times New Roman" w:cs="Times New Roman"/>
          <w:sz w:val="22"/>
          <w:lang w:eastAsia="ru-RU"/>
        </w:rPr>
        <w:t xml:space="preserve">4.2.2, 4.2.3, </w:t>
      </w:r>
      <w:r w:rsidR="005314EF" w:rsidRPr="009E6200">
        <w:rPr>
          <w:rFonts w:eastAsia="Times New Roman" w:cs="Times New Roman"/>
          <w:sz w:val="22"/>
          <w:lang w:eastAsia="ru-RU"/>
        </w:rPr>
        <w:t>4.2.5, 4.4, 4.6,</w:t>
      </w:r>
      <w:r w:rsidR="0001621A" w:rsidRPr="009E6200">
        <w:rPr>
          <w:rFonts w:eastAsia="Times New Roman" w:cs="Times New Roman"/>
          <w:sz w:val="22"/>
          <w:lang w:eastAsia="ru-RU"/>
        </w:rPr>
        <w:t xml:space="preserve"> 9)</w:t>
      </w:r>
      <w:r w:rsidR="005314EF" w:rsidRPr="009E6200">
        <w:rPr>
          <w:rFonts w:eastAsia="Times New Roman" w:cs="Times New Roman"/>
          <w:sz w:val="22"/>
          <w:lang w:eastAsia="ru-RU"/>
        </w:rPr>
        <w:t xml:space="preserve"> </w:t>
      </w:r>
      <w:r w:rsidRPr="009E6200">
        <w:rPr>
          <w:rFonts w:eastAsia="Times New Roman" w:cs="Times New Roman"/>
          <w:sz w:val="22"/>
          <w:lang w:eastAsia="ru-RU"/>
        </w:rPr>
        <w:t>изменена продолжительность основной части исследования;</w:t>
      </w:r>
    </w:p>
    <w:p w14:paraId="676F5116" w14:textId="3150DA61" w:rsidR="00947D41" w:rsidRPr="009E6200" w:rsidRDefault="00947D41" w:rsidP="007B46F5">
      <w:pPr>
        <w:numPr>
          <w:ilvl w:val="0"/>
          <w:numId w:val="39"/>
        </w:numPr>
        <w:autoSpaceDE w:val="0"/>
        <w:autoSpaceDN w:val="0"/>
        <w:adjustRightInd w:val="0"/>
        <w:ind w:left="567" w:hanging="567"/>
        <w:jc w:val="both"/>
        <w:rPr>
          <w:rFonts w:eastAsia="Times New Roman" w:cs="Times New Roman"/>
          <w:sz w:val="22"/>
          <w:lang w:eastAsia="ru-RU"/>
        </w:rPr>
      </w:pPr>
      <w:r w:rsidRPr="009E6200">
        <w:rPr>
          <w:rFonts w:eastAsia="Times New Roman" w:cs="Times New Roman"/>
          <w:sz w:val="22"/>
          <w:lang w:eastAsia="ru-RU"/>
        </w:rPr>
        <w:t>Исключен промежуточный анализ эффективности и безопасности</w:t>
      </w:r>
      <w:r w:rsidR="00193C23" w:rsidRPr="009E6200">
        <w:rPr>
          <w:rFonts w:eastAsia="Times New Roman" w:cs="Times New Roman"/>
          <w:sz w:val="22"/>
          <w:lang w:eastAsia="ru-RU"/>
        </w:rPr>
        <w:t xml:space="preserve">, соответственно изменены разделы синопсиса «заслепление и рандомизация», разделы протокола </w:t>
      </w:r>
      <w:r w:rsidR="005314EF" w:rsidRPr="009E6200">
        <w:rPr>
          <w:rFonts w:eastAsia="Times New Roman" w:cs="Times New Roman"/>
          <w:sz w:val="22"/>
          <w:lang w:eastAsia="ru-RU"/>
        </w:rPr>
        <w:t xml:space="preserve">4.7, </w:t>
      </w:r>
      <w:r w:rsidR="007905DE" w:rsidRPr="009E6200">
        <w:rPr>
          <w:rFonts w:eastAsia="Times New Roman" w:cs="Times New Roman"/>
          <w:sz w:val="22"/>
          <w:lang w:eastAsia="ru-RU"/>
        </w:rPr>
        <w:t>9)</w:t>
      </w:r>
      <w:r w:rsidRPr="009E6200">
        <w:rPr>
          <w:rFonts w:eastAsia="Times New Roman" w:cs="Times New Roman"/>
          <w:sz w:val="22"/>
          <w:lang w:eastAsia="ru-RU"/>
        </w:rPr>
        <w:t>;</w:t>
      </w:r>
    </w:p>
    <w:p w14:paraId="34869FCB" w14:textId="23882D03" w:rsidR="00947D41" w:rsidRPr="009E6200" w:rsidRDefault="00947D41" w:rsidP="007B46F5">
      <w:pPr>
        <w:numPr>
          <w:ilvl w:val="0"/>
          <w:numId w:val="39"/>
        </w:numPr>
        <w:autoSpaceDE w:val="0"/>
        <w:autoSpaceDN w:val="0"/>
        <w:adjustRightInd w:val="0"/>
        <w:ind w:left="567" w:hanging="567"/>
        <w:jc w:val="both"/>
        <w:rPr>
          <w:rFonts w:eastAsia="Times New Roman" w:cs="Times New Roman"/>
          <w:sz w:val="22"/>
          <w:lang w:eastAsia="ru-RU"/>
        </w:rPr>
      </w:pPr>
      <w:r w:rsidRPr="009E6200">
        <w:rPr>
          <w:rFonts w:eastAsia="Times New Roman" w:cs="Times New Roman"/>
          <w:sz w:val="22"/>
          <w:lang w:eastAsia="ru-RU"/>
        </w:rPr>
        <w:t>Изменена формулировка описания процедуры анализа биоптата на мутации, определяющие чувствительность опухоли к таргетной терапии (раздел синопсиса «визиты пациентов», «критерии включения» - формулировка киртерия включения 8; разделы протокола</w:t>
      </w:r>
      <w:r w:rsidR="00822FE7" w:rsidRPr="009E6200">
        <w:rPr>
          <w:rFonts w:eastAsia="Times New Roman" w:cs="Times New Roman"/>
          <w:sz w:val="22"/>
          <w:lang w:eastAsia="ru-RU"/>
        </w:rPr>
        <w:t xml:space="preserve"> 4.2.3, </w:t>
      </w:r>
      <w:r w:rsidR="005314EF" w:rsidRPr="009E6200">
        <w:rPr>
          <w:rFonts w:eastAsia="Times New Roman" w:cs="Times New Roman"/>
          <w:sz w:val="22"/>
          <w:lang w:eastAsia="ru-RU"/>
        </w:rPr>
        <w:t>4.2.4.6.5, 4.2.5, 5.2.);</w:t>
      </w:r>
    </w:p>
    <w:p w14:paraId="2BAD10AE" w14:textId="175A1322" w:rsidR="00947D41" w:rsidRPr="009E6200" w:rsidRDefault="00947D41" w:rsidP="007B46F5">
      <w:pPr>
        <w:numPr>
          <w:ilvl w:val="0"/>
          <w:numId w:val="39"/>
        </w:numPr>
        <w:autoSpaceDE w:val="0"/>
        <w:autoSpaceDN w:val="0"/>
        <w:adjustRightInd w:val="0"/>
        <w:ind w:left="567" w:hanging="567"/>
        <w:jc w:val="both"/>
        <w:rPr>
          <w:rFonts w:eastAsia="Times New Roman" w:cs="Times New Roman"/>
          <w:sz w:val="22"/>
          <w:lang w:eastAsia="ru-RU"/>
        </w:rPr>
      </w:pPr>
      <w:r w:rsidRPr="009E6200">
        <w:rPr>
          <w:rFonts w:eastAsia="Times New Roman" w:cs="Times New Roman"/>
          <w:sz w:val="22"/>
          <w:lang w:eastAsia="ru-RU"/>
        </w:rPr>
        <w:t>Добавлено уточнение, что при анализе крови на уровень антител к бевацизумабу в случае выявления антител также будет определяться уровень нейтрализующих антител (раздел синопсиса «визиты пациентов», раздел</w:t>
      </w:r>
      <w:r w:rsidR="007905DE" w:rsidRPr="009E6200">
        <w:rPr>
          <w:rFonts w:eastAsia="Times New Roman" w:cs="Times New Roman"/>
          <w:sz w:val="22"/>
          <w:lang w:eastAsia="ru-RU"/>
        </w:rPr>
        <w:t>ы протокола 4.2.3 и 4.2.5);</w:t>
      </w:r>
    </w:p>
    <w:p w14:paraId="2965A633" w14:textId="759CBC57" w:rsidR="00947D41" w:rsidRPr="009E6200" w:rsidRDefault="00947D41" w:rsidP="007B46F5">
      <w:pPr>
        <w:numPr>
          <w:ilvl w:val="0"/>
          <w:numId w:val="39"/>
        </w:numPr>
        <w:autoSpaceDE w:val="0"/>
        <w:autoSpaceDN w:val="0"/>
        <w:adjustRightInd w:val="0"/>
        <w:ind w:left="567" w:hanging="567"/>
        <w:jc w:val="both"/>
        <w:rPr>
          <w:rFonts w:eastAsia="Times New Roman" w:cs="Times New Roman"/>
          <w:sz w:val="22"/>
          <w:lang w:eastAsia="ru-RU"/>
        </w:rPr>
      </w:pPr>
      <w:r w:rsidRPr="009E6200">
        <w:rPr>
          <w:rFonts w:eastAsia="Times New Roman" w:cs="Times New Roman"/>
          <w:sz w:val="22"/>
          <w:lang w:eastAsia="ru-RU"/>
        </w:rPr>
        <w:t xml:space="preserve"> Указано об информировании пациента о переходе в продленную часть исследования после визита 9 (раздел синопсиса «визиты пациентов», </w:t>
      </w:r>
      <w:r w:rsidR="007905DE" w:rsidRPr="009E6200">
        <w:rPr>
          <w:rFonts w:eastAsia="Times New Roman" w:cs="Times New Roman"/>
          <w:sz w:val="22"/>
          <w:lang w:eastAsia="ru-RU"/>
        </w:rPr>
        <w:t>разделы протокола 4.2.3 и 4.2.5);</w:t>
      </w:r>
    </w:p>
    <w:p w14:paraId="3BA5B4D7" w14:textId="18F25044" w:rsidR="00947D41" w:rsidRPr="009E6200" w:rsidRDefault="00947D41" w:rsidP="007B46F5">
      <w:pPr>
        <w:numPr>
          <w:ilvl w:val="0"/>
          <w:numId w:val="39"/>
        </w:numPr>
        <w:autoSpaceDE w:val="0"/>
        <w:autoSpaceDN w:val="0"/>
        <w:adjustRightInd w:val="0"/>
        <w:ind w:left="567" w:hanging="567"/>
        <w:jc w:val="both"/>
        <w:rPr>
          <w:rFonts w:eastAsia="Times New Roman" w:cs="Times New Roman"/>
          <w:sz w:val="22"/>
          <w:lang w:eastAsia="ru-RU"/>
        </w:rPr>
      </w:pPr>
      <w:r w:rsidRPr="009E6200">
        <w:rPr>
          <w:rFonts w:eastAsia="Times New Roman" w:cs="Times New Roman"/>
          <w:sz w:val="22"/>
          <w:lang w:eastAsia="ru-RU"/>
        </w:rPr>
        <w:t xml:space="preserve">Приведен подробный список процедур визитов продленной части исследования (раздел синопсиса «визиты пациентов», </w:t>
      </w:r>
      <w:r w:rsidR="007905DE" w:rsidRPr="009E6200">
        <w:rPr>
          <w:rFonts w:eastAsia="Times New Roman" w:cs="Times New Roman"/>
          <w:sz w:val="22"/>
          <w:lang w:eastAsia="ru-RU"/>
        </w:rPr>
        <w:t>разделы протокола 4.2.3 и 4.2.5</w:t>
      </w:r>
      <w:r w:rsidRPr="009E6200">
        <w:rPr>
          <w:rFonts w:eastAsia="Times New Roman" w:cs="Times New Roman"/>
          <w:sz w:val="22"/>
          <w:lang w:eastAsia="ru-RU"/>
        </w:rPr>
        <w:t>;</w:t>
      </w:r>
    </w:p>
    <w:p w14:paraId="5F176C6D" w14:textId="77777777" w:rsidR="00947D41" w:rsidRPr="009E6200" w:rsidRDefault="00947D41" w:rsidP="007B46F5">
      <w:pPr>
        <w:numPr>
          <w:ilvl w:val="0"/>
          <w:numId w:val="39"/>
        </w:numPr>
        <w:autoSpaceDE w:val="0"/>
        <w:autoSpaceDN w:val="0"/>
        <w:adjustRightInd w:val="0"/>
        <w:ind w:left="567" w:hanging="567"/>
        <w:jc w:val="both"/>
        <w:rPr>
          <w:rFonts w:eastAsia="Times New Roman" w:cs="Times New Roman"/>
          <w:sz w:val="22"/>
          <w:lang w:eastAsia="ru-RU"/>
        </w:rPr>
      </w:pPr>
      <w:r w:rsidRPr="009E6200">
        <w:rPr>
          <w:rFonts w:eastAsia="Times New Roman" w:cs="Times New Roman"/>
          <w:sz w:val="22"/>
          <w:lang w:eastAsia="ru-RU"/>
        </w:rPr>
        <w:t xml:space="preserve">Введено определение уровня антител к бевацизумабу, спустя год от начала терапии в рамках исследования, визита 18 (раздел синопсиса «визиты пациентов», </w:t>
      </w:r>
    </w:p>
    <w:p w14:paraId="20A78703" w14:textId="7CEF94B9" w:rsidR="00947D41" w:rsidRPr="009E6200" w:rsidRDefault="00947D41" w:rsidP="007B46F5">
      <w:pPr>
        <w:numPr>
          <w:ilvl w:val="0"/>
          <w:numId w:val="39"/>
        </w:numPr>
        <w:autoSpaceDE w:val="0"/>
        <w:autoSpaceDN w:val="0"/>
        <w:adjustRightInd w:val="0"/>
        <w:ind w:left="567" w:hanging="567"/>
        <w:jc w:val="both"/>
        <w:rPr>
          <w:rFonts w:eastAsia="Times New Roman" w:cs="Times New Roman"/>
          <w:sz w:val="22"/>
          <w:lang w:eastAsia="ru-RU"/>
        </w:rPr>
      </w:pPr>
      <w:r w:rsidRPr="009E6200">
        <w:rPr>
          <w:rFonts w:eastAsia="Times New Roman" w:cs="Times New Roman"/>
          <w:sz w:val="22"/>
          <w:lang w:eastAsia="ru-RU"/>
        </w:rPr>
        <w:t xml:space="preserve">Вторичные конечные точки и параметры оценки безопасности разделены на основные и дополнительные (раздел синопсиса «Основные параметры оценки эффективности и безопасности», раздел протокола </w:t>
      </w:r>
      <w:r w:rsidR="00822FE7" w:rsidRPr="009E6200">
        <w:rPr>
          <w:rFonts w:eastAsia="Times New Roman" w:cs="Times New Roman"/>
          <w:sz w:val="22"/>
          <w:lang w:eastAsia="ru-RU"/>
        </w:rPr>
        <w:t>4.1</w:t>
      </w:r>
      <w:r w:rsidR="005314EF" w:rsidRPr="009E6200">
        <w:rPr>
          <w:rFonts w:eastAsia="Times New Roman" w:cs="Times New Roman"/>
          <w:sz w:val="22"/>
          <w:lang w:eastAsia="ru-RU"/>
        </w:rPr>
        <w:t>, 7, 8.1,</w:t>
      </w:r>
      <w:r w:rsidR="0001621A" w:rsidRPr="009E6200">
        <w:rPr>
          <w:rFonts w:eastAsia="Times New Roman" w:cs="Times New Roman"/>
          <w:sz w:val="22"/>
          <w:lang w:eastAsia="ru-RU"/>
        </w:rPr>
        <w:t xml:space="preserve"> 9.1.3</w:t>
      </w:r>
      <w:r w:rsidR="00822FE7" w:rsidRPr="009E6200">
        <w:rPr>
          <w:rFonts w:eastAsia="Times New Roman" w:cs="Times New Roman"/>
          <w:sz w:val="22"/>
          <w:lang w:eastAsia="ru-RU"/>
        </w:rPr>
        <w:t>)</w:t>
      </w:r>
      <w:r w:rsidRPr="009E6200">
        <w:rPr>
          <w:rFonts w:eastAsia="Times New Roman" w:cs="Times New Roman"/>
          <w:sz w:val="22"/>
          <w:lang w:eastAsia="ru-RU"/>
        </w:rPr>
        <w:t>;</w:t>
      </w:r>
    </w:p>
    <w:p w14:paraId="29B56228" w14:textId="0DC6DB88" w:rsidR="008322CA" w:rsidRPr="009E6200" w:rsidRDefault="00947D41" w:rsidP="007B46F5">
      <w:pPr>
        <w:numPr>
          <w:ilvl w:val="0"/>
          <w:numId w:val="39"/>
        </w:numPr>
        <w:autoSpaceDE w:val="0"/>
        <w:autoSpaceDN w:val="0"/>
        <w:adjustRightInd w:val="0"/>
        <w:ind w:left="567" w:hanging="567"/>
        <w:jc w:val="both"/>
        <w:rPr>
          <w:rFonts w:eastAsia="Times New Roman" w:cs="Times New Roman"/>
          <w:sz w:val="22"/>
          <w:lang w:eastAsia="ru-RU"/>
        </w:rPr>
      </w:pPr>
      <w:r w:rsidRPr="009E6200">
        <w:rPr>
          <w:rFonts w:eastAsia="Times New Roman" w:cs="Times New Roman"/>
          <w:sz w:val="22"/>
          <w:lang w:eastAsia="ru-RU"/>
        </w:rPr>
        <w:t>Критери</w:t>
      </w:r>
      <w:r w:rsidR="002E4408" w:rsidRPr="009E6200">
        <w:rPr>
          <w:rFonts w:eastAsia="Times New Roman" w:cs="Times New Roman"/>
          <w:sz w:val="22"/>
          <w:lang w:eastAsia="ru-RU"/>
        </w:rPr>
        <w:t>и</w:t>
      </w:r>
      <w:r w:rsidRPr="009E6200">
        <w:rPr>
          <w:rFonts w:eastAsia="Times New Roman" w:cs="Times New Roman"/>
          <w:sz w:val="22"/>
          <w:lang w:eastAsia="ru-RU"/>
        </w:rPr>
        <w:t xml:space="preserve"> исключения разделены на критерии прекращения терапии и собственно критерии исключения, часть критериев перенесена в раздел критерии остановки исследования (раздел</w:t>
      </w:r>
      <w:r w:rsidR="002E4408" w:rsidRPr="009E6200">
        <w:rPr>
          <w:rFonts w:eastAsia="Times New Roman" w:cs="Times New Roman"/>
          <w:sz w:val="22"/>
          <w:lang w:eastAsia="ru-RU"/>
        </w:rPr>
        <w:t>ы</w:t>
      </w:r>
      <w:r w:rsidRPr="009E6200">
        <w:rPr>
          <w:rFonts w:eastAsia="Times New Roman" w:cs="Times New Roman"/>
          <w:sz w:val="22"/>
          <w:lang w:eastAsia="ru-RU"/>
        </w:rPr>
        <w:t xml:space="preserve"> синопсиса «критерии прекращения терапии» и «критерии исключения», раздел</w:t>
      </w:r>
      <w:r w:rsidR="002E4408" w:rsidRPr="009E6200">
        <w:rPr>
          <w:rFonts w:eastAsia="Times New Roman" w:cs="Times New Roman"/>
          <w:sz w:val="22"/>
          <w:lang w:eastAsia="ru-RU"/>
        </w:rPr>
        <w:t>ы</w:t>
      </w:r>
      <w:r w:rsidRPr="009E6200">
        <w:rPr>
          <w:rFonts w:eastAsia="Times New Roman" w:cs="Times New Roman"/>
          <w:sz w:val="22"/>
          <w:lang w:eastAsia="ru-RU"/>
        </w:rPr>
        <w:t xml:space="preserve"> протокола </w:t>
      </w:r>
      <w:r w:rsidR="002E4408" w:rsidRPr="009E6200">
        <w:rPr>
          <w:rFonts w:eastAsia="Times New Roman" w:cs="Times New Roman"/>
          <w:sz w:val="22"/>
          <w:lang w:eastAsia="ru-RU"/>
        </w:rPr>
        <w:t xml:space="preserve">4.7, </w:t>
      </w:r>
      <w:r w:rsidR="005314EF" w:rsidRPr="009E6200">
        <w:rPr>
          <w:rFonts w:eastAsia="Times New Roman" w:cs="Times New Roman"/>
          <w:sz w:val="22"/>
          <w:lang w:eastAsia="ru-RU"/>
        </w:rPr>
        <w:t>5.3)</w:t>
      </w:r>
      <w:r w:rsidR="008322CA" w:rsidRPr="009E6200">
        <w:rPr>
          <w:rFonts w:eastAsia="Times New Roman" w:cs="Times New Roman"/>
          <w:sz w:val="22"/>
          <w:lang w:eastAsia="ru-RU"/>
        </w:rPr>
        <w:t>;</w:t>
      </w:r>
    </w:p>
    <w:p w14:paraId="5B616154" w14:textId="30BE2E63" w:rsidR="008322CA" w:rsidRPr="009E6200" w:rsidRDefault="008322CA" w:rsidP="007B46F5">
      <w:pPr>
        <w:numPr>
          <w:ilvl w:val="0"/>
          <w:numId w:val="39"/>
        </w:numPr>
        <w:autoSpaceDE w:val="0"/>
        <w:autoSpaceDN w:val="0"/>
        <w:adjustRightInd w:val="0"/>
        <w:ind w:left="567" w:hanging="567"/>
        <w:jc w:val="both"/>
        <w:rPr>
          <w:rFonts w:eastAsia="Times New Roman" w:cs="Times New Roman"/>
          <w:sz w:val="22"/>
          <w:lang w:eastAsia="ru-RU"/>
        </w:rPr>
      </w:pPr>
      <w:r w:rsidRPr="009E6200">
        <w:rPr>
          <w:rFonts w:eastAsia="Times New Roman" w:cs="Times New Roman"/>
          <w:sz w:val="22"/>
          <w:lang w:eastAsia="ru-RU"/>
        </w:rPr>
        <w:t>Отредактирован раздел синопсиса «запрещенная сопутствующая терапия) (раздел протокола 6.5): с учетом частого возникновения боли в качестве побочного эффекта химиотерапии и проявления основного заболевания удален запре</w:t>
      </w:r>
      <w:r w:rsidR="003B56CE">
        <w:rPr>
          <w:rFonts w:eastAsia="Times New Roman" w:cs="Times New Roman"/>
          <w:sz w:val="22"/>
          <w:lang w:eastAsia="ru-RU"/>
        </w:rPr>
        <w:t>т</w:t>
      </w:r>
      <w:r w:rsidRPr="009E6200">
        <w:rPr>
          <w:rFonts w:eastAsia="Times New Roman" w:cs="Times New Roman"/>
          <w:sz w:val="22"/>
          <w:lang w:eastAsia="ru-RU"/>
        </w:rPr>
        <w:t xml:space="preserve"> на применение НПВП, внесено дополнение «применение нестероидных противовоспалительных препаратов возможно только при одновременной гастропротекции и энтеропротекции (назначение ингибиторов протонной помпы и ребамипида)»;</w:t>
      </w:r>
    </w:p>
    <w:p w14:paraId="3840BCD0" w14:textId="1230B2D5" w:rsidR="009149B0" w:rsidRPr="009E6200" w:rsidRDefault="00822FE7" w:rsidP="007B46F5">
      <w:pPr>
        <w:numPr>
          <w:ilvl w:val="0"/>
          <w:numId w:val="39"/>
        </w:numPr>
        <w:autoSpaceDE w:val="0"/>
        <w:autoSpaceDN w:val="0"/>
        <w:adjustRightInd w:val="0"/>
        <w:ind w:left="567" w:hanging="567"/>
        <w:jc w:val="both"/>
        <w:rPr>
          <w:rFonts w:eastAsia="Times New Roman" w:cs="Times New Roman"/>
          <w:sz w:val="22"/>
          <w:lang w:eastAsia="ru-RU"/>
        </w:rPr>
      </w:pPr>
      <w:r w:rsidRPr="009E6200">
        <w:rPr>
          <w:rFonts w:eastAsia="Times New Roman" w:cs="Times New Roman"/>
          <w:sz w:val="22"/>
          <w:lang w:eastAsia="ru-RU"/>
        </w:rPr>
        <w:t>Отредактирован текст раздела протокола 2.1.1 (приведен в соответсвтие ИМП препарата сравнения Авастин);</w:t>
      </w:r>
    </w:p>
    <w:p w14:paraId="47A24B43" w14:textId="7A794156" w:rsidR="00822FE7" w:rsidRPr="009E6200" w:rsidRDefault="00822FE7" w:rsidP="007B46F5">
      <w:pPr>
        <w:numPr>
          <w:ilvl w:val="0"/>
          <w:numId w:val="39"/>
        </w:numPr>
        <w:autoSpaceDE w:val="0"/>
        <w:autoSpaceDN w:val="0"/>
        <w:adjustRightInd w:val="0"/>
        <w:ind w:left="567" w:hanging="567"/>
        <w:jc w:val="both"/>
        <w:rPr>
          <w:rFonts w:eastAsia="Times New Roman" w:cs="Times New Roman"/>
          <w:sz w:val="22"/>
          <w:lang w:eastAsia="ru-RU"/>
        </w:rPr>
      </w:pPr>
      <w:r w:rsidRPr="009E6200">
        <w:rPr>
          <w:rFonts w:eastAsia="Times New Roman" w:cs="Times New Roman"/>
          <w:sz w:val="22"/>
          <w:lang w:eastAsia="ru-RU"/>
        </w:rPr>
        <w:t xml:space="preserve">В разделе 4.2.4.5.2 удалена процедура определения клиренса креатинина (удалено описание соответствующей процедуры на скрининге </w:t>
      </w:r>
      <w:r w:rsidR="002E4408" w:rsidRPr="009E6200">
        <w:rPr>
          <w:rFonts w:eastAsia="Times New Roman" w:cs="Times New Roman"/>
          <w:sz w:val="22"/>
          <w:lang w:eastAsia="ru-RU"/>
        </w:rPr>
        <w:t xml:space="preserve">и </w:t>
      </w:r>
      <w:r w:rsidRPr="009E6200">
        <w:rPr>
          <w:rFonts w:eastAsia="Times New Roman" w:cs="Times New Roman"/>
          <w:sz w:val="22"/>
          <w:lang w:eastAsia="ru-RU"/>
        </w:rPr>
        <w:t>в грфике визитов и при описании процедур), т.к. оценивается СКФ</w:t>
      </w:r>
      <w:r w:rsidR="002E4408" w:rsidRPr="009E6200">
        <w:rPr>
          <w:rFonts w:eastAsia="Times New Roman" w:cs="Times New Roman"/>
          <w:sz w:val="22"/>
          <w:lang w:eastAsia="ru-RU"/>
        </w:rPr>
        <w:t>)</w:t>
      </w:r>
      <w:r w:rsidRPr="009E6200">
        <w:rPr>
          <w:rFonts w:eastAsia="Times New Roman" w:cs="Times New Roman"/>
          <w:sz w:val="22"/>
          <w:lang w:eastAsia="ru-RU"/>
        </w:rPr>
        <w:t>;</w:t>
      </w:r>
    </w:p>
    <w:p w14:paraId="017FB629" w14:textId="3747F109" w:rsidR="00822FE7" w:rsidRPr="009E6200" w:rsidRDefault="00822FE7" w:rsidP="007B46F5">
      <w:pPr>
        <w:numPr>
          <w:ilvl w:val="0"/>
          <w:numId w:val="39"/>
        </w:numPr>
        <w:autoSpaceDE w:val="0"/>
        <w:autoSpaceDN w:val="0"/>
        <w:adjustRightInd w:val="0"/>
        <w:ind w:left="567" w:hanging="567"/>
        <w:jc w:val="both"/>
        <w:rPr>
          <w:rFonts w:eastAsia="Times New Roman" w:cs="Times New Roman"/>
          <w:sz w:val="22"/>
          <w:lang w:eastAsia="ru-RU"/>
        </w:rPr>
      </w:pPr>
      <w:r w:rsidRPr="009E6200">
        <w:rPr>
          <w:rFonts w:eastAsia="Times New Roman" w:cs="Times New Roman"/>
          <w:sz w:val="22"/>
          <w:lang w:eastAsia="ru-RU"/>
        </w:rPr>
        <w:t>Отредактирован раздел 4.2.4.5.3</w:t>
      </w:r>
      <w:r w:rsidR="002E4408" w:rsidRPr="009E6200">
        <w:rPr>
          <w:rFonts w:eastAsia="Times New Roman" w:cs="Times New Roman"/>
          <w:sz w:val="22"/>
          <w:lang w:eastAsia="ru-RU"/>
        </w:rPr>
        <w:t xml:space="preserve"> в соответствии с процедурами, принятыми в биоаналитической лаборатории</w:t>
      </w:r>
      <w:r w:rsidRPr="009E6200">
        <w:rPr>
          <w:rFonts w:eastAsia="Times New Roman" w:cs="Times New Roman"/>
          <w:sz w:val="22"/>
          <w:lang w:eastAsia="ru-RU"/>
        </w:rPr>
        <w:t>;</w:t>
      </w:r>
    </w:p>
    <w:p w14:paraId="5B76697E" w14:textId="6D78ACF1" w:rsidR="005314EF" w:rsidRPr="009E6200" w:rsidRDefault="005314EF" w:rsidP="007B46F5">
      <w:pPr>
        <w:numPr>
          <w:ilvl w:val="0"/>
          <w:numId w:val="39"/>
        </w:numPr>
        <w:autoSpaceDE w:val="0"/>
        <w:autoSpaceDN w:val="0"/>
        <w:adjustRightInd w:val="0"/>
        <w:ind w:left="567" w:hanging="567"/>
        <w:jc w:val="both"/>
        <w:rPr>
          <w:rFonts w:eastAsia="Times New Roman" w:cs="Times New Roman"/>
          <w:sz w:val="22"/>
          <w:lang w:eastAsia="ru-RU"/>
        </w:rPr>
      </w:pPr>
      <w:r w:rsidRPr="009E6200">
        <w:rPr>
          <w:rFonts w:eastAsia="Times New Roman" w:cs="Times New Roman"/>
          <w:sz w:val="22"/>
          <w:lang w:eastAsia="ru-RU"/>
        </w:rPr>
        <w:t>Отредактирован раздел 4.2.4.6.1 в связи с отсутствием необходимости контроля ЭКГ каждый цикл после 9 циклов терапии с неизменной ЭКГ;</w:t>
      </w:r>
    </w:p>
    <w:p w14:paraId="498F806D" w14:textId="54494157" w:rsidR="005314EF" w:rsidRPr="009E6200" w:rsidRDefault="005314EF" w:rsidP="007B46F5">
      <w:pPr>
        <w:numPr>
          <w:ilvl w:val="0"/>
          <w:numId w:val="39"/>
        </w:numPr>
        <w:autoSpaceDE w:val="0"/>
        <w:autoSpaceDN w:val="0"/>
        <w:adjustRightInd w:val="0"/>
        <w:ind w:left="567" w:hanging="567"/>
        <w:jc w:val="both"/>
        <w:rPr>
          <w:rFonts w:eastAsia="Times New Roman" w:cs="Times New Roman"/>
          <w:sz w:val="22"/>
          <w:lang w:eastAsia="ru-RU"/>
        </w:rPr>
      </w:pPr>
      <w:r w:rsidRPr="009E6200">
        <w:rPr>
          <w:rFonts w:eastAsia="Times New Roman" w:cs="Times New Roman"/>
          <w:sz w:val="22"/>
          <w:lang w:eastAsia="ru-RU"/>
        </w:rPr>
        <w:t>Отредактирован раздел 6.2.2</w:t>
      </w:r>
      <w:r w:rsidR="002E4408" w:rsidRPr="009E6200">
        <w:rPr>
          <w:rFonts w:eastAsia="Times New Roman" w:cs="Times New Roman"/>
          <w:sz w:val="22"/>
          <w:lang w:eastAsia="ru-RU"/>
        </w:rPr>
        <w:t xml:space="preserve"> (приведен в соответстви ИМП препарата сравнения Авастин)</w:t>
      </w:r>
      <w:r w:rsidRPr="009E6200">
        <w:rPr>
          <w:rFonts w:eastAsia="Times New Roman" w:cs="Times New Roman"/>
          <w:sz w:val="22"/>
          <w:lang w:eastAsia="ru-RU"/>
        </w:rPr>
        <w:t>;</w:t>
      </w:r>
    </w:p>
    <w:p w14:paraId="28AFD6CB" w14:textId="5766B40F" w:rsidR="005314EF" w:rsidRPr="009E6200" w:rsidRDefault="005314EF" w:rsidP="007B46F5">
      <w:pPr>
        <w:numPr>
          <w:ilvl w:val="0"/>
          <w:numId w:val="39"/>
        </w:numPr>
        <w:autoSpaceDE w:val="0"/>
        <w:autoSpaceDN w:val="0"/>
        <w:adjustRightInd w:val="0"/>
        <w:ind w:left="567" w:hanging="567"/>
        <w:jc w:val="both"/>
        <w:rPr>
          <w:rFonts w:eastAsia="Times New Roman" w:cs="Times New Roman"/>
          <w:sz w:val="22"/>
          <w:lang w:eastAsia="ru-RU"/>
        </w:rPr>
      </w:pPr>
      <w:r w:rsidRPr="009E6200">
        <w:rPr>
          <w:rFonts w:eastAsia="Times New Roman" w:cs="Times New Roman"/>
          <w:sz w:val="22"/>
          <w:lang w:eastAsia="ru-RU"/>
        </w:rPr>
        <w:t>Отредактирован раздел 6.2.4.1</w:t>
      </w:r>
      <w:r w:rsidR="002E4408" w:rsidRPr="009E6200">
        <w:rPr>
          <w:rFonts w:eastAsia="Times New Roman" w:cs="Times New Roman"/>
          <w:sz w:val="22"/>
          <w:lang w:eastAsia="ru-RU"/>
        </w:rPr>
        <w:t xml:space="preserve"> (приведен в соответствие последним одобренным ИМП препаратов паклитаксела)</w:t>
      </w:r>
      <w:r w:rsidRPr="009E6200">
        <w:rPr>
          <w:rFonts w:eastAsia="Times New Roman" w:cs="Times New Roman"/>
          <w:sz w:val="22"/>
          <w:lang w:eastAsia="ru-RU"/>
        </w:rPr>
        <w:t>;</w:t>
      </w:r>
    </w:p>
    <w:p w14:paraId="6058DD59" w14:textId="401EE684" w:rsidR="005314EF" w:rsidRPr="009E6200" w:rsidRDefault="005314EF" w:rsidP="007B46F5">
      <w:pPr>
        <w:numPr>
          <w:ilvl w:val="0"/>
          <w:numId w:val="39"/>
        </w:numPr>
        <w:autoSpaceDE w:val="0"/>
        <w:autoSpaceDN w:val="0"/>
        <w:adjustRightInd w:val="0"/>
        <w:ind w:left="567" w:hanging="567"/>
        <w:jc w:val="both"/>
        <w:rPr>
          <w:rFonts w:eastAsia="Times New Roman" w:cs="Times New Roman"/>
          <w:sz w:val="22"/>
          <w:lang w:eastAsia="ru-RU"/>
        </w:rPr>
      </w:pPr>
      <w:r w:rsidRPr="009E6200">
        <w:rPr>
          <w:rFonts w:eastAsia="Times New Roman" w:cs="Times New Roman"/>
          <w:sz w:val="22"/>
          <w:lang w:eastAsia="ru-RU"/>
        </w:rPr>
        <w:t>Отредактирован раздел 8.3</w:t>
      </w:r>
      <w:r w:rsidR="002E4408" w:rsidRPr="009E6200">
        <w:rPr>
          <w:rFonts w:eastAsia="Times New Roman" w:cs="Times New Roman"/>
          <w:sz w:val="22"/>
          <w:lang w:eastAsia="ru-RU"/>
        </w:rPr>
        <w:t xml:space="preserve"> (уточнена продолжительность регистрации НЯ и СНЯ на протяжении исследования);</w:t>
      </w:r>
    </w:p>
    <w:p w14:paraId="7CC52217" w14:textId="677CE9EF" w:rsidR="002E4408" w:rsidRPr="009E6200" w:rsidRDefault="002E4408" w:rsidP="007B46F5">
      <w:pPr>
        <w:numPr>
          <w:ilvl w:val="0"/>
          <w:numId w:val="39"/>
        </w:numPr>
        <w:autoSpaceDE w:val="0"/>
        <w:autoSpaceDN w:val="0"/>
        <w:adjustRightInd w:val="0"/>
        <w:ind w:left="567" w:hanging="567"/>
        <w:jc w:val="both"/>
        <w:rPr>
          <w:rFonts w:eastAsia="Times New Roman" w:cs="Times New Roman"/>
          <w:sz w:val="22"/>
          <w:lang w:eastAsia="ru-RU"/>
        </w:rPr>
      </w:pPr>
      <w:r w:rsidRPr="009E6200">
        <w:rPr>
          <w:rFonts w:eastAsia="Times New Roman" w:cs="Times New Roman"/>
          <w:sz w:val="22"/>
          <w:lang w:eastAsia="ru-RU"/>
        </w:rPr>
        <w:lastRenderedPageBreak/>
        <w:t>В разделе 4.2.4.6.4 удалена возможно</w:t>
      </w:r>
      <w:r w:rsidR="00454FC6" w:rsidRPr="009E6200">
        <w:rPr>
          <w:rFonts w:eastAsia="Times New Roman" w:cs="Times New Roman"/>
          <w:sz w:val="22"/>
          <w:lang w:eastAsia="ru-RU"/>
        </w:rPr>
        <w:t>с</w:t>
      </w:r>
      <w:r w:rsidRPr="009E6200">
        <w:rPr>
          <w:rFonts w:eastAsia="Times New Roman" w:cs="Times New Roman"/>
          <w:sz w:val="22"/>
          <w:lang w:eastAsia="ru-RU"/>
        </w:rPr>
        <w:t>ть предоставления компьютерных томограмм в качестве первичной документации (возможная оценка ранее выполненных КТ-исследований только при предоставлении электронного носителя)</w:t>
      </w:r>
      <w:r w:rsidR="008322CA" w:rsidRPr="009E6200">
        <w:rPr>
          <w:rFonts w:eastAsia="Times New Roman" w:cs="Times New Roman"/>
          <w:sz w:val="22"/>
          <w:lang w:eastAsia="ru-RU"/>
        </w:rPr>
        <w:t>;</w:t>
      </w:r>
    </w:p>
    <w:p w14:paraId="66D265C1" w14:textId="4329B9E3" w:rsidR="008322CA" w:rsidRPr="009E6200" w:rsidRDefault="008322CA" w:rsidP="007B46F5">
      <w:pPr>
        <w:numPr>
          <w:ilvl w:val="0"/>
          <w:numId w:val="39"/>
        </w:numPr>
        <w:autoSpaceDE w:val="0"/>
        <w:autoSpaceDN w:val="0"/>
        <w:adjustRightInd w:val="0"/>
        <w:ind w:left="567" w:hanging="567"/>
        <w:jc w:val="both"/>
        <w:rPr>
          <w:rFonts w:eastAsia="Times New Roman" w:cs="Times New Roman"/>
          <w:sz w:val="22"/>
          <w:lang w:eastAsia="ru-RU"/>
        </w:rPr>
      </w:pPr>
      <w:r w:rsidRPr="009E6200">
        <w:rPr>
          <w:rFonts w:eastAsia="Times New Roman" w:cs="Times New Roman"/>
          <w:sz w:val="22"/>
          <w:lang w:eastAsia="ru-RU"/>
        </w:rPr>
        <w:t>Раздел 15.1 переименован: «Приложение 1 – классификация TNM 7-го пересмотра немелкоклеточного рака легкого».</w:t>
      </w:r>
      <w:r w:rsidR="00E379B4">
        <w:rPr>
          <w:rFonts w:eastAsia="Times New Roman" w:cs="Times New Roman"/>
          <w:sz w:val="22"/>
          <w:lang w:eastAsia="ru-RU"/>
        </w:rPr>
        <w:t xml:space="preserve"> </w:t>
      </w:r>
      <w:r w:rsidRPr="009E6200">
        <w:rPr>
          <w:rFonts w:eastAsia="Times New Roman" w:cs="Times New Roman"/>
          <w:sz w:val="22"/>
          <w:lang w:eastAsia="ru-RU"/>
        </w:rPr>
        <w:t xml:space="preserve">Приведены классификационные критерии и стадирование по классификации </w:t>
      </w:r>
      <w:r w:rsidRPr="009E6200">
        <w:rPr>
          <w:rFonts w:eastAsia="Times New Roman" w:cs="Times New Roman"/>
          <w:sz w:val="22"/>
          <w:lang w:val="en-US" w:eastAsia="ru-RU"/>
        </w:rPr>
        <w:t>TNM</w:t>
      </w:r>
      <w:r w:rsidRPr="009E6200">
        <w:rPr>
          <w:rFonts w:eastAsia="Times New Roman" w:cs="Times New Roman"/>
          <w:sz w:val="22"/>
          <w:lang w:eastAsia="ru-RU"/>
        </w:rPr>
        <w:t xml:space="preserve"> 7-го пересмотра.</w:t>
      </w:r>
    </w:p>
    <w:p w14:paraId="6FA272FE" w14:textId="77777777" w:rsidR="00762ED8" w:rsidRDefault="00762ED8" w:rsidP="007B46F5">
      <w:pPr>
        <w:pStyle w:val="Style7"/>
        <w:widowControl/>
        <w:jc w:val="both"/>
        <w:rPr>
          <w:sz w:val="22"/>
          <w:szCs w:val="22"/>
        </w:rPr>
      </w:pPr>
    </w:p>
    <w:p w14:paraId="10D0F1E0" w14:textId="51C79E7B" w:rsidR="00762ED8" w:rsidRPr="0035115F" w:rsidRDefault="00762ED8" w:rsidP="007B46F5">
      <w:pPr>
        <w:autoSpaceDE w:val="0"/>
        <w:autoSpaceDN w:val="0"/>
        <w:adjustRightInd w:val="0"/>
        <w:jc w:val="both"/>
        <w:rPr>
          <w:rFonts w:eastAsia="Times New Roman" w:cs="Times New Roman"/>
          <w:sz w:val="22"/>
          <w:lang w:eastAsia="ru-RU"/>
        </w:rPr>
      </w:pPr>
      <w:r w:rsidRPr="0035115F">
        <w:rPr>
          <w:rFonts w:eastAsia="Times New Roman"/>
          <w:sz w:val="22"/>
          <w:lang w:eastAsia="ru-RU"/>
        </w:rPr>
        <w:t>Изменения, вносимые в протокол Поправкой №</w:t>
      </w:r>
      <w:r>
        <w:rPr>
          <w:rFonts w:eastAsia="Times New Roman"/>
          <w:sz w:val="22"/>
          <w:lang w:eastAsia="ru-RU"/>
        </w:rPr>
        <w:t>2</w:t>
      </w:r>
      <w:r w:rsidRPr="0035115F">
        <w:rPr>
          <w:rFonts w:eastAsia="Times New Roman"/>
          <w:sz w:val="22"/>
          <w:lang w:eastAsia="ru-RU"/>
        </w:rPr>
        <w:t xml:space="preserve"> от </w:t>
      </w:r>
      <w:r w:rsidR="00B705D6" w:rsidRPr="008C68D8">
        <w:rPr>
          <w:rFonts w:eastAsia="Times New Roman" w:cs="Times New Roman"/>
          <w:sz w:val="22"/>
          <w:lang w:eastAsia="ru-RU"/>
        </w:rPr>
        <w:t>0</w:t>
      </w:r>
      <w:r w:rsidR="00C32972">
        <w:rPr>
          <w:rFonts w:eastAsia="Times New Roman" w:cs="Times New Roman"/>
          <w:sz w:val="22"/>
          <w:lang w:eastAsia="ru-RU"/>
        </w:rPr>
        <w:t>8</w:t>
      </w:r>
      <w:r w:rsidR="0013538D" w:rsidRPr="008C68D8">
        <w:rPr>
          <w:rFonts w:eastAsia="Times New Roman" w:cs="Times New Roman"/>
          <w:sz w:val="22"/>
          <w:lang w:eastAsia="ru-RU"/>
        </w:rPr>
        <w:t>.</w:t>
      </w:r>
      <w:r w:rsidR="00FB3930" w:rsidRPr="008C68D8">
        <w:rPr>
          <w:rFonts w:eastAsia="Times New Roman" w:cs="Times New Roman"/>
          <w:sz w:val="22"/>
          <w:lang w:eastAsia="ru-RU"/>
        </w:rPr>
        <w:t>07</w:t>
      </w:r>
      <w:r w:rsidR="0013538D" w:rsidRPr="008C68D8">
        <w:rPr>
          <w:rFonts w:eastAsia="Times New Roman" w:cs="Times New Roman"/>
          <w:sz w:val="22"/>
          <w:lang w:eastAsia="ru-RU"/>
        </w:rPr>
        <w:t>.202</w:t>
      </w:r>
      <w:r w:rsidR="00FB3930" w:rsidRPr="008C68D8">
        <w:rPr>
          <w:rFonts w:eastAsia="Times New Roman" w:cs="Times New Roman"/>
          <w:sz w:val="22"/>
          <w:lang w:eastAsia="ru-RU"/>
        </w:rPr>
        <w:t>2</w:t>
      </w:r>
      <w:r w:rsidR="0013538D" w:rsidRPr="007D3833">
        <w:rPr>
          <w:rFonts w:eastAsia="Times New Roman" w:cs="Times New Roman"/>
          <w:sz w:val="22"/>
          <w:lang w:eastAsia="ru-RU"/>
        </w:rPr>
        <w:t xml:space="preserve"> </w:t>
      </w:r>
      <w:r w:rsidRPr="0035115F">
        <w:rPr>
          <w:rFonts w:eastAsia="Times New Roman"/>
          <w:sz w:val="22"/>
          <w:lang w:eastAsia="ru-RU"/>
        </w:rPr>
        <w:t>г., перечислены ниже:</w:t>
      </w:r>
    </w:p>
    <w:p w14:paraId="3ADBD79F" w14:textId="77777777" w:rsidR="00762ED8" w:rsidRPr="004C280B" w:rsidRDefault="00762ED8" w:rsidP="007B46F5">
      <w:pPr>
        <w:numPr>
          <w:ilvl w:val="0"/>
          <w:numId w:val="39"/>
        </w:numPr>
        <w:autoSpaceDE w:val="0"/>
        <w:autoSpaceDN w:val="0"/>
        <w:adjustRightInd w:val="0"/>
        <w:ind w:left="567" w:hanging="567"/>
        <w:jc w:val="both"/>
        <w:rPr>
          <w:rFonts w:eastAsia="Times New Roman" w:cs="Times New Roman"/>
          <w:sz w:val="22"/>
          <w:lang w:eastAsia="ru-RU"/>
        </w:rPr>
      </w:pPr>
      <w:r w:rsidRPr="004C280B">
        <w:rPr>
          <w:rFonts w:eastAsia="Times New Roman" w:cs="Times New Roman"/>
          <w:sz w:val="22"/>
          <w:lang w:eastAsia="ru-RU"/>
        </w:rPr>
        <w:t>Версия протокола изменена на 3.0;</w:t>
      </w:r>
    </w:p>
    <w:p w14:paraId="1EEBBFE9" w14:textId="06AEED14" w:rsidR="00762ED8" w:rsidRDefault="00762ED8" w:rsidP="007B46F5">
      <w:pPr>
        <w:numPr>
          <w:ilvl w:val="0"/>
          <w:numId w:val="39"/>
        </w:numPr>
        <w:autoSpaceDE w:val="0"/>
        <w:autoSpaceDN w:val="0"/>
        <w:adjustRightInd w:val="0"/>
        <w:ind w:left="567" w:hanging="567"/>
        <w:jc w:val="both"/>
        <w:rPr>
          <w:rFonts w:eastAsia="Times New Roman" w:cs="Times New Roman"/>
          <w:sz w:val="22"/>
          <w:lang w:eastAsia="ru-RU"/>
        </w:rPr>
      </w:pPr>
      <w:r w:rsidRPr="004C280B">
        <w:rPr>
          <w:rFonts w:eastAsia="Times New Roman" w:cs="Times New Roman"/>
          <w:sz w:val="22"/>
          <w:lang w:eastAsia="ru-RU"/>
        </w:rPr>
        <w:t xml:space="preserve">По тексту протокола исправлены </w:t>
      </w:r>
      <w:r>
        <w:rPr>
          <w:rFonts w:eastAsia="Times New Roman" w:cs="Times New Roman"/>
          <w:sz w:val="22"/>
          <w:lang w:eastAsia="ru-RU"/>
        </w:rPr>
        <w:t xml:space="preserve">незначительные </w:t>
      </w:r>
      <w:r w:rsidRPr="004C280B">
        <w:rPr>
          <w:rFonts w:eastAsia="Times New Roman" w:cs="Times New Roman"/>
          <w:sz w:val="22"/>
          <w:lang w:eastAsia="ru-RU"/>
        </w:rPr>
        <w:t>опечатки;</w:t>
      </w:r>
    </w:p>
    <w:p w14:paraId="7FC9CB10" w14:textId="380ABC34" w:rsidR="005647C9" w:rsidRPr="004C280B" w:rsidRDefault="005647C9" w:rsidP="007B46F5">
      <w:pPr>
        <w:numPr>
          <w:ilvl w:val="0"/>
          <w:numId w:val="39"/>
        </w:numPr>
        <w:autoSpaceDE w:val="0"/>
        <w:autoSpaceDN w:val="0"/>
        <w:adjustRightInd w:val="0"/>
        <w:ind w:left="567" w:hanging="567"/>
        <w:jc w:val="both"/>
        <w:rPr>
          <w:rFonts w:eastAsia="Times New Roman" w:cs="Times New Roman"/>
          <w:sz w:val="22"/>
          <w:lang w:eastAsia="ru-RU"/>
        </w:rPr>
      </w:pPr>
      <w:r>
        <w:rPr>
          <w:rFonts w:eastAsia="Times New Roman" w:cs="Times New Roman"/>
          <w:sz w:val="22"/>
          <w:lang w:eastAsia="ru-RU"/>
        </w:rPr>
        <w:t>Внесены уточняющие правки в названия нормативных документов в разделе «Старница согласия исследователя с протоколом исследования»</w:t>
      </w:r>
      <w:r w:rsidR="006F478B">
        <w:rPr>
          <w:rFonts w:eastAsia="Times New Roman" w:cs="Times New Roman"/>
          <w:sz w:val="22"/>
          <w:lang w:eastAsia="ru-RU"/>
        </w:rPr>
        <w:t>;</w:t>
      </w:r>
    </w:p>
    <w:p w14:paraId="552E1C9E" w14:textId="238E29F8" w:rsidR="00762ED8" w:rsidRDefault="00762ED8" w:rsidP="007B46F5">
      <w:pPr>
        <w:numPr>
          <w:ilvl w:val="0"/>
          <w:numId w:val="39"/>
        </w:numPr>
        <w:autoSpaceDE w:val="0"/>
        <w:autoSpaceDN w:val="0"/>
        <w:adjustRightInd w:val="0"/>
        <w:ind w:left="567" w:hanging="567"/>
        <w:jc w:val="both"/>
        <w:rPr>
          <w:rFonts w:eastAsia="Times New Roman" w:cs="Times New Roman"/>
          <w:sz w:val="22"/>
          <w:lang w:eastAsia="ru-RU"/>
        </w:rPr>
      </w:pPr>
      <w:r w:rsidRPr="004C280B">
        <w:rPr>
          <w:rFonts w:eastAsia="Times New Roman" w:cs="Times New Roman"/>
          <w:sz w:val="22"/>
          <w:lang w:eastAsia="ru-RU"/>
        </w:rPr>
        <w:t>Дополнен список сокращений;</w:t>
      </w:r>
    </w:p>
    <w:p w14:paraId="1FECCFD6" w14:textId="616BBDA7" w:rsidR="00205B3E" w:rsidRDefault="00205B3E" w:rsidP="007B46F5">
      <w:pPr>
        <w:numPr>
          <w:ilvl w:val="0"/>
          <w:numId w:val="39"/>
        </w:numPr>
        <w:autoSpaceDE w:val="0"/>
        <w:autoSpaceDN w:val="0"/>
        <w:adjustRightInd w:val="0"/>
        <w:ind w:left="567" w:hanging="567"/>
        <w:jc w:val="both"/>
        <w:rPr>
          <w:rFonts w:eastAsia="Times New Roman" w:cs="Times New Roman"/>
          <w:sz w:val="22"/>
          <w:lang w:eastAsia="ru-RU"/>
        </w:rPr>
      </w:pPr>
      <w:r>
        <w:rPr>
          <w:rFonts w:eastAsia="Times New Roman" w:cs="Times New Roman"/>
          <w:sz w:val="22"/>
          <w:lang w:eastAsia="ru-RU"/>
        </w:rPr>
        <w:t xml:space="preserve">Увеличена </w:t>
      </w:r>
      <w:r w:rsidR="0013538D" w:rsidRPr="0013538D">
        <w:rPr>
          <w:rFonts w:eastAsia="Times New Roman" w:cs="Times New Roman"/>
          <w:sz w:val="22"/>
          <w:lang w:eastAsia="ru-RU"/>
        </w:rPr>
        <w:t xml:space="preserve">ожидаемая </w:t>
      </w:r>
      <w:r w:rsidR="00FB3930">
        <w:rPr>
          <w:rFonts w:eastAsia="Times New Roman" w:cs="Times New Roman"/>
          <w:sz w:val="22"/>
          <w:lang w:eastAsia="ru-RU"/>
        </w:rPr>
        <w:t xml:space="preserve">общая </w:t>
      </w:r>
      <w:r w:rsidR="0013538D" w:rsidRPr="0013538D">
        <w:rPr>
          <w:rFonts w:eastAsia="Times New Roman" w:cs="Times New Roman"/>
          <w:sz w:val="22"/>
          <w:lang w:eastAsia="ru-RU"/>
        </w:rPr>
        <w:t>продолжительность о</w:t>
      </w:r>
      <w:r w:rsidR="00FB3930">
        <w:rPr>
          <w:rFonts w:eastAsia="Times New Roman" w:cs="Times New Roman"/>
          <w:sz w:val="22"/>
          <w:lang w:eastAsia="ru-RU"/>
        </w:rPr>
        <w:t>с</w:t>
      </w:r>
      <w:r w:rsidR="0013538D" w:rsidRPr="0013538D">
        <w:rPr>
          <w:rFonts w:eastAsia="Times New Roman" w:cs="Times New Roman"/>
          <w:sz w:val="22"/>
          <w:lang w:eastAsia="ru-RU"/>
        </w:rPr>
        <w:t>новной части исследования до 4 лет</w:t>
      </w:r>
    </w:p>
    <w:p w14:paraId="5C91FFF7" w14:textId="7854AB09" w:rsidR="00205B3E" w:rsidRDefault="00205B3E" w:rsidP="007B46F5">
      <w:pPr>
        <w:numPr>
          <w:ilvl w:val="0"/>
          <w:numId w:val="39"/>
        </w:numPr>
        <w:autoSpaceDE w:val="0"/>
        <w:autoSpaceDN w:val="0"/>
        <w:adjustRightInd w:val="0"/>
        <w:ind w:left="567" w:hanging="567"/>
        <w:jc w:val="both"/>
        <w:rPr>
          <w:rFonts w:eastAsia="Times New Roman" w:cs="Times New Roman"/>
          <w:sz w:val="22"/>
          <w:lang w:eastAsia="ru-RU"/>
        </w:rPr>
      </w:pPr>
      <w:r>
        <w:rPr>
          <w:rFonts w:eastAsia="Times New Roman" w:cs="Times New Roman"/>
          <w:sz w:val="22"/>
          <w:lang w:eastAsia="ru-RU"/>
        </w:rPr>
        <w:t>Увеличено количество исследовательских центров до 50</w:t>
      </w:r>
      <w:r w:rsidR="006F478B">
        <w:rPr>
          <w:rFonts w:eastAsia="Times New Roman" w:cs="Times New Roman"/>
          <w:sz w:val="22"/>
          <w:lang w:eastAsia="ru-RU"/>
        </w:rPr>
        <w:t>;</w:t>
      </w:r>
    </w:p>
    <w:p w14:paraId="650CC478" w14:textId="77777777" w:rsidR="00762ED8" w:rsidRPr="004C280B" w:rsidRDefault="00762ED8" w:rsidP="007B46F5">
      <w:pPr>
        <w:numPr>
          <w:ilvl w:val="0"/>
          <w:numId w:val="39"/>
        </w:numPr>
        <w:autoSpaceDE w:val="0"/>
        <w:autoSpaceDN w:val="0"/>
        <w:adjustRightInd w:val="0"/>
        <w:ind w:left="567" w:hanging="567"/>
        <w:jc w:val="both"/>
        <w:rPr>
          <w:rFonts w:eastAsia="Times New Roman" w:cs="Times New Roman"/>
          <w:sz w:val="22"/>
          <w:lang w:eastAsia="ru-RU"/>
        </w:rPr>
      </w:pPr>
      <w:r>
        <w:rPr>
          <w:rFonts w:eastAsia="Times New Roman" w:cs="Times New Roman"/>
          <w:sz w:val="22"/>
          <w:lang w:eastAsia="ru-RU"/>
        </w:rPr>
        <w:t>Допустимое количество скринированных пациентов увеличено до 250;</w:t>
      </w:r>
    </w:p>
    <w:p w14:paraId="59206690" w14:textId="2151D81C" w:rsidR="00205B3E" w:rsidRDefault="00762ED8" w:rsidP="007B46F5">
      <w:pPr>
        <w:numPr>
          <w:ilvl w:val="0"/>
          <w:numId w:val="39"/>
        </w:numPr>
        <w:autoSpaceDE w:val="0"/>
        <w:autoSpaceDN w:val="0"/>
        <w:adjustRightInd w:val="0"/>
        <w:ind w:left="567" w:hanging="567"/>
        <w:jc w:val="both"/>
        <w:rPr>
          <w:rFonts w:eastAsia="Times New Roman" w:cs="Times New Roman"/>
          <w:sz w:val="22"/>
          <w:lang w:eastAsia="ru-RU"/>
        </w:rPr>
      </w:pPr>
      <w:r w:rsidRPr="006E76AD">
        <w:rPr>
          <w:rFonts w:eastAsia="Times New Roman" w:cs="Times New Roman"/>
          <w:sz w:val="22"/>
          <w:lang w:eastAsia="ru-RU"/>
        </w:rPr>
        <w:t xml:space="preserve">В синопсисе </w:t>
      </w:r>
      <w:r w:rsidR="00205B3E">
        <w:rPr>
          <w:rFonts w:eastAsia="Times New Roman" w:cs="Times New Roman"/>
          <w:sz w:val="22"/>
          <w:lang w:eastAsia="ru-RU"/>
        </w:rPr>
        <w:t xml:space="preserve">в </w:t>
      </w:r>
      <w:r w:rsidRPr="006E76AD">
        <w:rPr>
          <w:rFonts w:eastAsia="Times New Roman" w:cs="Times New Roman"/>
          <w:sz w:val="22"/>
          <w:lang w:eastAsia="ru-RU"/>
        </w:rPr>
        <w:t>раздел</w:t>
      </w:r>
      <w:r w:rsidR="00205B3E">
        <w:rPr>
          <w:rFonts w:eastAsia="Times New Roman" w:cs="Times New Roman"/>
          <w:sz w:val="22"/>
          <w:lang w:eastAsia="ru-RU"/>
        </w:rPr>
        <w:t>е</w:t>
      </w:r>
      <w:r w:rsidRPr="006E76AD">
        <w:rPr>
          <w:rFonts w:eastAsia="Times New Roman" w:cs="Times New Roman"/>
          <w:sz w:val="22"/>
          <w:lang w:eastAsia="ru-RU"/>
        </w:rPr>
        <w:t xml:space="preserve"> «Сроки проведения исследования, количество исследовательских центров и пациентов» изменена продолжительность основной части исследования и предполагаемое количество центров</w:t>
      </w:r>
      <w:r w:rsidR="00205B3E">
        <w:rPr>
          <w:rFonts w:eastAsia="Times New Roman" w:cs="Times New Roman"/>
          <w:sz w:val="22"/>
          <w:lang w:eastAsia="ru-RU"/>
        </w:rPr>
        <w:t>, в разделе «Методология исследования. Дизайн исследования», «Визиты пациентов»</w:t>
      </w:r>
      <w:r w:rsidR="00390E86">
        <w:rPr>
          <w:rFonts w:eastAsia="Times New Roman" w:cs="Times New Roman"/>
          <w:sz w:val="22"/>
          <w:lang w:eastAsia="ru-RU"/>
        </w:rPr>
        <w:t xml:space="preserve"> </w:t>
      </w:r>
      <w:r w:rsidR="00205B3E">
        <w:rPr>
          <w:rFonts w:eastAsia="Times New Roman" w:cs="Times New Roman"/>
          <w:sz w:val="22"/>
          <w:lang w:eastAsia="ru-RU"/>
        </w:rPr>
        <w:t>внесены смысловые правки</w:t>
      </w:r>
      <w:r w:rsidRPr="006E76AD">
        <w:rPr>
          <w:rFonts w:eastAsia="Times New Roman" w:cs="Times New Roman"/>
          <w:sz w:val="22"/>
          <w:lang w:eastAsia="ru-RU"/>
        </w:rPr>
        <w:t>;</w:t>
      </w:r>
      <w:r w:rsidR="00205B3E">
        <w:rPr>
          <w:rFonts w:eastAsia="Times New Roman" w:cs="Times New Roman"/>
          <w:sz w:val="22"/>
          <w:lang w:eastAsia="ru-RU"/>
        </w:rPr>
        <w:t xml:space="preserve"> </w:t>
      </w:r>
    </w:p>
    <w:p w14:paraId="35DA1F17" w14:textId="0CCB9B68" w:rsidR="00762ED8" w:rsidRPr="00232299" w:rsidRDefault="00205B3E" w:rsidP="007B46F5">
      <w:pPr>
        <w:numPr>
          <w:ilvl w:val="0"/>
          <w:numId w:val="39"/>
        </w:numPr>
        <w:autoSpaceDE w:val="0"/>
        <w:autoSpaceDN w:val="0"/>
        <w:adjustRightInd w:val="0"/>
        <w:ind w:left="567" w:hanging="567"/>
        <w:jc w:val="both"/>
        <w:rPr>
          <w:rFonts w:eastAsia="Times New Roman" w:cs="Times New Roman"/>
          <w:sz w:val="22"/>
          <w:lang w:eastAsia="ru-RU"/>
        </w:rPr>
      </w:pPr>
      <w:r>
        <w:rPr>
          <w:rFonts w:eastAsia="Times New Roman" w:cs="Times New Roman"/>
          <w:sz w:val="22"/>
          <w:lang w:eastAsia="ru-RU"/>
        </w:rPr>
        <w:t>В разделе 1</w:t>
      </w:r>
      <w:r w:rsidR="00232299">
        <w:rPr>
          <w:rFonts w:eastAsia="Times New Roman" w:cs="Times New Roman"/>
          <w:sz w:val="22"/>
          <w:lang w:eastAsia="ru-RU"/>
        </w:rPr>
        <w:t xml:space="preserve"> «Общая информация»</w:t>
      </w:r>
      <w:r>
        <w:rPr>
          <w:rFonts w:eastAsia="Times New Roman" w:cs="Times New Roman"/>
          <w:sz w:val="22"/>
          <w:lang w:eastAsia="ru-RU"/>
        </w:rPr>
        <w:t xml:space="preserve"> </w:t>
      </w:r>
      <w:r w:rsidR="00232299">
        <w:rPr>
          <w:rFonts w:eastAsia="Times New Roman" w:cs="Times New Roman"/>
          <w:sz w:val="22"/>
          <w:lang w:eastAsia="ru-RU"/>
        </w:rPr>
        <w:t xml:space="preserve">«1.3 </w:t>
      </w:r>
      <w:r w:rsidR="00232299" w:rsidRPr="00232299">
        <w:rPr>
          <w:rFonts w:eastAsia="Times New Roman" w:cs="Times New Roman"/>
          <w:sz w:val="22"/>
          <w:lang w:eastAsia="ru-RU"/>
        </w:rPr>
        <w:t>Имя и должность лиц, уполномоченных от имени спонсора подписывать протокол и поправки к протоколу:</w:t>
      </w:r>
      <w:r w:rsidR="00232299">
        <w:rPr>
          <w:rFonts w:eastAsia="Times New Roman" w:cs="Times New Roman"/>
          <w:sz w:val="22"/>
          <w:lang w:eastAsia="ru-RU"/>
        </w:rPr>
        <w:t>» уточнена должность,</w:t>
      </w:r>
      <w:r w:rsidR="00232299" w:rsidRPr="00232299">
        <w:rPr>
          <w:rFonts w:eastAsia="Times New Roman" w:cs="Times New Roman"/>
          <w:sz w:val="22"/>
          <w:lang w:eastAsia="ru-RU"/>
        </w:rPr>
        <w:t xml:space="preserve"> </w:t>
      </w:r>
      <w:r>
        <w:rPr>
          <w:rFonts w:eastAsia="Times New Roman" w:cs="Times New Roman"/>
          <w:sz w:val="22"/>
          <w:lang w:eastAsia="ru-RU"/>
        </w:rPr>
        <w:t xml:space="preserve">добавлен раздел «1.4 </w:t>
      </w:r>
      <w:r w:rsidRPr="00205B3E">
        <w:rPr>
          <w:rFonts w:eastAsia="Times New Roman" w:cs="Times New Roman"/>
          <w:sz w:val="22"/>
          <w:lang w:eastAsia="ru-RU"/>
        </w:rPr>
        <w:t>Имя, должность, адрес и номер телефон квалифицированного врача</w:t>
      </w:r>
      <w:r w:rsidR="00D01C9D">
        <w:rPr>
          <w:rFonts w:eastAsia="Times New Roman" w:cs="Times New Roman"/>
          <w:sz w:val="22"/>
          <w:lang w:eastAsia="ru-RU"/>
        </w:rPr>
        <w:t>,</w:t>
      </w:r>
      <w:r w:rsidRPr="00205B3E">
        <w:rPr>
          <w:rFonts w:eastAsia="Times New Roman" w:cs="Times New Roman"/>
          <w:sz w:val="22"/>
          <w:lang w:eastAsia="ru-RU"/>
        </w:rPr>
        <w:t xml:space="preserve"> отвечающего за принятие решений медицинского характера</w:t>
      </w:r>
      <w:r>
        <w:rPr>
          <w:rFonts w:eastAsia="Times New Roman" w:cs="Times New Roman"/>
          <w:sz w:val="22"/>
          <w:lang w:eastAsia="ru-RU"/>
        </w:rPr>
        <w:t xml:space="preserve">» и раздел «1.5 </w:t>
      </w:r>
      <w:r w:rsidRPr="008C68D8">
        <w:rPr>
          <w:sz w:val="22"/>
        </w:rPr>
        <w:t>Наименование и адреса клинических и других медицинских и/или технических служб и/или организаций, вовлеченные в исследование</w:t>
      </w:r>
      <w:r>
        <w:rPr>
          <w:sz w:val="22"/>
        </w:rPr>
        <w:t xml:space="preserve">» </w:t>
      </w:r>
      <w:r w:rsidR="00437BFE" w:rsidRPr="00437BFE">
        <w:rPr>
          <w:sz w:val="22"/>
        </w:rPr>
        <w:t xml:space="preserve">Центральный </w:t>
      </w:r>
      <w:r w:rsidR="00437BFE">
        <w:rPr>
          <w:sz w:val="22"/>
        </w:rPr>
        <w:t>независимы</w:t>
      </w:r>
      <w:r w:rsidR="00E441D7">
        <w:rPr>
          <w:sz w:val="22"/>
        </w:rPr>
        <w:t xml:space="preserve">й </w:t>
      </w:r>
      <w:r w:rsidR="00437BFE" w:rsidRPr="00437BFE">
        <w:rPr>
          <w:sz w:val="22"/>
        </w:rPr>
        <w:t>комитет по пересмотру КТ/МРТ изображений</w:t>
      </w:r>
      <w:r w:rsidR="006F478B">
        <w:rPr>
          <w:sz w:val="22"/>
        </w:rPr>
        <w:t>;</w:t>
      </w:r>
    </w:p>
    <w:p w14:paraId="2E299748" w14:textId="685FCE10" w:rsidR="00232299" w:rsidRDefault="006F478B" w:rsidP="007B46F5">
      <w:pPr>
        <w:numPr>
          <w:ilvl w:val="0"/>
          <w:numId w:val="39"/>
        </w:numPr>
        <w:autoSpaceDE w:val="0"/>
        <w:autoSpaceDN w:val="0"/>
        <w:adjustRightInd w:val="0"/>
        <w:ind w:left="567" w:hanging="567"/>
        <w:jc w:val="both"/>
        <w:rPr>
          <w:rFonts w:eastAsia="Times New Roman" w:cs="Times New Roman"/>
          <w:sz w:val="22"/>
          <w:lang w:eastAsia="ru-RU"/>
        </w:rPr>
      </w:pPr>
      <w:r>
        <w:rPr>
          <w:rFonts w:eastAsia="Times New Roman" w:cs="Times New Roman"/>
          <w:sz w:val="22"/>
          <w:lang w:eastAsia="ru-RU"/>
        </w:rPr>
        <w:t>Внесены смысловые правки в раздел</w:t>
      </w:r>
      <w:r w:rsidR="00232299">
        <w:rPr>
          <w:rFonts w:eastAsia="Times New Roman" w:cs="Times New Roman"/>
          <w:sz w:val="22"/>
          <w:lang w:eastAsia="ru-RU"/>
        </w:rPr>
        <w:t xml:space="preserve"> 2.1</w:t>
      </w:r>
      <w:r>
        <w:rPr>
          <w:rFonts w:eastAsia="Times New Roman" w:cs="Times New Roman"/>
          <w:sz w:val="22"/>
          <w:lang w:eastAsia="ru-RU"/>
        </w:rPr>
        <w:t>, 2.4, 2.5;</w:t>
      </w:r>
    </w:p>
    <w:p w14:paraId="642CDCDB" w14:textId="76D0F202" w:rsidR="006F478B" w:rsidRDefault="006F478B" w:rsidP="007B46F5">
      <w:pPr>
        <w:numPr>
          <w:ilvl w:val="0"/>
          <w:numId w:val="39"/>
        </w:numPr>
        <w:autoSpaceDE w:val="0"/>
        <w:autoSpaceDN w:val="0"/>
        <w:adjustRightInd w:val="0"/>
        <w:ind w:left="567" w:hanging="567"/>
        <w:jc w:val="both"/>
        <w:rPr>
          <w:rFonts w:eastAsia="Times New Roman" w:cs="Times New Roman"/>
          <w:sz w:val="22"/>
          <w:lang w:eastAsia="ru-RU"/>
        </w:rPr>
      </w:pPr>
      <w:r>
        <w:rPr>
          <w:rFonts w:eastAsia="Times New Roman" w:cs="Times New Roman"/>
          <w:sz w:val="22"/>
          <w:lang w:eastAsia="ru-RU"/>
        </w:rPr>
        <w:t xml:space="preserve">Был создан раздел 2.6, в котором обоснованы особенности терапии пациентов с </w:t>
      </w:r>
      <w:r>
        <w:rPr>
          <w:rFonts w:eastAsia="Times New Roman" w:cs="Times New Roman"/>
          <w:sz w:val="22"/>
          <w:lang w:val="en-US" w:eastAsia="ru-RU"/>
        </w:rPr>
        <w:t>COVID</w:t>
      </w:r>
      <w:r w:rsidRPr="001D206A">
        <w:rPr>
          <w:rFonts w:eastAsia="Times New Roman" w:cs="Times New Roman"/>
          <w:sz w:val="22"/>
          <w:lang w:eastAsia="ru-RU"/>
        </w:rPr>
        <w:t>-19;</w:t>
      </w:r>
    </w:p>
    <w:p w14:paraId="48E13E32" w14:textId="7E2506E8" w:rsidR="006F478B" w:rsidRDefault="006F478B" w:rsidP="007B46F5">
      <w:pPr>
        <w:numPr>
          <w:ilvl w:val="0"/>
          <w:numId w:val="39"/>
        </w:numPr>
        <w:autoSpaceDE w:val="0"/>
        <w:autoSpaceDN w:val="0"/>
        <w:adjustRightInd w:val="0"/>
        <w:ind w:left="567" w:hanging="567"/>
        <w:jc w:val="both"/>
        <w:rPr>
          <w:rFonts w:eastAsia="Times New Roman" w:cs="Times New Roman"/>
          <w:sz w:val="22"/>
          <w:lang w:eastAsia="ru-RU"/>
        </w:rPr>
      </w:pPr>
      <w:r>
        <w:rPr>
          <w:rFonts w:eastAsia="Times New Roman" w:cs="Times New Roman"/>
          <w:sz w:val="22"/>
          <w:lang w:eastAsia="ru-RU"/>
        </w:rPr>
        <w:t>В разделе 2.9 внесены уточняющие правки в наименование нормативных документов;</w:t>
      </w:r>
    </w:p>
    <w:p w14:paraId="6D86F70E" w14:textId="6727C7E6" w:rsidR="006F478B" w:rsidRDefault="006F478B" w:rsidP="007B46F5">
      <w:pPr>
        <w:numPr>
          <w:ilvl w:val="0"/>
          <w:numId w:val="39"/>
        </w:numPr>
        <w:autoSpaceDE w:val="0"/>
        <w:autoSpaceDN w:val="0"/>
        <w:adjustRightInd w:val="0"/>
        <w:ind w:left="567" w:hanging="567"/>
        <w:jc w:val="both"/>
        <w:rPr>
          <w:rFonts w:eastAsia="Times New Roman" w:cs="Times New Roman"/>
          <w:sz w:val="22"/>
          <w:lang w:eastAsia="ru-RU"/>
        </w:rPr>
      </w:pPr>
      <w:r>
        <w:rPr>
          <w:rFonts w:eastAsia="Times New Roman" w:cs="Times New Roman"/>
          <w:sz w:val="22"/>
          <w:lang w:eastAsia="ru-RU"/>
        </w:rPr>
        <w:t>В разделе 4.1 уточнен список дополнительных параметров безопасности, в разделе 4.2.3 добавлена строка «телефонный контакт» и отметки о его выполнении, дополнены сноски к графику процедур, внесены уточняющие правки в раздел 4.2.4</w:t>
      </w:r>
    </w:p>
    <w:p w14:paraId="0BE773A0" w14:textId="77777777" w:rsidR="00762ED8" w:rsidRPr="004C280B" w:rsidRDefault="00762ED8" w:rsidP="007B46F5">
      <w:pPr>
        <w:numPr>
          <w:ilvl w:val="0"/>
          <w:numId w:val="39"/>
        </w:numPr>
        <w:autoSpaceDE w:val="0"/>
        <w:autoSpaceDN w:val="0"/>
        <w:adjustRightInd w:val="0"/>
        <w:ind w:left="567" w:hanging="567"/>
        <w:jc w:val="both"/>
        <w:rPr>
          <w:rFonts w:eastAsia="Times New Roman" w:cs="Times New Roman"/>
          <w:sz w:val="22"/>
          <w:lang w:eastAsia="ru-RU"/>
        </w:rPr>
      </w:pPr>
      <w:r w:rsidRPr="004C280B">
        <w:rPr>
          <w:rFonts w:eastAsia="Times New Roman" w:cs="Times New Roman"/>
          <w:sz w:val="22"/>
          <w:lang w:eastAsia="ru-RU"/>
        </w:rPr>
        <w:t>В раздел 5.2 внесены уточнения по критериям невключения пациентов в исследование;</w:t>
      </w:r>
    </w:p>
    <w:p w14:paraId="730D395A" w14:textId="6204F04B" w:rsidR="0013538D" w:rsidRDefault="0013538D" w:rsidP="007B46F5">
      <w:pPr>
        <w:numPr>
          <w:ilvl w:val="0"/>
          <w:numId w:val="39"/>
        </w:numPr>
        <w:autoSpaceDE w:val="0"/>
        <w:autoSpaceDN w:val="0"/>
        <w:adjustRightInd w:val="0"/>
        <w:ind w:left="567" w:hanging="567"/>
        <w:jc w:val="both"/>
        <w:rPr>
          <w:rFonts w:eastAsia="Times New Roman" w:cs="Times New Roman"/>
          <w:sz w:val="22"/>
          <w:lang w:eastAsia="ru-RU"/>
        </w:rPr>
      </w:pPr>
      <w:r w:rsidRPr="0013538D">
        <w:rPr>
          <w:rFonts w:eastAsia="Times New Roman" w:cs="Times New Roman"/>
          <w:sz w:val="22"/>
          <w:lang w:eastAsia="ru-RU"/>
        </w:rPr>
        <w:t>Разделы 4.2.4.6.</w:t>
      </w:r>
      <w:r w:rsidR="00CA2A7E">
        <w:rPr>
          <w:rFonts w:eastAsia="Times New Roman" w:cs="Times New Roman"/>
          <w:sz w:val="22"/>
          <w:lang w:eastAsia="ru-RU"/>
        </w:rPr>
        <w:t>4</w:t>
      </w:r>
      <w:r w:rsidRPr="0013538D">
        <w:rPr>
          <w:rFonts w:eastAsia="Times New Roman" w:cs="Times New Roman"/>
          <w:sz w:val="22"/>
          <w:lang w:eastAsia="ru-RU"/>
        </w:rPr>
        <w:t xml:space="preserve"> и 7.1 дополнены информацией о </w:t>
      </w:r>
      <w:r w:rsidR="00437BFE">
        <w:rPr>
          <w:sz w:val="22"/>
        </w:rPr>
        <w:t>Центральном</w:t>
      </w:r>
      <w:r w:rsidR="00437BFE" w:rsidRPr="00437BFE">
        <w:rPr>
          <w:sz w:val="22"/>
        </w:rPr>
        <w:t xml:space="preserve"> </w:t>
      </w:r>
      <w:r w:rsidR="00437BFE">
        <w:rPr>
          <w:sz w:val="22"/>
        </w:rPr>
        <w:t xml:space="preserve">независимом </w:t>
      </w:r>
      <w:r w:rsidR="00437BFE" w:rsidRPr="00437BFE">
        <w:rPr>
          <w:sz w:val="22"/>
        </w:rPr>
        <w:t>комитет</w:t>
      </w:r>
      <w:r w:rsidR="00437BFE">
        <w:rPr>
          <w:sz w:val="22"/>
        </w:rPr>
        <w:t>е</w:t>
      </w:r>
      <w:r w:rsidR="00437BFE" w:rsidRPr="00437BFE">
        <w:rPr>
          <w:sz w:val="22"/>
        </w:rPr>
        <w:t xml:space="preserve"> по пересмотру КТ/МРТ изображений</w:t>
      </w:r>
      <w:r w:rsidRPr="0013538D">
        <w:rPr>
          <w:rFonts w:eastAsia="Times New Roman" w:cs="Times New Roman"/>
          <w:sz w:val="22"/>
          <w:lang w:eastAsia="ru-RU"/>
        </w:rPr>
        <w:t>; добавлены разъяснения о подтверждении стабилизации опухолевого процесса, методики оценки ответа; изменен подраздел «Возврат опухолевых образований»</w:t>
      </w:r>
      <w:r w:rsidR="003D2183">
        <w:rPr>
          <w:rFonts w:eastAsia="Times New Roman" w:cs="Times New Roman"/>
          <w:sz w:val="22"/>
          <w:lang w:eastAsia="ru-RU"/>
        </w:rPr>
        <w:t>, внесены поясняющие правки</w:t>
      </w:r>
      <w:r w:rsidRPr="0013538D">
        <w:rPr>
          <w:rFonts w:eastAsia="Times New Roman" w:cs="Times New Roman"/>
          <w:sz w:val="22"/>
          <w:lang w:eastAsia="ru-RU"/>
        </w:rPr>
        <w:t>;</w:t>
      </w:r>
    </w:p>
    <w:p w14:paraId="6E71AD5D" w14:textId="13AD0A58" w:rsidR="00762ED8" w:rsidRPr="003E4949" w:rsidRDefault="00762ED8" w:rsidP="007B46F5">
      <w:pPr>
        <w:numPr>
          <w:ilvl w:val="0"/>
          <w:numId w:val="39"/>
        </w:numPr>
        <w:autoSpaceDE w:val="0"/>
        <w:autoSpaceDN w:val="0"/>
        <w:adjustRightInd w:val="0"/>
        <w:ind w:left="567" w:hanging="567"/>
        <w:jc w:val="both"/>
        <w:rPr>
          <w:rFonts w:eastAsia="Times New Roman" w:cs="Times New Roman"/>
          <w:sz w:val="22"/>
          <w:lang w:eastAsia="ru-RU"/>
        </w:rPr>
      </w:pPr>
      <w:r>
        <w:rPr>
          <w:rFonts w:eastAsia="Times New Roman" w:cs="Times New Roman"/>
          <w:sz w:val="22"/>
          <w:lang w:eastAsia="ru-RU"/>
        </w:rPr>
        <w:t xml:space="preserve">В </w:t>
      </w:r>
      <w:r w:rsidR="00092D27">
        <w:rPr>
          <w:rFonts w:eastAsia="Times New Roman" w:cs="Times New Roman"/>
          <w:sz w:val="22"/>
          <w:lang w:eastAsia="ru-RU"/>
        </w:rPr>
        <w:t xml:space="preserve">Синопсис и </w:t>
      </w:r>
      <w:r>
        <w:rPr>
          <w:rFonts w:eastAsia="Times New Roman" w:cs="Times New Roman"/>
          <w:sz w:val="22"/>
          <w:lang w:eastAsia="ru-RU"/>
        </w:rPr>
        <w:t>раздел 4.2.5 внесено уточнение о том, что КТ органов грудной клетки проводится с контрастированием</w:t>
      </w:r>
      <w:r w:rsidR="00205B3E">
        <w:rPr>
          <w:rFonts w:eastAsia="Times New Roman" w:cs="Times New Roman"/>
          <w:sz w:val="22"/>
          <w:lang w:eastAsia="ru-RU"/>
        </w:rPr>
        <w:t>, добавлено проведение КТ брюшной полости</w:t>
      </w:r>
      <w:r>
        <w:rPr>
          <w:rFonts w:eastAsia="Times New Roman" w:cs="Times New Roman"/>
          <w:sz w:val="22"/>
          <w:lang w:eastAsia="ru-RU"/>
        </w:rPr>
        <w:t>;</w:t>
      </w:r>
    </w:p>
    <w:p w14:paraId="48EE6B4A" w14:textId="5989C520" w:rsidR="00762ED8" w:rsidRDefault="00762ED8" w:rsidP="007B46F5">
      <w:pPr>
        <w:numPr>
          <w:ilvl w:val="0"/>
          <w:numId w:val="39"/>
        </w:numPr>
        <w:autoSpaceDE w:val="0"/>
        <w:autoSpaceDN w:val="0"/>
        <w:adjustRightInd w:val="0"/>
        <w:ind w:left="567" w:hanging="567"/>
        <w:jc w:val="both"/>
        <w:rPr>
          <w:rFonts w:eastAsia="Times New Roman" w:cs="Times New Roman"/>
          <w:sz w:val="22"/>
          <w:lang w:eastAsia="ru-RU"/>
        </w:rPr>
      </w:pPr>
      <w:r>
        <w:rPr>
          <w:rFonts w:eastAsia="Times New Roman" w:cs="Times New Roman"/>
          <w:sz w:val="22"/>
          <w:lang w:eastAsia="ru-RU"/>
        </w:rPr>
        <w:t>Информация о сроках проведения визита преждевременного завершения уточнена в разделе 5.3;</w:t>
      </w:r>
    </w:p>
    <w:p w14:paraId="7D96C6CD" w14:textId="77777777" w:rsidR="00762ED8" w:rsidRPr="006E76AD" w:rsidRDefault="00762ED8" w:rsidP="007B46F5">
      <w:pPr>
        <w:numPr>
          <w:ilvl w:val="0"/>
          <w:numId w:val="39"/>
        </w:numPr>
        <w:autoSpaceDE w:val="0"/>
        <w:autoSpaceDN w:val="0"/>
        <w:adjustRightInd w:val="0"/>
        <w:ind w:left="567" w:hanging="567"/>
        <w:jc w:val="both"/>
        <w:rPr>
          <w:rFonts w:eastAsia="Times New Roman" w:cs="Times New Roman"/>
          <w:sz w:val="22"/>
          <w:lang w:eastAsia="ru-RU"/>
        </w:rPr>
      </w:pPr>
      <w:r>
        <w:rPr>
          <w:rFonts w:eastAsia="Times New Roman" w:cs="Times New Roman"/>
          <w:sz w:val="22"/>
          <w:lang w:eastAsia="ru-RU"/>
        </w:rPr>
        <w:t xml:space="preserve">Дополнена информация о формах выпуска препаратов </w:t>
      </w:r>
      <w:r w:rsidRPr="006E76AD">
        <w:rPr>
          <w:rFonts w:eastAsia="Times New Roman" w:cs="Times New Roman"/>
          <w:sz w:val="22"/>
          <w:lang w:eastAsia="ru-RU"/>
        </w:rPr>
        <w:t>химиотерапии в разделах 6.1.3 и 6.1.4;</w:t>
      </w:r>
    </w:p>
    <w:p w14:paraId="1C55AD45" w14:textId="069E0610" w:rsidR="00762ED8" w:rsidRDefault="00762ED8" w:rsidP="007B46F5">
      <w:pPr>
        <w:numPr>
          <w:ilvl w:val="0"/>
          <w:numId w:val="39"/>
        </w:numPr>
        <w:autoSpaceDE w:val="0"/>
        <w:autoSpaceDN w:val="0"/>
        <w:adjustRightInd w:val="0"/>
        <w:ind w:left="567" w:hanging="567"/>
        <w:jc w:val="both"/>
        <w:rPr>
          <w:rFonts w:eastAsia="Times New Roman" w:cs="Times New Roman"/>
          <w:sz w:val="22"/>
          <w:lang w:eastAsia="ru-RU"/>
        </w:rPr>
      </w:pPr>
      <w:r w:rsidRPr="006E76AD">
        <w:rPr>
          <w:rFonts w:eastAsia="Times New Roman" w:cs="Times New Roman"/>
          <w:sz w:val="22"/>
          <w:lang w:eastAsia="ru-RU"/>
        </w:rPr>
        <w:t>В раздел 6.2.4.2 внесена информация о максимальной дозировке карбоплатина;</w:t>
      </w:r>
    </w:p>
    <w:p w14:paraId="775B48C9" w14:textId="418D6D0A" w:rsidR="00390E86" w:rsidRDefault="00390E86" w:rsidP="007B46F5">
      <w:pPr>
        <w:numPr>
          <w:ilvl w:val="0"/>
          <w:numId w:val="39"/>
        </w:numPr>
        <w:autoSpaceDE w:val="0"/>
        <w:autoSpaceDN w:val="0"/>
        <w:adjustRightInd w:val="0"/>
        <w:ind w:left="567" w:hanging="567"/>
        <w:jc w:val="both"/>
        <w:rPr>
          <w:rFonts w:eastAsia="Times New Roman" w:cs="Times New Roman"/>
          <w:sz w:val="22"/>
          <w:lang w:eastAsia="ru-RU"/>
        </w:rPr>
      </w:pPr>
      <w:r>
        <w:rPr>
          <w:rFonts w:eastAsia="Times New Roman" w:cs="Times New Roman"/>
          <w:sz w:val="22"/>
          <w:lang w:eastAsia="ru-RU"/>
        </w:rPr>
        <w:t>Внесены уточняющие правки в раздел 6.3</w:t>
      </w:r>
    </w:p>
    <w:p w14:paraId="1DE50137" w14:textId="76ADEF01" w:rsidR="00762ED8" w:rsidRDefault="00762ED8" w:rsidP="007B46F5">
      <w:pPr>
        <w:numPr>
          <w:ilvl w:val="0"/>
          <w:numId w:val="39"/>
        </w:numPr>
        <w:tabs>
          <w:tab w:val="left" w:pos="567"/>
        </w:tabs>
        <w:autoSpaceDE w:val="0"/>
        <w:autoSpaceDN w:val="0"/>
        <w:adjustRightInd w:val="0"/>
        <w:ind w:left="567" w:hanging="567"/>
        <w:jc w:val="both"/>
        <w:rPr>
          <w:rFonts w:eastAsia="Times New Roman" w:cs="Times New Roman"/>
          <w:sz w:val="22"/>
          <w:lang w:eastAsia="ru-RU"/>
        </w:rPr>
      </w:pPr>
      <w:r w:rsidRPr="006E76AD">
        <w:rPr>
          <w:rFonts w:eastAsia="Times New Roman" w:cs="Times New Roman"/>
          <w:sz w:val="22"/>
          <w:lang w:eastAsia="ru-RU"/>
        </w:rPr>
        <w:t>Дополнен</w:t>
      </w:r>
      <w:r w:rsidR="00092D27">
        <w:rPr>
          <w:rFonts w:eastAsia="Times New Roman" w:cs="Times New Roman"/>
          <w:sz w:val="22"/>
          <w:lang w:eastAsia="ru-RU"/>
        </w:rPr>
        <w:t xml:space="preserve"> Синопсис и</w:t>
      </w:r>
      <w:r w:rsidRPr="006E76AD">
        <w:rPr>
          <w:rFonts w:eastAsia="Times New Roman" w:cs="Times New Roman"/>
          <w:sz w:val="22"/>
          <w:lang w:eastAsia="ru-RU"/>
        </w:rPr>
        <w:t xml:space="preserve"> раздел 6.5 (допускается применение бисфосфонатов или ингибиторов RANKL у пациентов, </w:t>
      </w:r>
      <w:r w:rsidR="00D01C9D">
        <w:rPr>
          <w:rFonts w:cs="Times New Roman"/>
          <w:sz w:val="22"/>
        </w:rPr>
        <w:t>у которых выявлены</w:t>
      </w:r>
      <w:r w:rsidRPr="006E76AD">
        <w:rPr>
          <w:rFonts w:cs="Times New Roman"/>
          <w:sz w:val="22"/>
        </w:rPr>
        <w:t xml:space="preserve"> местастазы в костях)</w:t>
      </w:r>
      <w:r>
        <w:rPr>
          <w:rFonts w:cs="Times New Roman"/>
          <w:sz w:val="22"/>
        </w:rPr>
        <w:t xml:space="preserve">. Кроме того, внесены изменения в допустимой терапии для пациентов с </w:t>
      </w:r>
      <w:r>
        <w:rPr>
          <w:rFonts w:cs="Times New Roman"/>
          <w:sz w:val="22"/>
          <w:lang w:val="en-US"/>
        </w:rPr>
        <w:t>COVID</w:t>
      </w:r>
      <w:r w:rsidRPr="00CF1B4B">
        <w:rPr>
          <w:rFonts w:cs="Times New Roman"/>
          <w:sz w:val="22"/>
        </w:rPr>
        <w:t>-19</w:t>
      </w:r>
      <w:r w:rsidRPr="006E76AD">
        <w:rPr>
          <w:rFonts w:eastAsia="Times New Roman" w:cs="Times New Roman"/>
          <w:sz w:val="22"/>
          <w:lang w:eastAsia="ru-RU"/>
        </w:rPr>
        <w:t>;</w:t>
      </w:r>
    </w:p>
    <w:p w14:paraId="756C69F4" w14:textId="13B36DA4" w:rsidR="00762ED8" w:rsidRDefault="00762ED8" w:rsidP="007B46F5">
      <w:pPr>
        <w:numPr>
          <w:ilvl w:val="0"/>
          <w:numId w:val="39"/>
        </w:numPr>
        <w:tabs>
          <w:tab w:val="left" w:pos="567"/>
        </w:tabs>
        <w:autoSpaceDE w:val="0"/>
        <w:autoSpaceDN w:val="0"/>
        <w:adjustRightInd w:val="0"/>
        <w:ind w:left="0" w:firstLine="0"/>
        <w:jc w:val="both"/>
        <w:rPr>
          <w:rFonts w:eastAsia="Times New Roman" w:cs="Times New Roman"/>
          <w:sz w:val="22"/>
          <w:lang w:eastAsia="ru-RU"/>
        </w:rPr>
      </w:pPr>
      <w:r>
        <w:rPr>
          <w:rFonts w:eastAsia="Times New Roman" w:cs="Times New Roman"/>
          <w:sz w:val="22"/>
          <w:lang w:eastAsia="ru-RU"/>
        </w:rPr>
        <w:t>Исправлена опечатка в дополнительных параметрах безопасности в разделе 8.1</w:t>
      </w:r>
      <w:r w:rsidR="00390E86">
        <w:rPr>
          <w:rFonts w:eastAsia="Times New Roman" w:cs="Times New Roman"/>
          <w:sz w:val="22"/>
          <w:lang w:eastAsia="ru-RU"/>
        </w:rPr>
        <w:t xml:space="preserve"> Синописе</w:t>
      </w:r>
      <w:r>
        <w:rPr>
          <w:rFonts w:eastAsia="Times New Roman" w:cs="Times New Roman"/>
          <w:sz w:val="22"/>
          <w:lang w:eastAsia="ru-RU"/>
        </w:rPr>
        <w:t>;</w:t>
      </w:r>
    </w:p>
    <w:p w14:paraId="6581D5B6" w14:textId="02D704C7" w:rsidR="000C5F3D" w:rsidRDefault="000C5F3D" w:rsidP="007B46F5">
      <w:pPr>
        <w:numPr>
          <w:ilvl w:val="0"/>
          <w:numId w:val="39"/>
        </w:numPr>
        <w:tabs>
          <w:tab w:val="left" w:pos="567"/>
        </w:tabs>
        <w:autoSpaceDE w:val="0"/>
        <w:autoSpaceDN w:val="0"/>
        <w:adjustRightInd w:val="0"/>
        <w:ind w:left="567" w:hanging="567"/>
        <w:jc w:val="both"/>
        <w:rPr>
          <w:rFonts w:eastAsia="Times New Roman" w:cs="Times New Roman"/>
          <w:sz w:val="22"/>
          <w:lang w:eastAsia="ru-RU"/>
        </w:rPr>
      </w:pPr>
      <w:r>
        <w:rPr>
          <w:rFonts w:eastAsia="Times New Roman" w:cs="Times New Roman"/>
          <w:sz w:val="22"/>
          <w:lang w:eastAsia="ru-RU"/>
        </w:rPr>
        <w:t>Внесены смысловые правки</w:t>
      </w:r>
      <w:r w:rsidR="007576A5" w:rsidRPr="007576A5">
        <w:rPr>
          <w:rFonts w:eastAsia="Times New Roman" w:cs="Times New Roman"/>
          <w:sz w:val="22"/>
          <w:lang w:eastAsia="ru-RU"/>
        </w:rPr>
        <w:t xml:space="preserve"> </w:t>
      </w:r>
      <w:r w:rsidR="007576A5">
        <w:rPr>
          <w:rFonts w:eastAsia="Times New Roman" w:cs="Times New Roman"/>
          <w:sz w:val="22"/>
          <w:lang w:eastAsia="ru-RU"/>
        </w:rPr>
        <w:t>в разделе 8.3</w:t>
      </w:r>
      <w:r>
        <w:rPr>
          <w:rFonts w:eastAsia="Times New Roman" w:cs="Times New Roman"/>
          <w:sz w:val="22"/>
          <w:lang w:eastAsia="ru-RU"/>
        </w:rPr>
        <w:t xml:space="preserve"> в порядок регистрации СНЯ связанных с процедурами исследования;</w:t>
      </w:r>
    </w:p>
    <w:p w14:paraId="5B29A0B6" w14:textId="259BE633" w:rsidR="00762ED8" w:rsidRDefault="00762ED8" w:rsidP="007B46F5">
      <w:pPr>
        <w:numPr>
          <w:ilvl w:val="0"/>
          <w:numId w:val="39"/>
        </w:numPr>
        <w:tabs>
          <w:tab w:val="left" w:pos="567"/>
        </w:tabs>
        <w:autoSpaceDE w:val="0"/>
        <w:autoSpaceDN w:val="0"/>
        <w:adjustRightInd w:val="0"/>
        <w:ind w:left="0" w:firstLine="0"/>
        <w:jc w:val="both"/>
        <w:rPr>
          <w:rFonts w:eastAsia="Times New Roman" w:cs="Times New Roman"/>
          <w:sz w:val="22"/>
          <w:lang w:eastAsia="ru-RU"/>
        </w:rPr>
      </w:pPr>
      <w:r>
        <w:rPr>
          <w:rFonts w:eastAsia="Times New Roman" w:cs="Times New Roman"/>
          <w:sz w:val="22"/>
          <w:lang w:eastAsia="ru-RU"/>
        </w:rPr>
        <w:lastRenderedPageBreak/>
        <w:t>В разделе 8.6.2 изменены контакты</w:t>
      </w:r>
      <w:r w:rsidR="000C5F3D">
        <w:rPr>
          <w:rFonts w:eastAsia="Times New Roman" w:cs="Times New Roman"/>
          <w:sz w:val="22"/>
          <w:lang w:eastAsia="ru-RU"/>
        </w:rPr>
        <w:t xml:space="preserve"> и должность</w:t>
      </w:r>
      <w:r>
        <w:rPr>
          <w:rFonts w:eastAsia="Times New Roman" w:cs="Times New Roman"/>
          <w:sz w:val="22"/>
          <w:lang w:eastAsia="ru-RU"/>
        </w:rPr>
        <w:t xml:space="preserve"> руководителя отдела безопасности.</w:t>
      </w:r>
    </w:p>
    <w:p w14:paraId="13FF88AE" w14:textId="135C1D97" w:rsidR="00390E86" w:rsidRDefault="00390E86" w:rsidP="007B46F5">
      <w:pPr>
        <w:numPr>
          <w:ilvl w:val="0"/>
          <w:numId w:val="39"/>
        </w:numPr>
        <w:tabs>
          <w:tab w:val="left" w:pos="567"/>
        </w:tabs>
        <w:autoSpaceDE w:val="0"/>
        <w:autoSpaceDN w:val="0"/>
        <w:adjustRightInd w:val="0"/>
        <w:ind w:left="0" w:firstLine="0"/>
        <w:jc w:val="both"/>
        <w:rPr>
          <w:rFonts w:eastAsia="Times New Roman" w:cs="Times New Roman"/>
          <w:sz w:val="22"/>
          <w:lang w:eastAsia="ru-RU"/>
        </w:rPr>
      </w:pPr>
      <w:r>
        <w:rPr>
          <w:rFonts w:eastAsia="Times New Roman" w:cs="Times New Roman"/>
          <w:sz w:val="22"/>
          <w:lang w:eastAsia="ru-RU"/>
        </w:rPr>
        <w:t>Внесены уточняющие правки о регистрации исходов беременностив раздел 8.7</w:t>
      </w:r>
    </w:p>
    <w:p w14:paraId="2E5DDD04" w14:textId="03867450" w:rsidR="00D01C9D" w:rsidRDefault="00D01C9D" w:rsidP="007B46F5">
      <w:pPr>
        <w:numPr>
          <w:ilvl w:val="0"/>
          <w:numId w:val="39"/>
        </w:numPr>
        <w:tabs>
          <w:tab w:val="left" w:pos="567"/>
        </w:tabs>
        <w:autoSpaceDE w:val="0"/>
        <w:autoSpaceDN w:val="0"/>
        <w:adjustRightInd w:val="0"/>
        <w:ind w:left="567" w:hanging="567"/>
        <w:jc w:val="both"/>
        <w:rPr>
          <w:rFonts w:eastAsia="Times New Roman" w:cs="Times New Roman"/>
          <w:sz w:val="22"/>
          <w:lang w:eastAsia="ru-RU"/>
        </w:rPr>
      </w:pPr>
      <w:r>
        <w:rPr>
          <w:rFonts w:eastAsia="Times New Roman" w:cs="Times New Roman"/>
          <w:sz w:val="22"/>
          <w:lang w:eastAsia="ru-RU"/>
        </w:rPr>
        <w:t>В разделе 10.1 «</w:t>
      </w:r>
      <w:r w:rsidRPr="00D01C9D">
        <w:rPr>
          <w:rFonts w:eastAsia="Times New Roman" w:cs="Times New Roman"/>
          <w:sz w:val="22"/>
          <w:lang w:eastAsia="ru-RU"/>
        </w:rPr>
        <w:t>Мониторинг исследования и контроль качества</w:t>
      </w:r>
      <w:r>
        <w:rPr>
          <w:rFonts w:eastAsia="Times New Roman" w:cs="Times New Roman"/>
          <w:sz w:val="22"/>
          <w:lang w:eastAsia="ru-RU"/>
        </w:rPr>
        <w:t>» добавлена информация о возможности удаленного мониторинга.</w:t>
      </w:r>
    </w:p>
    <w:p w14:paraId="5E46F0CF" w14:textId="4B9C8B4F" w:rsidR="00887681" w:rsidRDefault="00390E86" w:rsidP="007B46F5">
      <w:pPr>
        <w:numPr>
          <w:ilvl w:val="0"/>
          <w:numId w:val="39"/>
        </w:numPr>
        <w:tabs>
          <w:tab w:val="left" w:pos="567"/>
        </w:tabs>
        <w:autoSpaceDE w:val="0"/>
        <w:autoSpaceDN w:val="0"/>
        <w:adjustRightInd w:val="0"/>
        <w:ind w:left="567" w:hanging="567"/>
        <w:jc w:val="both"/>
        <w:rPr>
          <w:rFonts w:eastAsia="Times New Roman" w:cs="Times New Roman"/>
          <w:sz w:val="22"/>
          <w:lang w:eastAsia="ru-RU"/>
        </w:rPr>
      </w:pPr>
      <w:r>
        <w:rPr>
          <w:rFonts w:eastAsia="Times New Roman" w:cs="Times New Roman"/>
          <w:sz w:val="22"/>
          <w:lang w:eastAsia="ru-RU"/>
        </w:rPr>
        <w:t xml:space="preserve">В разделе 12.1 внесены поясняющие правки </w:t>
      </w:r>
    </w:p>
    <w:p w14:paraId="5D84D155" w14:textId="77777777" w:rsidR="00887681" w:rsidRDefault="00887681" w:rsidP="007B46F5">
      <w:pPr>
        <w:tabs>
          <w:tab w:val="left" w:pos="567"/>
        </w:tabs>
        <w:autoSpaceDE w:val="0"/>
        <w:autoSpaceDN w:val="0"/>
        <w:adjustRightInd w:val="0"/>
        <w:jc w:val="both"/>
        <w:rPr>
          <w:rFonts w:eastAsia="Times New Roman" w:cs="Times New Roman"/>
          <w:sz w:val="22"/>
          <w:lang w:eastAsia="ru-RU"/>
        </w:rPr>
      </w:pPr>
    </w:p>
    <w:p w14:paraId="4F992772" w14:textId="580120D6" w:rsidR="00887681" w:rsidRDefault="00887681" w:rsidP="007B46F5">
      <w:pPr>
        <w:tabs>
          <w:tab w:val="left" w:pos="567"/>
        </w:tabs>
        <w:autoSpaceDE w:val="0"/>
        <w:autoSpaceDN w:val="0"/>
        <w:adjustRightInd w:val="0"/>
        <w:jc w:val="both"/>
        <w:rPr>
          <w:rFonts w:eastAsia="Times New Roman" w:cs="Times New Roman"/>
          <w:sz w:val="22"/>
          <w:lang w:eastAsia="ru-RU"/>
        </w:rPr>
      </w:pPr>
      <w:r w:rsidRPr="00887681">
        <w:rPr>
          <w:rFonts w:eastAsia="Times New Roman" w:cs="Times New Roman"/>
          <w:sz w:val="22"/>
          <w:lang w:eastAsia="ru-RU"/>
        </w:rPr>
        <w:t xml:space="preserve">Изменения, </w:t>
      </w:r>
      <w:r>
        <w:rPr>
          <w:rFonts w:eastAsia="Times New Roman" w:cs="Times New Roman"/>
          <w:sz w:val="22"/>
          <w:lang w:eastAsia="ru-RU"/>
        </w:rPr>
        <w:t>вносим</w:t>
      </w:r>
      <w:r w:rsidR="007B46F5">
        <w:rPr>
          <w:rFonts w:eastAsia="Times New Roman" w:cs="Times New Roman"/>
          <w:sz w:val="22"/>
          <w:lang w:eastAsia="ru-RU"/>
        </w:rPr>
        <w:t>ые в протокол Поправкой №3 от 01.12</w:t>
      </w:r>
      <w:r w:rsidRPr="00887681">
        <w:rPr>
          <w:rFonts w:eastAsia="Times New Roman" w:cs="Times New Roman"/>
          <w:sz w:val="22"/>
          <w:lang w:eastAsia="ru-RU"/>
        </w:rPr>
        <w:t>.2022 г., перечислены ниже:</w:t>
      </w:r>
    </w:p>
    <w:p w14:paraId="30526D1E" w14:textId="66EE69C6" w:rsidR="005266F6" w:rsidRPr="007B46F5" w:rsidRDefault="005266F6" w:rsidP="007B46F5">
      <w:pPr>
        <w:pStyle w:val="ListParagraph"/>
        <w:numPr>
          <w:ilvl w:val="0"/>
          <w:numId w:val="61"/>
        </w:numPr>
        <w:tabs>
          <w:tab w:val="left" w:pos="567"/>
        </w:tabs>
        <w:autoSpaceDE w:val="0"/>
        <w:adjustRightInd w:val="0"/>
        <w:spacing w:line="240" w:lineRule="auto"/>
        <w:ind w:hanging="720"/>
        <w:rPr>
          <w:rFonts w:eastAsia="Times New Roman"/>
          <w:sz w:val="22"/>
          <w:szCs w:val="22"/>
          <w:lang w:val="ru-RU" w:eastAsia="ru-RU"/>
        </w:rPr>
      </w:pPr>
      <w:r w:rsidRPr="000B721A">
        <w:rPr>
          <w:rFonts w:eastAsia="Times New Roman"/>
          <w:sz w:val="22"/>
          <w:szCs w:val="22"/>
          <w:lang w:val="ru-RU" w:eastAsia="ru-RU"/>
        </w:rPr>
        <w:t>Исправлены опечатки</w:t>
      </w:r>
      <w:r w:rsidR="000B721A">
        <w:rPr>
          <w:rFonts w:eastAsia="Times New Roman"/>
          <w:sz w:val="22"/>
          <w:szCs w:val="22"/>
          <w:lang w:val="ru-RU" w:eastAsia="ru-RU"/>
        </w:rPr>
        <w:t xml:space="preserve">. </w:t>
      </w:r>
    </w:p>
    <w:p w14:paraId="635CB39C" w14:textId="6343F791" w:rsidR="007700E6" w:rsidRDefault="007700E6" w:rsidP="007B46F5">
      <w:pPr>
        <w:pStyle w:val="ListParagraph"/>
        <w:numPr>
          <w:ilvl w:val="0"/>
          <w:numId w:val="61"/>
        </w:numPr>
        <w:tabs>
          <w:tab w:val="left" w:pos="567"/>
        </w:tabs>
        <w:autoSpaceDE w:val="0"/>
        <w:adjustRightInd w:val="0"/>
        <w:spacing w:line="240" w:lineRule="auto"/>
        <w:ind w:hanging="720"/>
        <w:rPr>
          <w:rFonts w:eastAsia="Times New Roman"/>
          <w:sz w:val="22"/>
          <w:szCs w:val="22"/>
          <w:lang w:val="ru-RU" w:eastAsia="ru-RU"/>
        </w:rPr>
      </w:pPr>
      <w:r>
        <w:rPr>
          <w:rFonts w:eastAsia="Times New Roman"/>
          <w:sz w:val="22"/>
          <w:szCs w:val="22"/>
          <w:lang w:val="ru-RU" w:eastAsia="ru-RU"/>
        </w:rPr>
        <w:t>Дополнен раздел «Список сокращений»</w:t>
      </w:r>
    </w:p>
    <w:p w14:paraId="417D6D99" w14:textId="58B708CE" w:rsidR="00A86547" w:rsidRPr="00A86547" w:rsidRDefault="00A86547" w:rsidP="00A86547">
      <w:pPr>
        <w:pStyle w:val="ListParagraph"/>
        <w:numPr>
          <w:ilvl w:val="0"/>
          <w:numId w:val="61"/>
        </w:numPr>
        <w:tabs>
          <w:tab w:val="left" w:pos="567"/>
        </w:tabs>
        <w:autoSpaceDE w:val="0"/>
        <w:adjustRightInd w:val="0"/>
        <w:spacing w:line="240" w:lineRule="auto"/>
        <w:ind w:hanging="720"/>
        <w:rPr>
          <w:bCs/>
          <w:iCs/>
          <w:color w:val="000000"/>
          <w:szCs w:val="24"/>
          <w:lang w:val="ru-RU"/>
        </w:rPr>
      </w:pPr>
      <w:r>
        <w:rPr>
          <w:rStyle w:val="50"/>
          <w:rFonts w:eastAsia="Calibri"/>
          <w:b w:val="0"/>
          <w:i w:val="0"/>
          <w:sz w:val="24"/>
          <w:szCs w:val="24"/>
        </w:rPr>
        <w:t>В раздел 7.2 внесены уточняющие дополнения относительно анализа оценки эффективности на основании</w:t>
      </w:r>
      <w:r w:rsidRPr="00A86547">
        <w:rPr>
          <w:lang w:val="ru-RU" w:eastAsia="ru-RU" w:bidi="ru-RU"/>
        </w:rPr>
        <w:t xml:space="preserve"> </w:t>
      </w:r>
      <w:r w:rsidRPr="00A86547">
        <w:rPr>
          <w:szCs w:val="24"/>
          <w:lang w:val="ru-RU" w:eastAsia="ru-RU" w:bidi="ru-RU"/>
        </w:rPr>
        <w:t>данных от ЦНК по пересмотру КТ/МРТ изображений.</w:t>
      </w:r>
      <w:r>
        <w:rPr>
          <w:rStyle w:val="50"/>
          <w:rFonts w:eastAsia="Calibri"/>
          <w:b w:val="0"/>
          <w:i w:val="0"/>
          <w:sz w:val="24"/>
          <w:szCs w:val="24"/>
        </w:rPr>
        <w:t xml:space="preserve"> </w:t>
      </w:r>
    </w:p>
    <w:p w14:paraId="18C6DF4A" w14:textId="48D6BF78" w:rsidR="005266F6" w:rsidRPr="00004968" w:rsidRDefault="000B721A" w:rsidP="007B46F5">
      <w:pPr>
        <w:pStyle w:val="ListParagraph"/>
        <w:numPr>
          <w:ilvl w:val="0"/>
          <w:numId w:val="61"/>
        </w:numPr>
        <w:tabs>
          <w:tab w:val="left" w:pos="567"/>
        </w:tabs>
        <w:autoSpaceDE w:val="0"/>
        <w:adjustRightInd w:val="0"/>
        <w:spacing w:line="240" w:lineRule="auto"/>
        <w:ind w:left="567" w:hanging="567"/>
        <w:rPr>
          <w:rFonts w:eastAsia="Times New Roman"/>
          <w:sz w:val="22"/>
          <w:lang w:val="ru-RU" w:eastAsia="ru-RU"/>
        </w:rPr>
      </w:pPr>
      <w:r>
        <w:rPr>
          <w:rFonts w:eastAsia="Times New Roman"/>
          <w:sz w:val="22"/>
          <w:lang w:val="ru-RU" w:eastAsia="ru-RU"/>
        </w:rPr>
        <w:t>В разделе 9.1.1., 9.1.2.</w:t>
      </w:r>
      <w:r w:rsidR="00506E2A">
        <w:rPr>
          <w:rFonts w:eastAsia="Times New Roman"/>
          <w:sz w:val="22"/>
          <w:lang w:val="ru-RU" w:eastAsia="ru-RU"/>
        </w:rPr>
        <w:t>,</w:t>
      </w:r>
      <w:r>
        <w:rPr>
          <w:rFonts w:eastAsia="Times New Roman"/>
          <w:sz w:val="22"/>
          <w:lang w:val="ru-RU" w:eastAsia="ru-RU"/>
        </w:rPr>
        <w:t xml:space="preserve"> 9.8.1</w:t>
      </w:r>
      <w:r w:rsidR="00506E2A">
        <w:rPr>
          <w:rFonts w:eastAsia="Times New Roman"/>
          <w:sz w:val="22"/>
          <w:lang w:val="ru-RU" w:eastAsia="ru-RU"/>
        </w:rPr>
        <w:t xml:space="preserve"> и 9.8.2</w:t>
      </w:r>
      <w:r>
        <w:rPr>
          <w:rFonts w:eastAsia="Times New Roman"/>
          <w:sz w:val="22"/>
          <w:lang w:val="ru-RU" w:eastAsia="ru-RU"/>
        </w:rPr>
        <w:t xml:space="preserve"> внесены смысловые </w:t>
      </w:r>
      <w:r w:rsidR="00506E2A">
        <w:rPr>
          <w:rFonts w:eastAsia="Times New Roman"/>
          <w:sz w:val="22"/>
          <w:lang w:val="ru-RU" w:eastAsia="ru-RU"/>
        </w:rPr>
        <w:t xml:space="preserve">и уточняющие </w:t>
      </w:r>
      <w:r>
        <w:rPr>
          <w:rFonts w:eastAsia="Times New Roman"/>
          <w:sz w:val="22"/>
          <w:lang w:val="ru-RU" w:eastAsia="ru-RU"/>
        </w:rPr>
        <w:t>правки в описание популяции оценки первичного анализа эффективности</w:t>
      </w:r>
      <w:r w:rsidR="007B46F5">
        <w:rPr>
          <w:rFonts w:eastAsia="Times New Roman"/>
          <w:sz w:val="22"/>
          <w:lang w:val="ru-RU" w:eastAsia="ru-RU"/>
        </w:rPr>
        <w:t>.</w:t>
      </w:r>
    </w:p>
    <w:p w14:paraId="7AFD4BCA" w14:textId="2CD12C6F" w:rsidR="008322CA" w:rsidRPr="009E6200" w:rsidRDefault="00850E32" w:rsidP="007B46F5">
      <w:pPr>
        <w:pStyle w:val="Style7"/>
        <w:widowControl/>
        <w:jc w:val="both"/>
        <w:rPr>
          <w:sz w:val="22"/>
          <w:szCs w:val="22"/>
        </w:rPr>
      </w:pPr>
      <w:r w:rsidRPr="009E6200">
        <w:rPr>
          <w:sz w:val="22"/>
          <w:szCs w:val="22"/>
        </w:rPr>
        <w:tab/>
      </w:r>
      <w:r w:rsidR="008322CA" w:rsidRPr="009E6200">
        <w:rPr>
          <w:sz w:val="22"/>
          <w:szCs w:val="22"/>
        </w:rPr>
        <w:br w:type="page"/>
      </w:r>
    </w:p>
    <w:p w14:paraId="62518901" w14:textId="13BF663B" w:rsidR="00EF25E9" w:rsidRPr="009E6200" w:rsidRDefault="00EF25E9" w:rsidP="007B46F5">
      <w:pPr>
        <w:pStyle w:val="SDText"/>
        <w:jc w:val="both"/>
        <w:outlineLvl w:val="0"/>
        <w:rPr>
          <w:b/>
          <w:sz w:val="28"/>
          <w:szCs w:val="28"/>
          <w:lang w:eastAsia="ru-RU"/>
        </w:rPr>
      </w:pPr>
      <w:bookmarkStart w:id="12" w:name="_Toc120865216"/>
      <w:r w:rsidRPr="009E6200">
        <w:rPr>
          <w:b/>
          <w:sz w:val="28"/>
          <w:szCs w:val="28"/>
          <w:lang w:eastAsia="ru-RU"/>
        </w:rPr>
        <w:lastRenderedPageBreak/>
        <w:t>Оглавление</w:t>
      </w:r>
      <w:bookmarkEnd w:id="12"/>
    </w:p>
    <w:p w14:paraId="74A01A26" w14:textId="77777777" w:rsidR="007B46F5" w:rsidRDefault="007B46F5" w:rsidP="007B46F5">
      <w:pPr>
        <w:pStyle w:val="TOC1"/>
        <w:jc w:val="both"/>
        <w:rPr>
          <w:b w:val="0"/>
          <w:lang w:eastAsia="ru-RU"/>
        </w:rPr>
      </w:pPr>
    </w:p>
    <w:p w14:paraId="2EA13378" w14:textId="342FAB06" w:rsidR="00D93069" w:rsidRPr="00D93069" w:rsidRDefault="001D1A4D" w:rsidP="00D93069">
      <w:pPr>
        <w:pStyle w:val="TOC1"/>
        <w:rPr>
          <w:rFonts w:cs="Times New Roman"/>
          <w:b w:val="0"/>
          <w:bCs w:val="0"/>
          <w:noProof/>
          <w:lang w:eastAsia="ru-RU"/>
        </w:rPr>
      </w:pPr>
      <w:r w:rsidRPr="00D93069">
        <w:rPr>
          <w:rFonts w:cs="Times New Roman"/>
          <w:b w:val="0"/>
          <w:lang w:eastAsia="ru-RU"/>
        </w:rPr>
        <w:fldChar w:fldCharType="begin"/>
      </w:r>
      <w:r w:rsidRPr="00D93069">
        <w:rPr>
          <w:rFonts w:cs="Times New Roman"/>
          <w:b w:val="0"/>
          <w:lang w:eastAsia="ru-RU"/>
        </w:rPr>
        <w:instrText xml:space="preserve"> TOC \o "1-6" \h \z \u </w:instrText>
      </w:r>
      <w:r w:rsidRPr="00D93069">
        <w:rPr>
          <w:rFonts w:cs="Times New Roman"/>
          <w:b w:val="0"/>
          <w:lang w:eastAsia="ru-RU"/>
        </w:rPr>
        <w:fldChar w:fldCharType="separate"/>
      </w:r>
      <w:hyperlink w:anchor="_Toc120865213" w:history="1">
        <w:r w:rsidR="00D93069" w:rsidRPr="00D93069">
          <w:rPr>
            <w:rStyle w:val="Hyperlink"/>
            <w:rFonts w:cs="Times New Roman"/>
            <w:b w:val="0"/>
            <w:noProof/>
          </w:rPr>
          <w:t>Страница одобрения протокола спонсором исследования</w:t>
        </w:r>
        <w:r w:rsidR="00D93069" w:rsidRPr="00D93069">
          <w:rPr>
            <w:rFonts w:cs="Times New Roman"/>
            <w:b w:val="0"/>
            <w:noProof/>
            <w:webHidden/>
          </w:rPr>
          <w:tab/>
        </w:r>
        <w:r w:rsidR="00D93069" w:rsidRPr="00D93069">
          <w:rPr>
            <w:rFonts w:cs="Times New Roman"/>
            <w:b w:val="0"/>
            <w:noProof/>
            <w:webHidden/>
          </w:rPr>
          <w:fldChar w:fldCharType="begin"/>
        </w:r>
        <w:r w:rsidR="00D93069" w:rsidRPr="00D93069">
          <w:rPr>
            <w:rFonts w:cs="Times New Roman"/>
            <w:b w:val="0"/>
            <w:noProof/>
            <w:webHidden/>
          </w:rPr>
          <w:instrText xml:space="preserve"> PAGEREF _Toc120865213 \h </w:instrText>
        </w:r>
        <w:r w:rsidR="00D93069" w:rsidRPr="00D93069">
          <w:rPr>
            <w:rFonts w:cs="Times New Roman"/>
            <w:b w:val="0"/>
            <w:noProof/>
            <w:webHidden/>
          </w:rPr>
        </w:r>
        <w:r w:rsidR="00D93069" w:rsidRPr="00D93069">
          <w:rPr>
            <w:rFonts w:cs="Times New Roman"/>
            <w:b w:val="0"/>
            <w:noProof/>
            <w:webHidden/>
          </w:rPr>
          <w:fldChar w:fldCharType="separate"/>
        </w:r>
        <w:r w:rsidR="00F906B6">
          <w:rPr>
            <w:rFonts w:cs="Times New Roman"/>
            <w:b w:val="0"/>
            <w:noProof/>
            <w:webHidden/>
          </w:rPr>
          <w:t>2</w:t>
        </w:r>
        <w:r w:rsidR="00D93069" w:rsidRPr="00D93069">
          <w:rPr>
            <w:rFonts w:cs="Times New Roman"/>
            <w:b w:val="0"/>
            <w:noProof/>
            <w:webHidden/>
          </w:rPr>
          <w:fldChar w:fldCharType="end"/>
        </w:r>
      </w:hyperlink>
    </w:p>
    <w:p w14:paraId="79405DB4" w14:textId="79C0179D" w:rsidR="00D93069" w:rsidRPr="00D93069" w:rsidRDefault="00E767EF" w:rsidP="00D93069">
      <w:pPr>
        <w:pStyle w:val="TOC1"/>
        <w:rPr>
          <w:rFonts w:cs="Times New Roman"/>
          <w:b w:val="0"/>
          <w:bCs w:val="0"/>
          <w:noProof/>
          <w:lang w:eastAsia="ru-RU"/>
        </w:rPr>
      </w:pPr>
      <w:hyperlink w:anchor="_Toc120865214" w:history="1">
        <w:r w:rsidR="00D93069" w:rsidRPr="00D93069">
          <w:rPr>
            <w:rStyle w:val="Hyperlink"/>
            <w:rFonts w:cs="Times New Roman"/>
            <w:b w:val="0"/>
            <w:noProof/>
          </w:rPr>
          <w:t>Страница согласия исследователя с протоколом исследования</w:t>
        </w:r>
        <w:r w:rsidR="00D93069" w:rsidRPr="00D93069">
          <w:rPr>
            <w:rFonts w:cs="Times New Roman"/>
            <w:b w:val="0"/>
            <w:noProof/>
            <w:webHidden/>
          </w:rPr>
          <w:tab/>
        </w:r>
        <w:r w:rsidR="00D93069" w:rsidRPr="00D93069">
          <w:rPr>
            <w:rFonts w:cs="Times New Roman"/>
            <w:b w:val="0"/>
            <w:noProof/>
            <w:webHidden/>
          </w:rPr>
          <w:fldChar w:fldCharType="begin"/>
        </w:r>
        <w:r w:rsidR="00D93069" w:rsidRPr="00D93069">
          <w:rPr>
            <w:rFonts w:cs="Times New Roman"/>
            <w:b w:val="0"/>
            <w:noProof/>
            <w:webHidden/>
          </w:rPr>
          <w:instrText xml:space="preserve"> PAGEREF _Toc120865214 \h </w:instrText>
        </w:r>
        <w:r w:rsidR="00D93069" w:rsidRPr="00D93069">
          <w:rPr>
            <w:rFonts w:cs="Times New Roman"/>
            <w:b w:val="0"/>
            <w:noProof/>
            <w:webHidden/>
          </w:rPr>
        </w:r>
        <w:r w:rsidR="00D93069" w:rsidRPr="00D93069">
          <w:rPr>
            <w:rFonts w:cs="Times New Roman"/>
            <w:b w:val="0"/>
            <w:noProof/>
            <w:webHidden/>
          </w:rPr>
          <w:fldChar w:fldCharType="separate"/>
        </w:r>
        <w:r w:rsidR="00F906B6">
          <w:rPr>
            <w:rFonts w:cs="Times New Roman"/>
            <w:b w:val="0"/>
            <w:noProof/>
            <w:webHidden/>
          </w:rPr>
          <w:t>3</w:t>
        </w:r>
        <w:r w:rsidR="00D93069" w:rsidRPr="00D93069">
          <w:rPr>
            <w:rFonts w:cs="Times New Roman"/>
            <w:b w:val="0"/>
            <w:noProof/>
            <w:webHidden/>
          </w:rPr>
          <w:fldChar w:fldCharType="end"/>
        </w:r>
      </w:hyperlink>
    </w:p>
    <w:p w14:paraId="3557BDCC" w14:textId="36A60CC7" w:rsidR="00D93069" w:rsidRPr="00D93069" w:rsidRDefault="00E767EF" w:rsidP="00D93069">
      <w:pPr>
        <w:pStyle w:val="TOC1"/>
        <w:rPr>
          <w:rFonts w:cs="Times New Roman"/>
          <w:b w:val="0"/>
          <w:bCs w:val="0"/>
          <w:noProof/>
          <w:lang w:eastAsia="ru-RU"/>
        </w:rPr>
      </w:pPr>
      <w:hyperlink w:anchor="_Toc120865215" w:history="1">
        <w:r w:rsidR="00D93069" w:rsidRPr="00D93069">
          <w:rPr>
            <w:rStyle w:val="Hyperlink"/>
            <w:rFonts w:eastAsia="Times New Roman" w:cs="Times New Roman"/>
            <w:b w:val="0"/>
            <w:noProof/>
          </w:rPr>
          <w:t>Описание изменений в протоколе</w:t>
        </w:r>
        <w:r w:rsidR="00D93069" w:rsidRPr="00D93069">
          <w:rPr>
            <w:rFonts w:cs="Times New Roman"/>
            <w:b w:val="0"/>
            <w:noProof/>
            <w:webHidden/>
          </w:rPr>
          <w:tab/>
        </w:r>
        <w:r w:rsidR="00D93069" w:rsidRPr="00D93069">
          <w:rPr>
            <w:rFonts w:cs="Times New Roman"/>
            <w:b w:val="0"/>
            <w:noProof/>
            <w:webHidden/>
          </w:rPr>
          <w:fldChar w:fldCharType="begin"/>
        </w:r>
        <w:r w:rsidR="00D93069" w:rsidRPr="00D93069">
          <w:rPr>
            <w:rFonts w:cs="Times New Roman"/>
            <w:b w:val="0"/>
            <w:noProof/>
            <w:webHidden/>
          </w:rPr>
          <w:instrText xml:space="preserve"> PAGEREF _Toc120865215 \h </w:instrText>
        </w:r>
        <w:r w:rsidR="00D93069" w:rsidRPr="00D93069">
          <w:rPr>
            <w:rFonts w:cs="Times New Roman"/>
            <w:b w:val="0"/>
            <w:noProof/>
            <w:webHidden/>
          </w:rPr>
        </w:r>
        <w:r w:rsidR="00D93069" w:rsidRPr="00D93069">
          <w:rPr>
            <w:rFonts w:cs="Times New Roman"/>
            <w:b w:val="0"/>
            <w:noProof/>
            <w:webHidden/>
          </w:rPr>
          <w:fldChar w:fldCharType="separate"/>
        </w:r>
        <w:r w:rsidR="00F906B6">
          <w:rPr>
            <w:rFonts w:cs="Times New Roman"/>
            <w:b w:val="0"/>
            <w:noProof/>
            <w:webHidden/>
          </w:rPr>
          <w:t>4</w:t>
        </w:r>
        <w:r w:rsidR="00D93069" w:rsidRPr="00D93069">
          <w:rPr>
            <w:rFonts w:cs="Times New Roman"/>
            <w:b w:val="0"/>
            <w:noProof/>
            <w:webHidden/>
          </w:rPr>
          <w:fldChar w:fldCharType="end"/>
        </w:r>
      </w:hyperlink>
    </w:p>
    <w:p w14:paraId="02191B3F" w14:textId="2548795F" w:rsidR="00D93069" w:rsidRPr="00D93069" w:rsidRDefault="00E767EF" w:rsidP="00D93069">
      <w:pPr>
        <w:pStyle w:val="TOC1"/>
        <w:rPr>
          <w:rFonts w:cs="Times New Roman"/>
          <w:b w:val="0"/>
          <w:bCs w:val="0"/>
          <w:noProof/>
          <w:lang w:eastAsia="ru-RU"/>
        </w:rPr>
      </w:pPr>
      <w:hyperlink w:anchor="_Toc120865216" w:history="1">
        <w:r w:rsidR="00D93069" w:rsidRPr="00D93069">
          <w:rPr>
            <w:rStyle w:val="Hyperlink"/>
            <w:rFonts w:cs="Times New Roman"/>
            <w:b w:val="0"/>
            <w:noProof/>
            <w:lang w:eastAsia="ru-RU"/>
          </w:rPr>
          <w:t>Оглавление</w:t>
        </w:r>
        <w:r w:rsidR="00D93069" w:rsidRPr="00D93069">
          <w:rPr>
            <w:rFonts w:cs="Times New Roman"/>
            <w:b w:val="0"/>
            <w:noProof/>
            <w:webHidden/>
          </w:rPr>
          <w:tab/>
        </w:r>
        <w:r w:rsidR="00D93069" w:rsidRPr="00D93069">
          <w:rPr>
            <w:rFonts w:cs="Times New Roman"/>
            <w:b w:val="0"/>
            <w:noProof/>
            <w:webHidden/>
          </w:rPr>
          <w:fldChar w:fldCharType="begin"/>
        </w:r>
        <w:r w:rsidR="00D93069" w:rsidRPr="00D93069">
          <w:rPr>
            <w:rFonts w:cs="Times New Roman"/>
            <w:b w:val="0"/>
            <w:noProof/>
            <w:webHidden/>
          </w:rPr>
          <w:instrText xml:space="preserve"> PAGEREF _Toc120865216 \h </w:instrText>
        </w:r>
        <w:r w:rsidR="00D93069" w:rsidRPr="00D93069">
          <w:rPr>
            <w:rFonts w:cs="Times New Roman"/>
            <w:b w:val="0"/>
            <w:noProof/>
            <w:webHidden/>
          </w:rPr>
        </w:r>
        <w:r w:rsidR="00D93069" w:rsidRPr="00D93069">
          <w:rPr>
            <w:rFonts w:cs="Times New Roman"/>
            <w:b w:val="0"/>
            <w:noProof/>
            <w:webHidden/>
          </w:rPr>
          <w:fldChar w:fldCharType="separate"/>
        </w:r>
        <w:r w:rsidR="00F906B6">
          <w:rPr>
            <w:rFonts w:cs="Times New Roman"/>
            <w:b w:val="0"/>
            <w:noProof/>
            <w:webHidden/>
          </w:rPr>
          <w:t>7</w:t>
        </w:r>
        <w:r w:rsidR="00D93069" w:rsidRPr="00D93069">
          <w:rPr>
            <w:rFonts w:cs="Times New Roman"/>
            <w:b w:val="0"/>
            <w:noProof/>
            <w:webHidden/>
          </w:rPr>
          <w:fldChar w:fldCharType="end"/>
        </w:r>
      </w:hyperlink>
    </w:p>
    <w:p w14:paraId="1836F517" w14:textId="05F2528A" w:rsidR="00D93069" w:rsidRPr="00D93069" w:rsidRDefault="00E767EF" w:rsidP="00D93069">
      <w:pPr>
        <w:pStyle w:val="TOC1"/>
        <w:rPr>
          <w:rFonts w:cs="Times New Roman"/>
          <w:b w:val="0"/>
          <w:bCs w:val="0"/>
          <w:noProof/>
          <w:lang w:eastAsia="ru-RU"/>
        </w:rPr>
      </w:pPr>
      <w:hyperlink w:anchor="_Toc120865217" w:history="1">
        <w:r w:rsidR="00D93069" w:rsidRPr="00D93069">
          <w:rPr>
            <w:rStyle w:val="Hyperlink"/>
            <w:rFonts w:cs="Times New Roman"/>
            <w:b w:val="0"/>
            <w:noProof/>
            <w:lang w:eastAsia="ru-RU"/>
          </w:rPr>
          <w:t>Список сокращений</w:t>
        </w:r>
        <w:r w:rsidR="00D93069" w:rsidRPr="00D93069">
          <w:rPr>
            <w:rFonts w:cs="Times New Roman"/>
            <w:b w:val="0"/>
            <w:noProof/>
            <w:webHidden/>
          </w:rPr>
          <w:tab/>
        </w:r>
        <w:r w:rsidR="00D93069" w:rsidRPr="00D93069">
          <w:rPr>
            <w:rFonts w:cs="Times New Roman"/>
            <w:b w:val="0"/>
            <w:noProof/>
            <w:webHidden/>
          </w:rPr>
          <w:fldChar w:fldCharType="begin"/>
        </w:r>
        <w:r w:rsidR="00D93069" w:rsidRPr="00D93069">
          <w:rPr>
            <w:rFonts w:cs="Times New Roman"/>
            <w:b w:val="0"/>
            <w:noProof/>
            <w:webHidden/>
          </w:rPr>
          <w:instrText xml:space="preserve"> PAGEREF _Toc120865217 \h </w:instrText>
        </w:r>
        <w:r w:rsidR="00D93069" w:rsidRPr="00D93069">
          <w:rPr>
            <w:rFonts w:cs="Times New Roman"/>
            <w:b w:val="0"/>
            <w:noProof/>
            <w:webHidden/>
          </w:rPr>
        </w:r>
        <w:r w:rsidR="00D93069" w:rsidRPr="00D93069">
          <w:rPr>
            <w:rFonts w:cs="Times New Roman"/>
            <w:b w:val="0"/>
            <w:noProof/>
            <w:webHidden/>
          </w:rPr>
          <w:fldChar w:fldCharType="separate"/>
        </w:r>
        <w:r w:rsidR="00F906B6">
          <w:rPr>
            <w:rFonts w:cs="Times New Roman"/>
            <w:b w:val="0"/>
            <w:noProof/>
            <w:webHidden/>
          </w:rPr>
          <w:t>11</w:t>
        </w:r>
        <w:r w:rsidR="00D93069" w:rsidRPr="00D93069">
          <w:rPr>
            <w:rFonts w:cs="Times New Roman"/>
            <w:b w:val="0"/>
            <w:noProof/>
            <w:webHidden/>
          </w:rPr>
          <w:fldChar w:fldCharType="end"/>
        </w:r>
      </w:hyperlink>
    </w:p>
    <w:p w14:paraId="0F65257D" w14:textId="247EEFAF" w:rsidR="00D93069" w:rsidRPr="00D93069" w:rsidRDefault="00E767EF" w:rsidP="00D93069">
      <w:pPr>
        <w:pStyle w:val="TOC1"/>
        <w:rPr>
          <w:rFonts w:cs="Times New Roman"/>
          <w:b w:val="0"/>
          <w:bCs w:val="0"/>
          <w:noProof/>
          <w:lang w:eastAsia="ru-RU"/>
        </w:rPr>
      </w:pPr>
      <w:hyperlink w:anchor="_Toc120865218" w:history="1">
        <w:r w:rsidR="00D93069" w:rsidRPr="00D93069">
          <w:rPr>
            <w:rStyle w:val="Hyperlink"/>
            <w:rFonts w:cs="Times New Roman"/>
            <w:b w:val="0"/>
            <w:noProof/>
            <w:lang w:eastAsia="ru-RU"/>
          </w:rPr>
          <w:t>Синопсис</w:t>
        </w:r>
        <w:r w:rsidR="00D93069" w:rsidRPr="00D93069">
          <w:rPr>
            <w:rFonts w:cs="Times New Roman"/>
            <w:b w:val="0"/>
            <w:noProof/>
            <w:webHidden/>
          </w:rPr>
          <w:tab/>
        </w:r>
        <w:r w:rsidR="00D93069" w:rsidRPr="00D93069">
          <w:rPr>
            <w:rFonts w:cs="Times New Roman"/>
            <w:b w:val="0"/>
            <w:noProof/>
            <w:webHidden/>
          </w:rPr>
          <w:fldChar w:fldCharType="begin"/>
        </w:r>
        <w:r w:rsidR="00D93069" w:rsidRPr="00D93069">
          <w:rPr>
            <w:rFonts w:cs="Times New Roman"/>
            <w:b w:val="0"/>
            <w:noProof/>
            <w:webHidden/>
          </w:rPr>
          <w:instrText xml:space="preserve"> PAGEREF _Toc120865218 \h </w:instrText>
        </w:r>
        <w:r w:rsidR="00D93069" w:rsidRPr="00D93069">
          <w:rPr>
            <w:rFonts w:cs="Times New Roman"/>
            <w:b w:val="0"/>
            <w:noProof/>
            <w:webHidden/>
          </w:rPr>
        </w:r>
        <w:r w:rsidR="00D93069" w:rsidRPr="00D93069">
          <w:rPr>
            <w:rFonts w:cs="Times New Roman"/>
            <w:b w:val="0"/>
            <w:noProof/>
            <w:webHidden/>
          </w:rPr>
          <w:fldChar w:fldCharType="separate"/>
        </w:r>
        <w:r w:rsidR="00F906B6">
          <w:rPr>
            <w:rFonts w:cs="Times New Roman"/>
            <w:b w:val="0"/>
            <w:noProof/>
            <w:webHidden/>
          </w:rPr>
          <w:t>14</w:t>
        </w:r>
        <w:r w:rsidR="00D93069" w:rsidRPr="00D93069">
          <w:rPr>
            <w:rFonts w:cs="Times New Roman"/>
            <w:b w:val="0"/>
            <w:noProof/>
            <w:webHidden/>
          </w:rPr>
          <w:fldChar w:fldCharType="end"/>
        </w:r>
      </w:hyperlink>
    </w:p>
    <w:p w14:paraId="365BE462" w14:textId="08F85411" w:rsidR="00D93069" w:rsidRPr="00D93069" w:rsidRDefault="00E767EF" w:rsidP="00D93069">
      <w:pPr>
        <w:pStyle w:val="TOC1"/>
        <w:rPr>
          <w:rFonts w:cs="Times New Roman"/>
          <w:b w:val="0"/>
          <w:bCs w:val="0"/>
          <w:noProof/>
          <w:lang w:eastAsia="ru-RU"/>
        </w:rPr>
      </w:pPr>
      <w:hyperlink w:anchor="_Toc120865219" w:history="1">
        <w:r w:rsidR="00D93069" w:rsidRPr="00D93069">
          <w:rPr>
            <w:rStyle w:val="Hyperlink"/>
            <w:rFonts w:cs="Times New Roman"/>
            <w:b w:val="0"/>
            <w:noProof/>
            <w:lang w:eastAsia="ru-RU"/>
          </w:rPr>
          <w:t>1</w:t>
        </w:r>
        <w:r w:rsidR="00D93069" w:rsidRPr="00D93069">
          <w:rPr>
            <w:rFonts w:cs="Times New Roman"/>
            <w:b w:val="0"/>
            <w:bCs w:val="0"/>
            <w:noProof/>
            <w:lang w:eastAsia="ru-RU"/>
          </w:rPr>
          <w:tab/>
        </w:r>
        <w:r w:rsidR="00D93069" w:rsidRPr="00D93069">
          <w:rPr>
            <w:rStyle w:val="Hyperlink"/>
            <w:rFonts w:cs="Times New Roman"/>
            <w:b w:val="0"/>
            <w:noProof/>
            <w:lang w:eastAsia="ru-RU"/>
          </w:rPr>
          <w:t>Общая информация</w:t>
        </w:r>
        <w:r w:rsidR="00D93069" w:rsidRPr="00D93069">
          <w:rPr>
            <w:rFonts w:cs="Times New Roman"/>
            <w:b w:val="0"/>
            <w:noProof/>
            <w:webHidden/>
          </w:rPr>
          <w:tab/>
        </w:r>
        <w:r w:rsidR="00D93069" w:rsidRPr="00D93069">
          <w:rPr>
            <w:rFonts w:cs="Times New Roman"/>
            <w:b w:val="0"/>
            <w:noProof/>
            <w:webHidden/>
          </w:rPr>
          <w:fldChar w:fldCharType="begin"/>
        </w:r>
        <w:r w:rsidR="00D93069" w:rsidRPr="00D93069">
          <w:rPr>
            <w:rFonts w:cs="Times New Roman"/>
            <w:b w:val="0"/>
            <w:noProof/>
            <w:webHidden/>
          </w:rPr>
          <w:instrText xml:space="preserve"> PAGEREF _Toc120865219 \h </w:instrText>
        </w:r>
        <w:r w:rsidR="00D93069" w:rsidRPr="00D93069">
          <w:rPr>
            <w:rFonts w:cs="Times New Roman"/>
            <w:b w:val="0"/>
            <w:noProof/>
            <w:webHidden/>
          </w:rPr>
        </w:r>
        <w:r w:rsidR="00D93069" w:rsidRPr="00D93069">
          <w:rPr>
            <w:rFonts w:cs="Times New Roman"/>
            <w:b w:val="0"/>
            <w:noProof/>
            <w:webHidden/>
          </w:rPr>
          <w:fldChar w:fldCharType="separate"/>
        </w:r>
        <w:r w:rsidR="00F906B6">
          <w:rPr>
            <w:rFonts w:cs="Times New Roman"/>
            <w:b w:val="0"/>
            <w:noProof/>
            <w:webHidden/>
          </w:rPr>
          <w:t>40</w:t>
        </w:r>
        <w:r w:rsidR="00D93069" w:rsidRPr="00D93069">
          <w:rPr>
            <w:rFonts w:cs="Times New Roman"/>
            <w:b w:val="0"/>
            <w:noProof/>
            <w:webHidden/>
          </w:rPr>
          <w:fldChar w:fldCharType="end"/>
        </w:r>
      </w:hyperlink>
    </w:p>
    <w:p w14:paraId="7E555160" w14:textId="50605EB0" w:rsidR="00D93069" w:rsidRPr="00D93069" w:rsidRDefault="00E767EF" w:rsidP="00D93069">
      <w:pPr>
        <w:pStyle w:val="TOC2"/>
        <w:rPr>
          <w:rFonts w:cs="Times New Roman"/>
          <w:b w:val="0"/>
          <w:bCs w:val="0"/>
          <w:noProof/>
          <w:sz w:val="24"/>
          <w:szCs w:val="24"/>
          <w:lang w:eastAsia="ru-RU"/>
        </w:rPr>
      </w:pPr>
      <w:hyperlink w:anchor="_Toc120865220" w:history="1">
        <w:r w:rsidR="00D93069" w:rsidRPr="00D93069">
          <w:rPr>
            <w:rStyle w:val="Hyperlink"/>
            <w:rFonts w:cs="Times New Roman"/>
            <w:b w:val="0"/>
            <w:noProof/>
            <w:sz w:val="24"/>
            <w:szCs w:val="24"/>
          </w:rPr>
          <w:t>1.1</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Название протокола, идентификационный номер протокола и дата:</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_Toc120865220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40</w:t>
        </w:r>
        <w:r w:rsidR="00D93069" w:rsidRPr="00D93069">
          <w:rPr>
            <w:rFonts w:cs="Times New Roman"/>
            <w:b w:val="0"/>
            <w:noProof/>
            <w:webHidden/>
            <w:sz w:val="24"/>
            <w:szCs w:val="24"/>
          </w:rPr>
          <w:fldChar w:fldCharType="end"/>
        </w:r>
      </w:hyperlink>
    </w:p>
    <w:p w14:paraId="2A1FBE8C" w14:textId="28275183" w:rsidR="00D93069" w:rsidRPr="00D93069" w:rsidRDefault="00E767EF" w:rsidP="00D93069">
      <w:pPr>
        <w:pStyle w:val="TOC2"/>
        <w:rPr>
          <w:rFonts w:cs="Times New Roman"/>
          <w:b w:val="0"/>
          <w:bCs w:val="0"/>
          <w:noProof/>
          <w:sz w:val="24"/>
          <w:szCs w:val="24"/>
          <w:lang w:eastAsia="ru-RU"/>
        </w:rPr>
      </w:pPr>
      <w:hyperlink w:anchor="_Toc120865221" w:history="1">
        <w:r w:rsidR="00D93069" w:rsidRPr="00D93069">
          <w:rPr>
            <w:rStyle w:val="Hyperlink"/>
            <w:rFonts w:cs="Times New Roman"/>
            <w:b w:val="0"/>
            <w:noProof/>
            <w:sz w:val="24"/>
            <w:szCs w:val="24"/>
          </w:rPr>
          <w:t>1.2</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Наименование/имя и адрес спонсора и монитора (если они различаются)</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_Toc120865221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40</w:t>
        </w:r>
        <w:r w:rsidR="00D93069" w:rsidRPr="00D93069">
          <w:rPr>
            <w:rFonts w:cs="Times New Roman"/>
            <w:b w:val="0"/>
            <w:noProof/>
            <w:webHidden/>
            <w:sz w:val="24"/>
            <w:szCs w:val="24"/>
          </w:rPr>
          <w:fldChar w:fldCharType="end"/>
        </w:r>
      </w:hyperlink>
    </w:p>
    <w:p w14:paraId="1EDDBF47" w14:textId="6C546425" w:rsidR="00D93069" w:rsidRPr="00D93069" w:rsidRDefault="00E767EF" w:rsidP="00D93069">
      <w:pPr>
        <w:pStyle w:val="TOC2"/>
        <w:rPr>
          <w:rFonts w:cs="Times New Roman"/>
          <w:b w:val="0"/>
          <w:bCs w:val="0"/>
          <w:noProof/>
          <w:sz w:val="24"/>
          <w:szCs w:val="24"/>
          <w:lang w:eastAsia="ru-RU"/>
        </w:rPr>
      </w:pPr>
      <w:hyperlink w:anchor="_Toc120865222" w:history="1">
        <w:r w:rsidR="00D93069" w:rsidRPr="00D93069">
          <w:rPr>
            <w:rStyle w:val="Hyperlink"/>
            <w:rFonts w:cs="Times New Roman"/>
            <w:b w:val="0"/>
            <w:noProof/>
            <w:sz w:val="24"/>
            <w:szCs w:val="24"/>
          </w:rPr>
          <w:t>1.3</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Имя и должность лиц, уполномоченных от имени спонсора подписывать протокол и поправки к протоколу:</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_Toc120865222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40</w:t>
        </w:r>
        <w:r w:rsidR="00D93069" w:rsidRPr="00D93069">
          <w:rPr>
            <w:rFonts w:cs="Times New Roman"/>
            <w:b w:val="0"/>
            <w:noProof/>
            <w:webHidden/>
            <w:sz w:val="24"/>
            <w:szCs w:val="24"/>
          </w:rPr>
          <w:fldChar w:fldCharType="end"/>
        </w:r>
      </w:hyperlink>
    </w:p>
    <w:p w14:paraId="3BFFC608" w14:textId="6E8247B8" w:rsidR="00D93069" w:rsidRPr="00D93069" w:rsidRDefault="00E767EF" w:rsidP="00D93069">
      <w:pPr>
        <w:pStyle w:val="TOC2"/>
        <w:rPr>
          <w:rFonts w:cs="Times New Roman"/>
          <w:b w:val="0"/>
          <w:bCs w:val="0"/>
          <w:noProof/>
          <w:sz w:val="24"/>
          <w:szCs w:val="24"/>
          <w:lang w:eastAsia="ru-RU"/>
        </w:rPr>
      </w:pPr>
      <w:hyperlink w:anchor="_Toc120865223" w:history="1">
        <w:r w:rsidR="00D93069" w:rsidRPr="00D93069">
          <w:rPr>
            <w:rStyle w:val="Hyperlink"/>
            <w:rFonts w:cs="Times New Roman"/>
            <w:b w:val="0"/>
            <w:noProof/>
            <w:sz w:val="24"/>
            <w:szCs w:val="24"/>
          </w:rPr>
          <w:t>1.4</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Имя, должность, адрес и номер телефон квалифицированного врача, отвечающего за принятие решений медицинского характера:</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_Toc120865223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40</w:t>
        </w:r>
        <w:r w:rsidR="00D93069" w:rsidRPr="00D93069">
          <w:rPr>
            <w:rFonts w:cs="Times New Roman"/>
            <w:b w:val="0"/>
            <w:noProof/>
            <w:webHidden/>
            <w:sz w:val="24"/>
            <w:szCs w:val="24"/>
          </w:rPr>
          <w:fldChar w:fldCharType="end"/>
        </w:r>
      </w:hyperlink>
    </w:p>
    <w:p w14:paraId="5E5D066F" w14:textId="535A7A43" w:rsidR="00D93069" w:rsidRPr="00D93069" w:rsidRDefault="00E767EF" w:rsidP="00D93069">
      <w:pPr>
        <w:pStyle w:val="TOC2"/>
        <w:rPr>
          <w:rFonts w:cs="Times New Roman"/>
          <w:b w:val="0"/>
          <w:bCs w:val="0"/>
          <w:noProof/>
          <w:sz w:val="24"/>
          <w:szCs w:val="24"/>
          <w:lang w:eastAsia="ru-RU"/>
        </w:rPr>
      </w:pPr>
      <w:hyperlink w:anchor="_Toc120865224" w:history="1">
        <w:r w:rsidR="00D93069" w:rsidRPr="00D93069">
          <w:rPr>
            <w:rStyle w:val="Hyperlink"/>
            <w:rFonts w:cs="Times New Roman"/>
            <w:b w:val="0"/>
            <w:noProof/>
            <w:sz w:val="24"/>
            <w:szCs w:val="24"/>
          </w:rPr>
          <w:t>1.5</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Наименование и адреса клинических и других медицинских и/или технических служб и/или организаций, вовлеченные в исследование.</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_Toc120865224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40</w:t>
        </w:r>
        <w:r w:rsidR="00D93069" w:rsidRPr="00D93069">
          <w:rPr>
            <w:rFonts w:cs="Times New Roman"/>
            <w:b w:val="0"/>
            <w:noProof/>
            <w:webHidden/>
            <w:sz w:val="24"/>
            <w:szCs w:val="24"/>
          </w:rPr>
          <w:fldChar w:fldCharType="end"/>
        </w:r>
      </w:hyperlink>
    </w:p>
    <w:p w14:paraId="31CCAEE3" w14:textId="0ED52B2A" w:rsidR="00D93069" w:rsidRPr="00D93069" w:rsidRDefault="00E767EF" w:rsidP="00D93069">
      <w:pPr>
        <w:pStyle w:val="TOC1"/>
        <w:rPr>
          <w:rFonts w:cs="Times New Roman"/>
          <w:b w:val="0"/>
          <w:bCs w:val="0"/>
          <w:noProof/>
          <w:lang w:eastAsia="ru-RU"/>
        </w:rPr>
      </w:pPr>
      <w:hyperlink w:anchor="_Toc120865225" w:history="1">
        <w:r w:rsidR="00D93069" w:rsidRPr="00D93069">
          <w:rPr>
            <w:rStyle w:val="Hyperlink"/>
            <w:rFonts w:cs="Times New Roman"/>
            <w:b w:val="0"/>
            <w:noProof/>
            <w:lang w:eastAsia="ru-RU"/>
          </w:rPr>
          <w:t>2</w:t>
        </w:r>
        <w:r w:rsidR="00D93069" w:rsidRPr="00D93069">
          <w:rPr>
            <w:rFonts w:cs="Times New Roman"/>
            <w:b w:val="0"/>
            <w:bCs w:val="0"/>
            <w:noProof/>
            <w:lang w:eastAsia="ru-RU"/>
          </w:rPr>
          <w:tab/>
        </w:r>
        <w:r w:rsidR="00D93069" w:rsidRPr="00D93069">
          <w:rPr>
            <w:rStyle w:val="Hyperlink"/>
            <w:rFonts w:cs="Times New Roman"/>
            <w:b w:val="0"/>
            <w:noProof/>
            <w:lang w:eastAsia="ru-RU"/>
          </w:rPr>
          <w:t>Обоснование исследования</w:t>
        </w:r>
        <w:r w:rsidR="00D93069" w:rsidRPr="00D93069">
          <w:rPr>
            <w:rFonts w:cs="Times New Roman"/>
            <w:b w:val="0"/>
            <w:noProof/>
            <w:webHidden/>
          </w:rPr>
          <w:tab/>
        </w:r>
        <w:r w:rsidR="00D93069" w:rsidRPr="00D93069">
          <w:rPr>
            <w:rFonts w:cs="Times New Roman"/>
            <w:b w:val="0"/>
            <w:noProof/>
            <w:webHidden/>
          </w:rPr>
          <w:fldChar w:fldCharType="begin"/>
        </w:r>
        <w:r w:rsidR="00D93069" w:rsidRPr="00D93069">
          <w:rPr>
            <w:rFonts w:cs="Times New Roman"/>
            <w:b w:val="0"/>
            <w:noProof/>
            <w:webHidden/>
          </w:rPr>
          <w:instrText xml:space="preserve"> PAGEREF _Toc120865225 \h </w:instrText>
        </w:r>
        <w:r w:rsidR="00D93069" w:rsidRPr="00D93069">
          <w:rPr>
            <w:rFonts w:cs="Times New Roman"/>
            <w:b w:val="0"/>
            <w:noProof/>
            <w:webHidden/>
          </w:rPr>
        </w:r>
        <w:r w:rsidR="00D93069" w:rsidRPr="00D93069">
          <w:rPr>
            <w:rFonts w:cs="Times New Roman"/>
            <w:b w:val="0"/>
            <w:noProof/>
            <w:webHidden/>
          </w:rPr>
          <w:fldChar w:fldCharType="separate"/>
        </w:r>
        <w:r w:rsidR="00F906B6">
          <w:rPr>
            <w:rFonts w:cs="Times New Roman"/>
            <w:b w:val="0"/>
            <w:noProof/>
            <w:webHidden/>
          </w:rPr>
          <w:t>42</w:t>
        </w:r>
        <w:r w:rsidR="00D93069" w:rsidRPr="00D93069">
          <w:rPr>
            <w:rFonts w:cs="Times New Roman"/>
            <w:b w:val="0"/>
            <w:noProof/>
            <w:webHidden/>
          </w:rPr>
          <w:fldChar w:fldCharType="end"/>
        </w:r>
      </w:hyperlink>
    </w:p>
    <w:p w14:paraId="145DF6C9" w14:textId="698F5338" w:rsidR="00D93069" w:rsidRPr="00D93069" w:rsidRDefault="00E767EF" w:rsidP="00D93069">
      <w:pPr>
        <w:pStyle w:val="TOC2"/>
        <w:rPr>
          <w:rFonts w:cs="Times New Roman"/>
          <w:b w:val="0"/>
          <w:bCs w:val="0"/>
          <w:noProof/>
          <w:sz w:val="24"/>
          <w:szCs w:val="24"/>
          <w:lang w:eastAsia="ru-RU"/>
        </w:rPr>
      </w:pPr>
      <w:hyperlink w:anchor="_Toc120865226" w:history="1">
        <w:r w:rsidR="00D93069" w:rsidRPr="00D93069">
          <w:rPr>
            <w:rStyle w:val="Hyperlink"/>
            <w:rFonts w:cs="Times New Roman"/>
            <w:b w:val="0"/>
            <w:noProof/>
            <w:sz w:val="24"/>
            <w:szCs w:val="24"/>
          </w:rPr>
          <w:t>2.1</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Исследуемые лекарственные средства</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_Toc120865226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42</w:t>
        </w:r>
        <w:r w:rsidR="00D93069" w:rsidRPr="00D93069">
          <w:rPr>
            <w:rFonts w:cs="Times New Roman"/>
            <w:b w:val="0"/>
            <w:noProof/>
            <w:webHidden/>
            <w:sz w:val="24"/>
            <w:szCs w:val="24"/>
          </w:rPr>
          <w:fldChar w:fldCharType="end"/>
        </w:r>
      </w:hyperlink>
    </w:p>
    <w:p w14:paraId="73D138F6" w14:textId="45213D67" w:rsidR="00D93069" w:rsidRPr="00D93069" w:rsidRDefault="00E767EF" w:rsidP="00D93069">
      <w:pPr>
        <w:pStyle w:val="TOC3"/>
        <w:tabs>
          <w:tab w:val="left" w:pos="1200"/>
          <w:tab w:val="right" w:leader="dot" w:pos="9345"/>
        </w:tabs>
        <w:rPr>
          <w:rFonts w:cs="Times New Roman"/>
          <w:noProof/>
          <w:sz w:val="24"/>
          <w:szCs w:val="24"/>
          <w:lang w:eastAsia="ru-RU"/>
        </w:rPr>
      </w:pPr>
      <w:hyperlink w:anchor="_Toc120865227" w:history="1">
        <w:r w:rsidR="00D93069" w:rsidRPr="00D93069">
          <w:rPr>
            <w:rStyle w:val="Hyperlink"/>
            <w:rFonts w:cs="Times New Roman"/>
            <w:noProof/>
            <w:sz w:val="24"/>
            <w:szCs w:val="24"/>
          </w:rPr>
          <w:t>2.1.1</w:t>
        </w:r>
        <w:r w:rsidR="00D93069" w:rsidRPr="00D93069">
          <w:rPr>
            <w:rFonts w:cs="Times New Roman"/>
            <w:noProof/>
            <w:sz w:val="24"/>
            <w:szCs w:val="24"/>
            <w:lang w:eastAsia="ru-RU"/>
          </w:rPr>
          <w:tab/>
        </w:r>
        <w:r w:rsidR="00D93069" w:rsidRPr="00D93069">
          <w:rPr>
            <w:rStyle w:val="Hyperlink"/>
            <w:rFonts w:cs="Times New Roman"/>
            <w:noProof/>
            <w:sz w:val="24"/>
            <w:szCs w:val="24"/>
          </w:rPr>
          <w:t xml:space="preserve">Исследуемый препарат: </w:t>
        </w:r>
        <w:r w:rsidR="00D93069" w:rsidRPr="00D93069">
          <w:rPr>
            <w:rStyle w:val="Hyperlink"/>
            <w:rFonts w:cs="Times New Roman"/>
            <w:noProof/>
            <w:sz w:val="24"/>
            <w:szCs w:val="24"/>
            <w:lang w:val="en-US"/>
          </w:rPr>
          <w:t>RPH</w:t>
        </w:r>
        <w:r w:rsidR="00D93069" w:rsidRPr="00D93069">
          <w:rPr>
            <w:rStyle w:val="Hyperlink"/>
            <w:rFonts w:cs="Times New Roman"/>
            <w:noProof/>
            <w:sz w:val="24"/>
            <w:szCs w:val="24"/>
          </w:rPr>
          <w:t>-001</w:t>
        </w:r>
        <w:r w:rsidR="00D93069" w:rsidRPr="00D93069">
          <w:rPr>
            <w:rFonts w:cs="Times New Roman"/>
            <w:noProof/>
            <w:webHidden/>
            <w:sz w:val="24"/>
            <w:szCs w:val="24"/>
          </w:rPr>
          <w:tab/>
        </w:r>
        <w:r w:rsidR="00D93069" w:rsidRPr="00D93069">
          <w:rPr>
            <w:rFonts w:cs="Times New Roman"/>
            <w:noProof/>
            <w:webHidden/>
            <w:sz w:val="24"/>
            <w:szCs w:val="24"/>
          </w:rPr>
          <w:fldChar w:fldCharType="begin"/>
        </w:r>
        <w:r w:rsidR="00D93069" w:rsidRPr="00D93069">
          <w:rPr>
            <w:rFonts w:cs="Times New Roman"/>
            <w:noProof/>
            <w:webHidden/>
            <w:sz w:val="24"/>
            <w:szCs w:val="24"/>
          </w:rPr>
          <w:instrText xml:space="preserve"> PAGEREF _Toc120865227 \h </w:instrText>
        </w:r>
        <w:r w:rsidR="00D93069" w:rsidRPr="00D93069">
          <w:rPr>
            <w:rFonts w:cs="Times New Roman"/>
            <w:noProof/>
            <w:webHidden/>
            <w:sz w:val="24"/>
            <w:szCs w:val="24"/>
          </w:rPr>
        </w:r>
        <w:r w:rsidR="00D93069" w:rsidRPr="00D93069">
          <w:rPr>
            <w:rFonts w:cs="Times New Roman"/>
            <w:noProof/>
            <w:webHidden/>
            <w:sz w:val="24"/>
            <w:szCs w:val="24"/>
          </w:rPr>
          <w:fldChar w:fldCharType="separate"/>
        </w:r>
        <w:r w:rsidR="00F906B6">
          <w:rPr>
            <w:rFonts w:cs="Times New Roman"/>
            <w:noProof/>
            <w:webHidden/>
            <w:sz w:val="24"/>
            <w:szCs w:val="24"/>
          </w:rPr>
          <w:t>42</w:t>
        </w:r>
        <w:r w:rsidR="00D93069" w:rsidRPr="00D93069">
          <w:rPr>
            <w:rFonts w:cs="Times New Roman"/>
            <w:noProof/>
            <w:webHidden/>
            <w:sz w:val="24"/>
            <w:szCs w:val="24"/>
          </w:rPr>
          <w:fldChar w:fldCharType="end"/>
        </w:r>
      </w:hyperlink>
    </w:p>
    <w:p w14:paraId="3C831B32" w14:textId="6E0C99C6" w:rsidR="00D93069" w:rsidRPr="00D93069" w:rsidRDefault="00E767EF" w:rsidP="00D93069">
      <w:pPr>
        <w:pStyle w:val="TOC3"/>
        <w:tabs>
          <w:tab w:val="left" w:pos="1200"/>
          <w:tab w:val="right" w:leader="dot" w:pos="9345"/>
        </w:tabs>
        <w:rPr>
          <w:rFonts w:cs="Times New Roman"/>
          <w:noProof/>
          <w:sz w:val="24"/>
          <w:szCs w:val="24"/>
          <w:lang w:eastAsia="ru-RU"/>
        </w:rPr>
      </w:pPr>
      <w:hyperlink w:anchor="_Toc120865228" w:history="1">
        <w:r w:rsidR="00D93069" w:rsidRPr="00D93069">
          <w:rPr>
            <w:rStyle w:val="Hyperlink"/>
            <w:rFonts w:cs="Times New Roman"/>
            <w:noProof/>
            <w:sz w:val="24"/>
            <w:szCs w:val="24"/>
          </w:rPr>
          <w:t>2.1.2</w:t>
        </w:r>
        <w:r w:rsidR="00D93069" w:rsidRPr="00D93069">
          <w:rPr>
            <w:rFonts w:cs="Times New Roman"/>
            <w:noProof/>
            <w:sz w:val="24"/>
            <w:szCs w:val="24"/>
            <w:lang w:eastAsia="ru-RU"/>
          </w:rPr>
          <w:tab/>
        </w:r>
        <w:r w:rsidR="00D93069" w:rsidRPr="00D93069">
          <w:rPr>
            <w:rStyle w:val="Hyperlink"/>
            <w:rFonts w:cs="Times New Roman"/>
            <w:noProof/>
            <w:sz w:val="24"/>
            <w:szCs w:val="24"/>
          </w:rPr>
          <w:t>Препарат сравнения: Авастин</w:t>
        </w:r>
        <w:r w:rsidR="00D93069" w:rsidRPr="00D93069">
          <w:rPr>
            <w:rStyle w:val="Hyperlink"/>
            <w:rFonts w:cs="Times New Roman"/>
            <w:noProof/>
            <w:sz w:val="24"/>
            <w:szCs w:val="24"/>
            <w:vertAlign w:val="superscript"/>
          </w:rPr>
          <w:t>®</w:t>
        </w:r>
        <w:r w:rsidR="00D93069" w:rsidRPr="00D93069">
          <w:rPr>
            <w:rFonts w:cs="Times New Roman"/>
            <w:noProof/>
            <w:webHidden/>
            <w:sz w:val="24"/>
            <w:szCs w:val="24"/>
          </w:rPr>
          <w:tab/>
        </w:r>
        <w:r w:rsidR="00D93069" w:rsidRPr="00D93069">
          <w:rPr>
            <w:rFonts w:cs="Times New Roman"/>
            <w:noProof/>
            <w:webHidden/>
            <w:sz w:val="24"/>
            <w:szCs w:val="24"/>
          </w:rPr>
          <w:fldChar w:fldCharType="begin"/>
        </w:r>
        <w:r w:rsidR="00D93069" w:rsidRPr="00D93069">
          <w:rPr>
            <w:rFonts w:cs="Times New Roman"/>
            <w:noProof/>
            <w:webHidden/>
            <w:sz w:val="24"/>
            <w:szCs w:val="24"/>
          </w:rPr>
          <w:instrText xml:space="preserve"> PAGEREF _Toc120865228 \h </w:instrText>
        </w:r>
        <w:r w:rsidR="00D93069" w:rsidRPr="00D93069">
          <w:rPr>
            <w:rFonts w:cs="Times New Roman"/>
            <w:noProof/>
            <w:webHidden/>
            <w:sz w:val="24"/>
            <w:szCs w:val="24"/>
          </w:rPr>
        </w:r>
        <w:r w:rsidR="00D93069" w:rsidRPr="00D93069">
          <w:rPr>
            <w:rFonts w:cs="Times New Roman"/>
            <w:noProof/>
            <w:webHidden/>
            <w:sz w:val="24"/>
            <w:szCs w:val="24"/>
          </w:rPr>
          <w:fldChar w:fldCharType="separate"/>
        </w:r>
        <w:r w:rsidR="00F906B6">
          <w:rPr>
            <w:rFonts w:cs="Times New Roman"/>
            <w:noProof/>
            <w:webHidden/>
            <w:sz w:val="24"/>
            <w:szCs w:val="24"/>
          </w:rPr>
          <w:t>58</w:t>
        </w:r>
        <w:r w:rsidR="00D93069" w:rsidRPr="00D93069">
          <w:rPr>
            <w:rFonts w:cs="Times New Roman"/>
            <w:noProof/>
            <w:webHidden/>
            <w:sz w:val="24"/>
            <w:szCs w:val="24"/>
          </w:rPr>
          <w:fldChar w:fldCharType="end"/>
        </w:r>
      </w:hyperlink>
    </w:p>
    <w:p w14:paraId="0CB72150" w14:textId="528CAA9F" w:rsidR="00D93069" w:rsidRPr="00D93069" w:rsidRDefault="00E767EF" w:rsidP="00D93069">
      <w:pPr>
        <w:pStyle w:val="TOC2"/>
        <w:rPr>
          <w:rFonts w:cs="Times New Roman"/>
          <w:b w:val="0"/>
          <w:bCs w:val="0"/>
          <w:noProof/>
          <w:sz w:val="24"/>
          <w:szCs w:val="24"/>
          <w:lang w:eastAsia="ru-RU"/>
        </w:rPr>
      </w:pPr>
      <w:hyperlink w:anchor="_Toc120865229" w:history="1">
        <w:r w:rsidR="00D93069" w:rsidRPr="00D93069">
          <w:rPr>
            <w:rStyle w:val="Hyperlink"/>
            <w:rFonts w:cs="Times New Roman"/>
            <w:b w:val="0"/>
            <w:noProof/>
            <w:sz w:val="24"/>
            <w:szCs w:val="24"/>
          </w:rPr>
          <w:t>2.2</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Сводное изложение результатов доклинических исследований</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_Toc120865229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77</w:t>
        </w:r>
        <w:r w:rsidR="00D93069" w:rsidRPr="00D93069">
          <w:rPr>
            <w:rFonts w:cs="Times New Roman"/>
            <w:b w:val="0"/>
            <w:noProof/>
            <w:webHidden/>
            <w:sz w:val="24"/>
            <w:szCs w:val="24"/>
          </w:rPr>
          <w:fldChar w:fldCharType="end"/>
        </w:r>
      </w:hyperlink>
    </w:p>
    <w:p w14:paraId="6885ACDD" w14:textId="0E17624C" w:rsidR="00D93069" w:rsidRPr="00D93069" w:rsidRDefault="00E767EF" w:rsidP="00D93069">
      <w:pPr>
        <w:pStyle w:val="TOC2"/>
        <w:rPr>
          <w:rFonts w:cs="Times New Roman"/>
          <w:b w:val="0"/>
          <w:bCs w:val="0"/>
          <w:noProof/>
          <w:sz w:val="24"/>
          <w:szCs w:val="24"/>
          <w:lang w:eastAsia="ru-RU"/>
        </w:rPr>
      </w:pPr>
      <w:hyperlink w:anchor="_Toc120865230" w:history="1">
        <w:r w:rsidR="00D93069" w:rsidRPr="00D93069">
          <w:rPr>
            <w:rStyle w:val="Hyperlink"/>
            <w:rFonts w:cs="Times New Roman"/>
            <w:b w:val="0"/>
            <w:noProof/>
            <w:sz w:val="24"/>
            <w:szCs w:val="24"/>
          </w:rPr>
          <w:t>2.3</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Сводное изложение результатов клинических исследований</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_Toc120865230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78</w:t>
        </w:r>
        <w:r w:rsidR="00D93069" w:rsidRPr="00D93069">
          <w:rPr>
            <w:rFonts w:cs="Times New Roman"/>
            <w:b w:val="0"/>
            <w:noProof/>
            <w:webHidden/>
            <w:sz w:val="24"/>
            <w:szCs w:val="24"/>
          </w:rPr>
          <w:fldChar w:fldCharType="end"/>
        </w:r>
      </w:hyperlink>
    </w:p>
    <w:p w14:paraId="6B4579F7" w14:textId="5CFA9AEF" w:rsidR="00D93069" w:rsidRPr="00D93069" w:rsidRDefault="00E767EF" w:rsidP="00D93069">
      <w:pPr>
        <w:pStyle w:val="TOC2"/>
        <w:rPr>
          <w:rFonts w:cs="Times New Roman"/>
          <w:b w:val="0"/>
          <w:bCs w:val="0"/>
          <w:noProof/>
          <w:sz w:val="24"/>
          <w:szCs w:val="24"/>
          <w:lang w:eastAsia="ru-RU"/>
        </w:rPr>
      </w:pPr>
      <w:hyperlink w:anchor="_Toc120865231" w:history="1">
        <w:r w:rsidR="00D93069" w:rsidRPr="00D93069">
          <w:rPr>
            <w:rStyle w:val="Hyperlink"/>
            <w:rFonts w:cs="Times New Roman"/>
            <w:b w:val="0"/>
            <w:noProof/>
            <w:sz w:val="24"/>
            <w:szCs w:val="24"/>
          </w:rPr>
          <w:t>2.4</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Потенциальные риск и польза от применения исследуемых лекарственных препаратов для участника исследования</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_Toc120865231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79</w:t>
        </w:r>
        <w:r w:rsidR="00D93069" w:rsidRPr="00D93069">
          <w:rPr>
            <w:rFonts w:cs="Times New Roman"/>
            <w:b w:val="0"/>
            <w:noProof/>
            <w:webHidden/>
            <w:sz w:val="24"/>
            <w:szCs w:val="24"/>
          </w:rPr>
          <w:fldChar w:fldCharType="end"/>
        </w:r>
      </w:hyperlink>
    </w:p>
    <w:p w14:paraId="6364F735" w14:textId="66AE7219" w:rsidR="00D93069" w:rsidRPr="00D93069" w:rsidRDefault="00E767EF" w:rsidP="00D93069">
      <w:pPr>
        <w:pStyle w:val="TOC2"/>
        <w:rPr>
          <w:rFonts w:cs="Times New Roman"/>
          <w:b w:val="0"/>
          <w:bCs w:val="0"/>
          <w:noProof/>
          <w:sz w:val="24"/>
          <w:szCs w:val="24"/>
          <w:lang w:eastAsia="ru-RU"/>
        </w:rPr>
      </w:pPr>
      <w:hyperlink w:anchor="_Toc120865232" w:history="1">
        <w:r w:rsidR="00D93069" w:rsidRPr="00D93069">
          <w:rPr>
            <w:rStyle w:val="Hyperlink"/>
            <w:rFonts w:cs="Times New Roman"/>
            <w:b w:val="0"/>
            <w:noProof/>
            <w:sz w:val="24"/>
            <w:szCs w:val="24"/>
          </w:rPr>
          <w:t>2.5</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Описание и обоснование способа введения, дозировки, режима дозирования и курса лечения</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_Toc120865232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81</w:t>
        </w:r>
        <w:r w:rsidR="00D93069" w:rsidRPr="00D93069">
          <w:rPr>
            <w:rFonts w:cs="Times New Roman"/>
            <w:b w:val="0"/>
            <w:noProof/>
            <w:webHidden/>
            <w:sz w:val="24"/>
            <w:szCs w:val="24"/>
          </w:rPr>
          <w:fldChar w:fldCharType="end"/>
        </w:r>
      </w:hyperlink>
    </w:p>
    <w:p w14:paraId="336C9D79" w14:textId="1D7FA7E3" w:rsidR="00D93069" w:rsidRPr="00D93069" w:rsidRDefault="00E767EF" w:rsidP="00D93069">
      <w:pPr>
        <w:pStyle w:val="TOC2"/>
        <w:rPr>
          <w:rFonts w:cs="Times New Roman"/>
          <w:b w:val="0"/>
          <w:bCs w:val="0"/>
          <w:noProof/>
          <w:sz w:val="24"/>
          <w:szCs w:val="24"/>
          <w:lang w:eastAsia="ru-RU"/>
        </w:rPr>
      </w:pPr>
      <w:hyperlink w:anchor="_Toc120865233" w:history="1">
        <w:r w:rsidR="00D93069" w:rsidRPr="00D93069">
          <w:rPr>
            <w:rStyle w:val="Hyperlink"/>
            <w:rFonts w:cs="Times New Roman"/>
            <w:b w:val="0"/>
            <w:noProof/>
            <w:sz w:val="24"/>
            <w:szCs w:val="24"/>
          </w:rPr>
          <w:t>2.6</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Обоснование терапии пациентов с COVID-19</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_Toc120865233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82</w:t>
        </w:r>
        <w:r w:rsidR="00D93069" w:rsidRPr="00D93069">
          <w:rPr>
            <w:rFonts w:cs="Times New Roman"/>
            <w:b w:val="0"/>
            <w:noProof/>
            <w:webHidden/>
            <w:sz w:val="24"/>
            <w:szCs w:val="24"/>
          </w:rPr>
          <w:fldChar w:fldCharType="end"/>
        </w:r>
      </w:hyperlink>
    </w:p>
    <w:p w14:paraId="68E1F00A" w14:textId="4CBE5E93" w:rsidR="00D93069" w:rsidRPr="00D93069" w:rsidRDefault="00E767EF" w:rsidP="00D93069">
      <w:pPr>
        <w:pStyle w:val="TOC2"/>
        <w:rPr>
          <w:rFonts w:cs="Times New Roman"/>
          <w:b w:val="0"/>
          <w:bCs w:val="0"/>
          <w:noProof/>
          <w:sz w:val="24"/>
          <w:szCs w:val="24"/>
          <w:lang w:eastAsia="ru-RU"/>
        </w:rPr>
      </w:pPr>
      <w:hyperlink w:anchor="_Toc120865234" w:history="1">
        <w:r w:rsidR="00D93069" w:rsidRPr="00D93069">
          <w:rPr>
            <w:rStyle w:val="Hyperlink"/>
            <w:rFonts w:cs="Times New Roman"/>
            <w:b w:val="0"/>
            <w:noProof/>
            <w:sz w:val="24"/>
            <w:szCs w:val="24"/>
          </w:rPr>
          <w:t>2.7</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Описание исследуемой популяции</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_Toc120865234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83</w:t>
        </w:r>
        <w:r w:rsidR="00D93069" w:rsidRPr="00D93069">
          <w:rPr>
            <w:rFonts w:cs="Times New Roman"/>
            <w:b w:val="0"/>
            <w:noProof/>
            <w:webHidden/>
            <w:sz w:val="24"/>
            <w:szCs w:val="24"/>
          </w:rPr>
          <w:fldChar w:fldCharType="end"/>
        </w:r>
      </w:hyperlink>
    </w:p>
    <w:p w14:paraId="3EC29B9B" w14:textId="1A36CABD" w:rsidR="00D93069" w:rsidRPr="00D93069" w:rsidRDefault="00E767EF" w:rsidP="00D93069">
      <w:pPr>
        <w:pStyle w:val="TOC2"/>
        <w:rPr>
          <w:rFonts w:cs="Times New Roman"/>
          <w:b w:val="0"/>
          <w:bCs w:val="0"/>
          <w:noProof/>
          <w:sz w:val="24"/>
          <w:szCs w:val="24"/>
          <w:lang w:eastAsia="ru-RU"/>
        </w:rPr>
      </w:pPr>
      <w:hyperlink w:anchor="_Toc120865235" w:history="1">
        <w:r w:rsidR="00D93069" w:rsidRPr="00D93069">
          <w:rPr>
            <w:rStyle w:val="Hyperlink"/>
            <w:rFonts w:cs="Times New Roman"/>
            <w:b w:val="0"/>
            <w:noProof/>
            <w:sz w:val="24"/>
            <w:szCs w:val="24"/>
          </w:rPr>
          <w:t>2.8</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Обоснование клинического исследования</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_Toc120865235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83</w:t>
        </w:r>
        <w:r w:rsidR="00D93069" w:rsidRPr="00D93069">
          <w:rPr>
            <w:rFonts w:cs="Times New Roman"/>
            <w:b w:val="0"/>
            <w:noProof/>
            <w:webHidden/>
            <w:sz w:val="24"/>
            <w:szCs w:val="24"/>
          </w:rPr>
          <w:fldChar w:fldCharType="end"/>
        </w:r>
      </w:hyperlink>
    </w:p>
    <w:p w14:paraId="4AD85955" w14:textId="160C8341" w:rsidR="00D93069" w:rsidRPr="00D93069" w:rsidRDefault="00E767EF" w:rsidP="00D93069">
      <w:pPr>
        <w:pStyle w:val="TOC2"/>
        <w:rPr>
          <w:rFonts w:cs="Times New Roman"/>
          <w:b w:val="0"/>
          <w:bCs w:val="0"/>
          <w:noProof/>
          <w:sz w:val="24"/>
          <w:szCs w:val="24"/>
          <w:lang w:eastAsia="ru-RU"/>
        </w:rPr>
      </w:pPr>
      <w:hyperlink w:anchor="_Toc120865236" w:history="1">
        <w:r w:rsidR="00D93069" w:rsidRPr="00D93069">
          <w:rPr>
            <w:rStyle w:val="Hyperlink"/>
            <w:rFonts w:cs="Times New Roman"/>
            <w:b w:val="0"/>
            <w:noProof/>
            <w:sz w:val="24"/>
            <w:szCs w:val="24"/>
          </w:rPr>
          <w:t>2.9</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Нормативно-правовая база для проведения клинического исследования</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_Toc120865236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84</w:t>
        </w:r>
        <w:r w:rsidR="00D93069" w:rsidRPr="00D93069">
          <w:rPr>
            <w:rFonts w:cs="Times New Roman"/>
            <w:b w:val="0"/>
            <w:noProof/>
            <w:webHidden/>
            <w:sz w:val="24"/>
            <w:szCs w:val="24"/>
          </w:rPr>
          <w:fldChar w:fldCharType="end"/>
        </w:r>
      </w:hyperlink>
    </w:p>
    <w:p w14:paraId="68E7EB6B" w14:textId="32A3C857" w:rsidR="00D93069" w:rsidRPr="00D93069" w:rsidRDefault="00E767EF" w:rsidP="00D93069">
      <w:pPr>
        <w:pStyle w:val="TOC1"/>
        <w:rPr>
          <w:rFonts w:cs="Times New Roman"/>
          <w:b w:val="0"/>
          <w:bCs w:val="0"/>
          <w:noProof/>
          <w:lang w:eastAsia="ru-RU"/>
        </w:rPr>
      </w:pPr>
      <w:hyperlink w:anchor="_Toc120865237" w:history="1">
        <w:r w:rsidR="00D93069" w:rsidRPr="00D93069">
          <w:rPr>
            <w:rStyle w:val="Hyperlink"/>
            <w:rFonts w:cs="Times New Roman"/>
            <w:b w:val="0"/>
            <w:noProof/>
          </w:rPr>
          <w:t>3</w:t>
        </w:r>
        <w:r w:rsidR="00D93069" w:rsidRPr="00D93069">
          <w:rPr>
            <w:rFonts w:cs="Times New Roman"/>
            <w:b w:val="0"/>
            <w:bCs w:val="0"/>
            <w:noProof/>
            <w:lang w:eastAsia="ru-RU"/>
          </w:rPr>
          <w:tab/>
        </w:r>
        <w:r w:rsidR="00D93069" w:rsidRPr="00D93069">
          <w:rPr>
            <w:rStyle w:val="Hyperlink"/>
            <w:rFonts w:cs="Times New Roman"/>
            <w:b w:val="0"/>
            <w:noProof/>
          </w:rPr>
          <w:t>Цели и задачи клинического исследования</w:t>
        </w:r>
        <w:r w:rsidR="00D93069" w:rsidRPr="00D93069">
          <w:rPr>
            <w:rFonts w:cs="Times New Roman"/>
            <w:b w:val="0"/>
            <w:noProof/>
            <w:webHidden/>
          </w:rPr>
          <w:tab/>
        </w:r>
        <w:r w:rsidR="00D93069" w:rsidRPr="00D93069">
          <w:rPr>
            <w:rFonts w:cs="Times New Roman"/>
            <w:b w:val="0"/>
            <w:noProof/>
            <w:webHidden/>
          </w:rPr>
          <w:fldChar w:fldCharType="begin"/>
        </w:r>
        <w:r w:rsidR="00D93069" w:rsidRPr="00D93069">
          <w:rPr>
            <w:rFonts w:cs="Times New Roman"/>
            <w:b w:val="0"/>
            <w:noProof/>
            <w:webHidden/>
          </w:rPr>
          <w:instrText xml:space="preserve"> PAGEREF _Toc120865237 \h </w:instrText>
        </w:r>
        <w:r w:rsidR="00D93069" w:rsidRPr="00D93069">
          <w:rPr>
            <w:rFonts w:cs="Times New Roman"/>
            <w:b w:val="0"/>
            <w:noProof/>
            <w:webHidden/>
          </w:rPr>
        </w:r>
        <w:r w:rsidR="00D93069" w:rsidRPr="00D93069">
          <w:rPr>
            <w:rFonts w:cs="Times New Roman"/>
            <w:b w:val="0"/>
            <w:noProof/>
            <w:webHidden/>
          </w:rPr>
          <w:fldChar w:fldCharType="separate"/>
        </w:r>
        <w:r w:rsidR="00F906B6">
          <w:rPr>
            <w:rFonts w:cs="Times New Roman"/>
            <w:b w:val="0"/>
            <w:noProof/>
            <w:webHidden/>
          </w:rPr>
          <w:t>86</w:t>
        </w:r>
        <w:r w:rsidR="00D93069" w:rsidRPr="00D93069">
          <w:rPr>
            <w:rFonts w:cs="Times New Roman"/>
            <w:b w:val="0"/>
            <w:noProof/>
            <w:webHidden/>
          </w:rPr>
          <w:fldChar w:fldCharType="end"/>
        </w:r>
      </w:hyperlink>
    </w:p>
    <w:p w14:paraId="243F4409" w14:textId="48B0965B" w:rsidR="00D93069" w:rsidRPr="00D93069" w:rsidRDefault="00E767EF" w:rsidP="00D93069">
      <w:pPr>
        <w:pStyle w:val="TOC1"/>
        <w:rPr>
          <w:rFonts w:cs="Times New Roman"/>
          <w:b w:val="0"/>
          <w:bCs w:val="0"/>
          <w:noProof/>
          <w:lang w:eastAsia="ru-RU"/>
        </w:rPr>
      </w:pPr>
      <w:hyperlink w:anchor="_Toc120865238" w:history="1">
        <w:r w:rsidR="00D93069" w:rsidRPr="00D93069">
          <w:rPr>
            <w:rStyle w:val="Hyperlink"/>
            <w:rFonts w:cs="Times New Roman"/>
            <w:b w:val="0"/>
            <w:noProof/>
          </w:rPr>
          <w:t>4</w:t>
        </w:r>
        <w:r w:rsidR="00D93069" w:rsidRPr="00D93069">
          <w:rPr>
            <w:rFonts w:cs="Times New Roman"/>
            <w:b w:val="0"/>
            <w:bCs w:val="0"/>
            <w:noProof/>
            <w:lang w:eastAsia="ru-RU"/>
          </w:rPr>
          <w:tab/>
        </w:r>
        <w:r w:rsidR="00D93069" w:rsidRPr="00D93069">
          <w:rPr>
            <w:rStyle w:val="Hyperlink"/>
            <w:rFonts w:cs="Times New Roman"/>
            <w:b w:val="0"/>
            <w:noProof/>
          </w:rPr>
          <w:t>Описание общего плана (дизайна) клинического исследования</w:t>
        </w:r>
        <w:r w:rsidR="00D93069" w:rsidRPr="00D93069">
          <w:rPr>
            <w:rFonts w:cs="Times New Roman"/>
            <w:b w:val="0"/>
            <w:noProof/>
            <w:webHidden/>
          </w:rPr>
          <w:tab/>
        </w:r>
        <w:r w:rsidR="00D93069" w:rsidRPr="00D93069">
          <w:rPr>
            <w:rFonts w:cs="Times New Roman"/>
            <w:b w:val="0"/>
            <w:noProof/>
            <w:webHidden/>
          </w:rPr>
          <w:fldChar w:fldCharType="begin"/>
        </w:r>
        <w:r w:rsidR="00D93069" w:rsidRPr="00D93069">
          <w:rPr>
            <w:rFonts w:cs="Times New Roman"/>
            <w:b w:val="0"/>
            <w:noProof/>
            <w:webHidden/>
          </w:rPr>
          <w:instrText xml:space="preserve"> PAGEREF _Toc120865238 \h </w:instrText>
        </w:r>
        <w:r w:rsidR="00D93069" w:rsidRPr="00D93069">
          <w:rPr>
            <w:rFonts w:cs="Times New Roman"/>
            <w:b w:val="0"/>
            <w:noProof/>
            <w:webHidden/>
          </w:rPr>
        </w:r>
        <w:r w:rsidR="00D93069" w:rsidRPr="00D93069">
          <w:rPr>
            <w:rFonts w:cs="Times New Roman"/>
            <w:b w:val="0"/>
            <w:noProof/>
            <w:webHidden/>
          </w:rPr>
          <w:fldChar w:fldCharType="separate"/>
        </w:r>
        <w:r w:rsidR="00F906B6">
          <w:rPr>
            <w:rFonts w:cs="Times New Roman"/>
            <w:b w:val="0"/>
            <w:noProof/>
            <w:webHidden/>
          </w:rPr>
          <w:t>87</w:t>
        </w:r>
        <w:r w:rsidR="00D93069" w:rsidRPr="00D93069">
          <w:rPr>
            <w:rFonts w:cs="Times New Roman"/>
            <w:b w:val="0"/>
            <w:noProof/>
            <w:webHidden/>
          </w:rPr>
          <w:fldChar w:fldCharType="end"/>
        </w:r>
      </w:hyperlink>
    </w:p>
    <w:p w14:paraId="2A21D0C8" w14:textId="7B7A8355" w:rsidR="00D93069" w:rsidRPr="00D93069" w:rsidRDefault="00E767EF" w:rsidP="00D93069">
      <w:pPr>
        <w:pStyle w:val="TOC2"/>
        <w:rPr>
          <w:rFonts w:cs="Times New Roman"/>
          <w:b w:val="0"/>
          <w:bCs w:val="0"/>
          <w:noProof/>
          <w:sz w:val="24"/>
          <w:szCs w:val="24"/>
          <w:lang w:eastAsia="ru-RU"/>
        </w:rPr>
      </w:pPr>
      <w:hyperlink w:anchor="_Toc120865239" w:history="1">
        <w:r w:rsidR="00D93069" w:rsidRPr="00D93069">
          <w:rPr>
            <w:rStyle w:val="Hyperlink"/>
            <w:rFonts w:cs="Times New Roman"/>
            <w:b w:val="0"/>
            <w:noProof/>
            <w:sz w:val="24"/>
            <w:szCs w:val="24"/>
          </w:rPr>
          <w:t>4.1</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Основные и дополнительные исследуемые параметры</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_Toc120865239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87</w:t>
        </w:r>
        <w:r w:rsidR="00D93069" w:rsidRPr="00D93069">
          <w:rPr>
            <w:rFonts w:cs="Times New Roman"/>
            <w:b w:val="0"/>
            <w:noProof/>
            <w:webHidden/>
            <w:sz w:val="24"/>
            <w:szCs w:val="24"/>
          </w:rPr>
          <w:fldChar w:fldCharType="end"/>
        </w:r>
      </w:hyperlink>
    </w:p>
    <w:p w14:paraId="6E535561" w14:textId="0A6BC6B3" w:rsidR="00D93069" w:rsidRPr="00D93069" w:rsidRDefault="00E767EF" w:rsidP="00D93069">
      <w:pPr>
        <w:pStyle w:val="TOC2"/>
        <w:rPr>
          <w:rFonts w:cs="Times New Roman"/>
          <w:b w:val="0"/>
          <w:bCs w:val="0"/>
          <w:noProof/>
          <w:sz w:val="24"/>
          <w:szCs w:val="24"/>
          <w:lang w:eastAsia="ru-RU"/>
        </w:rPr>
      </w:pPr>
      <w:hyperlink w:anchor="_Toc120865240" w:history="1">
        <w:r w:rsidR="00D93069" w:rsidRPr="00D93069">
          <w:rPr>
            <w:rStyle w:val="Hyperlink"/>
            <w:rFonts w:cs="Times New Roman"/>
            <w:b w:val="0"/>
            <w:noProof/>
            <w:sz w:val="24"/>
            <w:szCs w:val="24"/>
          </w:rPr>
          <w:t>4.2</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Дизайн исследования</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_Toc120865240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88</w:t>
        </w:r>
        <w:r w:rsidR="00D93069" w:rsidRPr="00D93069">
          <w:rPr>
            <w:rFonts w:cs="Times New Roman"/>
            <w:b w:val="0"/>
            <w:noProof/>
            <w:webHidden/>
            <w:sz w:val="24"/>
            <w:szCs w:val="24"/>
          </w:rPr>
          <w:fldChar w:fldCharType="end"/>
        </w:r>
      </w:hyperlink>
    </w:p>
    <w:p w14:paraId="0DFF6A72" w14:textId="36A6E3C1" w:rsidR="00D93069" w:rsidRPr="00D93069" w:rsidRDefault="00E767EF" w:rsidP="00D93069">
      <w:pPr>
        <w:pStyle w:val="TOC3"/>
        <w:tabs>
          <w:tab w:val="left" w:pos="1200"/>
          <w:tab w:val="right" w:leader="dot" w:pos="9345"/>
        </w:tabs>
        <w:rPr>
          <w:rFonts w:cs="Times New Roman"/>
          <w:noProof/>
          <w:sz w:val="24"/>
          <w:szCs w:val="24"/>
          <w:lang w:eastAsia="ru-RU"/>
        </w:rPr>
      </w:pPr>
      <w:hyperlink w:anchor="_Toc120865241" w:history="1">
        <w:r w:rsidR="00D93069" w:rsidRPr="00D93069">
          <w:rPr>
            <w:rStyle w:val="Hyperlink"/>
            <w:rFonts w:cs="Times New Roman"/>
            <w:noProof/>
            <w:sz w:val="24"/>
            <w:szCs w:val="24"/>
          </w:rPr>
          <w:t>4.2.1</w:t>
        </w:r>
        <w:r w:rsidR="00D93069" w:rsidRPr="00D93069">
          <w:rPr>
            <w:rFonts w:cs="Times New Roman"/>
            <w:noProof/>
            <w:sz w:val="24"/>
            <w:szCs w:val="24"/>
            <w:lang w:eastAsia="ru-RU"/>
          </w:rPr>
          <w:tab/>
        </w:r>
        <w:r w:rsidR="00D93069" w:rsidRPr="00D93069">
          <w:rPr>
            <w:rStyle w:val="Hyperlink"/>
            <w:rFonts w:cs="Times New Roman"/>
            <w:noProof/>
            <w:sz w:val="24"/>
            <w:szCs w:val="24"/>
          </w:rPr>
          <w:t>Тип исследования</w:t>
        </w:r>
        <w:r w:rsidR="00D93069" w:rsidRPr="00D93069">
          <w:rPr>
            <w:rFonts w:cs="Times New Roman"/>
            <w:noProof/>
            <w:webHidden/>
            <w:sz w:val="24"/>
            <w:szCs w:val="24"/>
          </w:rPr>
          <w:tab/>
        </w:r>
        <w:r w:rsidR="00D93069" w:rsidRPr="00D93069">
          <w:rPr>
            <w:rFonts w:cs="Times New Roman"/>
            <w:noProof/>
            <w:webHidden/>
            <w:sz w:val="24"/>
            <w:szCs w:val="24"/>
          </w:rPr>
          <w:fldChar w:fldCharType="begin"/>
        </w:r>
        <w:r w:rsidR="00D93069" w:rsidRPr="00D93069">
          <w:rPr>
            <w:rFonts w:cs="Times New Roman"/>
            <w:noProof/>
            <w:webHidden/>
            <w:sz w:val="24"/>
            <w:szCs w:val="24"/>
          </w:rPr>
          <w:instrText xml:space="preserve"> PAGEREF _Toc120865241 \h </w:instrText>
        </w:r>
        <w:r w:rsidR="00D93069" w:rsidRPr="00D93069">
          <w:rPr>
            <w:rFonts w:cs="Times New Roman"/>
            <w:noProof/>
            <w:webHidden/>
            <w:sz w:val="24"/>
            <w:szCs w:val="24"/>
          </w:rPr>
        </w:r>
        <w:r w:rsidR="00D93069" w:rsidRPr="00D93069">
          <w:rPr>
            <w:rFonts w:cs="Times New Roman"/>
            <w:noProof/>
            <w:webHidden/>
            <w:sz w:val="24"/>
            <w:szCs w:val="24"/>
          </w:rPr>
          <w:fldChar w:fldCharType="separate"/>
        </w:r>
        <w:r w:rsidR="00F906B6">
          <w:rPr>
            <w:rFonts w:cs="Times New Roman"/>
            <w:noProof/>
            <w:webHidden/>
            <w:sz w:val="24"/>
            <w:szCs w:val="24"/>
          </w:rPr>
          <w:t>88</w:t>
        </w:r>
        <w:r w:rsidR="00D93069" w:rsidRPr="00D93069">
          <w:rPr>
            <w:rFonts w:cs="Times New Roman"/>
            <w:noProof/>
            <w:webHidden/>
            <w:sz w:val="24"/>
            <w:szCs w:val="24"/>
          </w:rPr>
          <w:fldChar w:fldCharType="end"/>
        </w:r>
      </w:hyperlink>
    </w:p>
    <w:p w14:paraId="1AA342CD" w14:textId="4707925C" w:rsidR="00D93069" w:rsidRPr="00D93069" w:rsidRDefault="00E767EF" w:rsidP="00D93069">
      <w:pPr>
        <w:pStyle w:val="TOC3"/>
        <w:tabs>
          <w:tab w:val="left" w:pos="1200"/>
          <w:tab w:val="right" w:leader="dot" w:pos="9345"/>
        </w:tabs>
        <w:rPr>
          <w:rFonts w:cs="Times New Roman"/>
          <w:noProof/>
          <w:sz w:val="24"/>
          <w:szCs w:val="24"/>
          <w:lang w:eastAsia="ru-RU"/>
        </w:rPr>
      </w:pPr>
      <w:hyperlink w:anchor="_Toc120865242" w:history="1">
        <w:r w:rsidR="00D93069" w:rsidRPr="00D93069">
          <w:rPr>
            <w:rStyle w:val="Hyperlink"/>
            <w:rFonts w:cs="Times New Roman"/>
            <w:noProof/>
            <w:sz w:val="24"/>
            <w:szCs w:val="24"/>
          </w:rPr>
          <w:t>4.2.2</w:t>
        </w:r>
        <w:r w:rsidR="00D93069" w:rsidRPr="00D93069">
          <w:rPr>
            <w:rFonts w:cs="Times New Roman"/>
            <w:noProof/>
            <w:sz w:val="24"/>
            <w:szCs w:val="24"/>
            <w:lang w:eastAsia="ru-RU"/>
          </w:rPr>
          <w:tab/>
        </w:r>
        <w:r w:rsidR="00D93069" w:rsidRPr="00D93069">
          <w:rPr>
            <w:rStyle w:val="Hyperlink"/>
            <w:rFonts w:cs="Times New Roman"/>
            <w:noProof/>
            <w:sz w:val="24"/>
            <w:szCs w:val="24"/>
          </w:rPr>
          <w:t>Графическая схема исследования</w:t>
        </w:r>
        <w:r w:rsidR="00D93069" w:rsidRPr="00D93069">
          <w:rPr>
            <w:rFonts w:cs="Times New Roman"/>
            <w:noProof/>
            <w:webHidden/>
            <w:sz w:val="24"/>
            <w:szCs w:val="24"/>
          </w:rPr>
          <w:tab/>
        </w:r>
        <w:r w:rsidR="00D93069" w:rsidRPr="00D93069">
          <w:rPr>
            <w:rFonts w:cs="Times New Roman"/>
            <w:noProof/>
            <w:webHidden/>
            <w:sz w:val="24"/>
            <w:szCs w:val="24"/>
          </w:rPr>
          <w:fldChar w:fldCharType="begin"/>
        </w:r>
        <w:r w:rsidR="00D93069" w:rsidRPr="00D93069">
          <w:rPr>
            <w:rFonts w:cs="Times New Roman"/>
            <w:noProof/>
            <w:webHidden/>
            <w:sz w:val="24"/>
            <w:szCs w:val="24"/>
          </w:rPr>
          <w:instrText xml:space="preserve"> PAGEREF _Toc120865242 \h </w:instrText>
        </w:r>
        <w:r w:rsidR="00D93069" w:rsidRPr="00D93069">
          <w:rPr>
            <w:rFonts w:cs="Times New Roman"/>
            <w:noProof/>
            <w:webHidden/>
            <w:sz w:val="24"/>
            <w:szCs w:val="24"/>
          </w:rPr>
        </w:r>
        <w:r w:rsidR="00D93069" w:rsidRPr="00D93069">
          <w:rPr>
            <w:rFonts w:cs="Times New Roman"/>
            <w:noProof/>
            <w:webHidden/>
            <w:sz w:val="24"/>
            <w:szCs w:val="24"/>
          </w:rPr>
          <w:fldChar w:fldCharType="separate"/>
        </w:r>
        <w:r w:rsidR="00F906B6">
          <w:rPr>
            <w:rFonts w:cs="Times New Roman"/>
            <w:noProof/>
            <w:webHidden/>
            <w:sz w:val="24"/>
            <w:szCs w:val="24"/>
          </w:rPr>
          <w:t>88</w:t>
        </w:r>
        <w:r w:rsidR="00D93069" w:rsidRPr="00D93069">
          <w:rPr>
            <w:rFonts w:cs="Times New Roman"/>
            <w:noProof/>
            <w:webHidden/>
            <w:sz w:val="24"/>
            <w:szCs w:val="24"/>
          </w:rPr>
          <w:fldChar w:fldCharType="end"/>
        </w:r>
      </w:hyperlink>
    </w:p>
    <w:p w14:paraId="04466C79" w14:textId="542E2E0B" w:rsidR="00D93069" w:rsidRPr="00D93069" w:rsidRDefault="00E767EF" w:rsidP="00D93069">
      <w:pPr>
        <w:pStyle w:val="TOC3"/>
        <w:tabs>
          <w:tab w:val="left" w:pos="1200"/>
          <w:tab w:val="right" w:leader="dot" w:pos="9345"/>
        </w:tabs>
        <w:rPr>
          <w:rFonts w:cs="Times New Roman"/>
          <w:noProof/>
          <w:sz w:val="24"/>
          <w:szCs w:val="24"/>
          <w:lang w:eastAsia="ru-RU"/>
        </w:rPr>
      </w:pPr>
      <w:hyperlink w:anchor="_Toc120865243" w:history="1">
        <w:r w:rsidR="00D93069" w:rsidRPr="00D93069">
          <w:rPr>
            <w:rStyle w:val="Hyperlink"/>
            <w:rFonts w:cs="Times New Roman"/>
            <w:noProof/>
            <w:sz w:val="24"/>
            <w:szCs w:val="24"/>
          </w:rPr>
          <w:t>4.2.3</w:t>
        </w:r>
        <w:r w:rsidR="00D93069" w:rsidRPr="00D93069">
          <w:rPr>
            <w:rFonts w:cs="Times New Roman"/>
            <w:noProof/>
            <w:sz w:val="24"/>
            <w:szCs w:val="24"/>
            <w:lang w:eastAsia="ru-RU"/>
          </w:rPr>
          <w:tab/>
        </w:r>
        <w:r w:rsidR="00D93069" w:rsidRPr="00D93069">
          <w:rPr>
            <w:rStyle w:val="Hyperlink"/>
            <w:rFonts w:cs="Times New Roman"/>
            <w:noProof/>
            <w:sz w:val="24"/>
            <w:szCs w:val="24"/>
          </w:rPr>
          <w:t>График процедур исследования в табличном виде</w:t>
        </w:r>
        <w:r w:rsidR="00D93069" w:rsidRPr="00D93069">
          <w:rPr>
            <w:rFonts w:cs="Times New Roman"/>
            <w:noProof/>
            <w:webHidden/>
            <w:sz w:val="24"/>
            <w:szCs w:val="24"/>
          </w:rPr>
          <w:tab/>
        </w:r>
        <w:r w:rsidR="00D93069" w:rsidRPr="00D93069">
          <w:rPr>
            <w:rFonts w:cs="Times New Roman"/>
            <w:noProof/>
            <w:webHidden/>
            <w:sz w:val="24"/>
            <w:szCs w:val="24"/>
          </w:rPr>
          <w:fldChar w:fldCharType="begin"/>
        </w:r>
        <w:r w:rsidR="00D93069" w:rsidRPr="00D93069">
          <w:rPr>
            <w:rFonts w:cs="Times New Roman"/>
            <w:noProof/>
            <w:webHidden/>
            <w:sz w:val="24"/>
            <w:szCs w:val="24"/>
          </w:rPr>
          <w:instrText xml:space="preserve"> PAGEREF _Toc120865243 \h </w:instrText>
        </w:r>
        <w:r w:rsidR="00D93069" w:rsidRPr="00D93069">
          <w:rPr>
            <w:rFonts w:cs="Times New Roman"/>
            <w:noProof/>
            <w:webHidden/>
            <w:sz w:val="24"/>
            <w:szCs w:val="24"/>
          </w:rPr>
        </w:r>
        <w:r w:rsidR="00D93069" w:rsidRPr="00D93069">
          <w:rPr>
            <w:rFonts w:cs="Times New Roman"/>
            <w:noProof/>
            <w:webHidden/>
            <w:sz w:val="24"/>
            <w:szCs w:val="24"/>
          </w:rPr>
          <w:fldChar w:fldCharType="separate"/>
        </w:r>
        <w:r w:rsidR="00F906B6">
          <w:rPr>
            <w:rFonts w:cs="Times New Roman"/>
            <w:noProof/>
            <w:webHidden/>
            <w:sz w:val="24"/>
            <w:szCs w:val="24"/>
          </w:rPr>
          <w:t>89</w:t>
        </w:r>
        <w:r w:rsidR="00D93069" w:rsidRPr="00D93069">
          <w:rPr>
            <w:rFonts w:cs="Times New Roman"/>
            <w:noProof/>
            <w:webHidden/>
            <w:sz w:val="24"/>
            <w:szCs w:val="24"/>
          </w:rPr>
          <w:fldChar w:fldCharType="end"/>
        </w:r>
      </w:hyperlink>
    </w:p>
    <w:p w14:paraId="1CBC01B3" w14:textId="2AFB55AC" w:rsidR="00D93069" w:rsidRPr="00D93069" w:rsidRDefault="00E767EF" w:rsidP="00D93069">
      <w:pPr>
        <w:pStyle w:val="TOC3"/>
        <w:tabs>
          <w:tab w:val="left" w:pos="1200"/>
          <w:tab w:val="right" w:leader="dot" w:pos="9345"/>
        </w:tabs>
        <w:rPr>
          <w:rFonts w:cs="Times New Roman"/>
          <w:noProof/>
          <w:sz w:val="24"/>
          <w:szCs w:val="24"/>
          <w:lang w:eastAsia="ru-RU"/>
        </w:rPr>
      </w:pPr>
      <w:hyperlink w:anchor="_Toc120865244" w:history="1">
        <w:r w:rsidR="00D93069" w:rsidRPr="00D93069">
          <w:rPr>
            <w:rStyle w:val="Hyperlink"/>
            <w:rFonts w:cs="Times New Roman"/>
            <w:noProof/>
            <w:sz w:val="24"/>
            <w:szCs w:val="24"/>
          </w:rPr>
          <w:t>4.2.4</w:t>
        </w:r>
        <w:r w:rsidR="00D93069" w:rsidRPr="00D93069">
          <w:rPr>
            <w:rFonts w:cs="Times New Roman"/>
            <w:noProof/>
            <w:sz w:val="24"/>
            <w:szCs w:val="24"/>
            <w:lang w:eastAsia="ru-RU"/>
          </w:rPr>
          <w:tab/>
        </w:r>
        <w:r w:rsidR="00D93069" w:rsidRPr="00D93069">
          <w:rPr>
            <w:rStyle w:val="Hyperlink"/>
            <w:rFonts w:cs="Times New Roman"/>
            <w:noProof/>
            <w:sz w:val="24"/>
            <w:szCs w:val="24"/>
          </w:rPr>
          <w:t>Процедуры исследования</w:t>
        </w:r>
        <w:r w:rsidR="00D93069" w:rsidRPr="00D93069">
          <w:rPr>
            <w:rFonts w:cs="Times New Roman"/>
            <w:noProof/>
            <w:webHidden/>
            <w:sz w:val="24"/>
            <w:szCs w:val="24"/>
          </w:rPr>
          <w:tab/>
        </w:r>
        <w:r w:rsidR="00D93069" w:rsidRPr="00D93069">
          <w:rPr>
            <w:rFonts w:cs="Times New Roman"/>
            <w:noProof/>
            <w:webHidden/>
            <w:sz w:val="24"/>
            <w:szCs w:val="24"/>
          </w:rPr>
          <w:fldChar w:fldCharType="begin"/>
        </w:r>
        <w:r w:rsidR="00D93069" w:rsidRPr="00D93069">
          <w:rPr>
            <w:rFonts w:cs="Times New Roman"/>
            <w:noProof/>
            <w:webHidden/>
            <w:sz w:val="24"/>
            <w:szCs w:val="24"/>
          </w:rPr>
          <w:instrText xml:space="preserve"> PAGEREF _Toc120865244 \h </w:instrText>
        </w:r>
        <w:r w:rsidR="00D93069" w:rsidRPr="00D93069">
          <w:rPr>
            <w:rFonts w:cs="Times New Roman"/>
            <w:noProof/>
            <w:webHidden/>
            <w:sz w:val="24"/>
            <w:szCs w:val="24"/>
          </w:rPr>
        </w:r>
        <w:r w:rsidR="00D93069" w:rsidRPr="00D93069">
          <w:rPr>
            <w:rFonts w:cs="Times New Roman"/>
            <w:noProof/>
            <w:webHidden/>
            <w:sz w:val="24"/>
            <w:szCs w:val="24"/>
          </w:rPr>
          <w:fldChar w:fldCharType="separate"/>
        </w:r>
        <w:r w:rsidR="00F906B6">
          <w:rPr>
            <w:rFonts w:cs="Times New Roman"/>
            <w:noProof/>
            <w:webHidden/>
            <w:sz w:val="24"/>
            <w:szCs w:val="24"/>
          </w:rPr>
          <w:t>93</w:t>
        </w:r>
        <w:r w:rsidR="00D93069" w:rsidRPr="00D93069">
          <w:rPr>
            <w:rFonts w:cs="Times New Roman"/>
            <w:noProof/>
            <w:webHidden/>
            <w:sz w:val="24"/>
            <w:szCs w:val="24"/>
          </w:rPr>
          <w:fldChar w:fldCharType="end"/>
        </w:r>
      </w:hyperlink>
    </w:p>
    <w:p w14:paraId="7399FC27" w14:textId="3EE64DD0" w:rsidR="00D93069" w:rsidRPr="00D93069" w:rsidRDefault="00E767EF" w:rsidP="00D93069">
      <w:pPr>
        <w:pStyle w:val="TOC4"/>
        <w:tabs>
          <w:tab w:val="left" w:pos="1680"/>
          <w:tab w:val="right" w:leader="dot" w:pos="9345"/>
        </w:tabs>
        <w:rPr>
          <w:rFonts w:cs="Times New Roman"/>
          <w:noProof/>
          <w:sz w:val="24"/>
          <w:szCs w:val="24"/>
          <w:lang w:eastAsia="ru-RU"/>
        </w:rPr>
      </w:pPr>
      <w:hyperlink w:anchor="_Toc120865245" w:history="1">
        <w:r w:rsidR="00D93069" w:rsidRPr="00D93069">
          <w:rPr>
            <w:rStyle w:val="Hyperlink"/>
            <w:rFonts w:cs="Times New Roman"/>
            <w:noProof/>
            <w:sz w:val="24"/>
            <w:szCs w:val="24"/>
          </w:rPr>
          <w:t>4.2.4.1</w:t>
        </w:r>
        <w:r w:rsidR="00D93069" w:rsidRPr="00D93069">
          <w:rPr>
            <w:rFonts w:cs="Times New Roman"/>
            <w:noProof/>
            <w:sz w:val="24"/>
            <w:szCs w:val="24"/>
            <w:lang w:eastAsia="ru-RU"/>
          </w:rPr>
          <w:tab/>
        </w:r>
        <w:r w:rsidR="00D93069" w:rsidRPr="00D93069">
          <w:rPr>
            <w:rStyle w:val="Hyperlink"/>
            <w:rFonts w:cs="Times New Roman"/>
            <w:noProof/>
            <w:sz w:val="24"/>
            <w:szCs w:val="24"/>
          </w:rPr>
          <w:t>Информированное согласие</w:t>
        </w:r>
        <w:r w:rsidR="00D93069" w:rsidRPr="00D93069">
          <w:rPr>
            <w:rFonts w:cs="Times New Roman"/>
            <w:noProof/>
            <w:webHidden/>
            <w:sz w:val="24"/>
            <w:szCs w:val="24"/>
          </w:rPr>
          <w:tab/>
        </w:r>
        <w:r w:rsidR="00D93069" w:rsidRPr="00D93069">
          <w:rPr>
            <w:rFonts w:cs="Times New Roman"/>
            <w:noProof/>
            <w:webHidden/>
            <w:sz w:val="24"/>
            <w:szCs w:val="24"/>
          </w:rPr>
          <w:fldChar w:fldCharType="begin"/>
        </w:r>
        <w:r w:rsidR="00D93069" w:rsidRPr="00D93069">
          <w:rPr>
            <w:rFonts w:cs="Times New Roman"/>
            <w:noProof/>
            <w:webHidden/>
            <w:sz w:val="24"/>
            <w:szCs w:val="24"/>
          </w:rPr>
          <w:instrText xml:space="preserve"> PAGEREF _Toc120865245 \h </w:instrText>
        </w:r>
        <w:r w:rsidR="00D93069" w:rsidRPr="00D93069">
          <w:rPr>
            <w:rFonts w:cs="Times New Roman"/>
            <w:noProof/>
            <w:webHidden/>
            <w:sz w:val="24"/>
            <w:szCs w:val="24"/>
          </w:rPr>
        </w:r>
        <w:r w:rsidR="00D93069" w:rsidRPr="00D93069">
          <w:rPr>
            <w:rFonts w:cs="Times New Roman"/>
            <w:noProof/>
            <w:webHidden/>
            <w:sz w:val="24"/>
            <w:szCs w:val="24"/>
          </w:rPr>
          <w:fldChar w:fldCharType="separate"/>
        </w:r>
        <w:r w:rsidR="00F906B6">
          <w:rPr>
            <w:rFonts w:cs="Times New Roman"/>
            <w:noProof/>
            <w:webHidden/>
            <w:sz w:val="24"/>
            <w:szCs w:val="24"/>
          </w:rPr>
          <w:t>93</w:t>
        </w:r>
        <w:r w:rsidR="00D93069" w:rsidRPr="00D93069">
          <w:rPr>
            <w:rFonts w:cs="Times New Roman"/>
            <w:noProof/>
            <w:webHidden/>
            <w:sz w:val="24"/>
            <w:szCs w:val="24"/>
          </w:rPr>
          <w:fldChar w:fldCharType="end"/>
        </w:r>
      </w:hyperlink>
    </w:p>
    <w:p w14:paraId="756B52FC" w14:textId="246A409C" w:rsidR="00D93069" w:rsidRPr="00D93069" w:rsidRDefault="00E767EF" w:rsidP="00D93069">
      <w:pPr>
        <w:pStyle w:val="TOC4"/>
        <w:tabs>
          <w:tab w:val="left" w:pos="1680"/>
          <w:tab w:val="right" w:leader="dot" w:pos="9345"/>
        </w:tabs>
        <w:rPr>
          <w:rFonts w:cs="Times New Roman"/>
          <w:noProof/>
          <w:sz w:val="24"/>
          <w:szCs w:val="24"/>
          <w:lang w:eastAsia="ru-RU"/>
        </w:rPr>
      </w:pPr>
      <w:hyperlink w:anchor="_Toc120865246" w:history="1">
        <w:r w:rsidR="00D93069" w:rsidRPr="00D93069">
          <w:rPr>
            <w:rStyle w:val="Hyperlink"/>
            <w:rFonts w:cs="Times New Roman"/>
            <w:noProof/>
            <w:sz w:val="24"/>
            <w:szCs w:val="24"/>
          </w:rPr>
          <w:t>4.2.4.2</w:t>
        </w:r>
        <w:r w:rsidR="00D93069" w:rsidRPr="00D93069">
          <w:rPr>
            <w:rFonts w:cs="Times New Roman"/>
            <w:noProof/>
            <w:sz w:val="24"/>
            <w:szCs w:val="24"/>
            <w:lang w:eastAsia="ru-RU"/>
          </w:rPr>
          <w:tab/>
        </w:r>
        <w:r w:rsidR="00D93069" w:rsidRPr="00D93069">
          <w:rPr>
            <w:rStyle w:val="Hyperlink"/>
            <w:rFonts w:cs="Times New Roman"/>
            <w:noProof/>
            <w:sz w:val="24"/>
            <w:szCs w:val="24"/>
          </w:rPr>
          <w:t>Сбор анамнеза, демографических данных, антропометрия, регистрация сопутствующей терапии</w:t>
        </w:r>
        <w:r w:rsidR="00D93069" w:rsidRPr="00D93069">
          <w:rPr>
            <w:rFonts w:cs="Times New Roman"/>
            <w:noProof/>
            <w:webHidden/>
            <w:sz w:val="24"/>
            <w:szCs w:val="24"/>
          </w:rPr>
          <w:tab/>
        </w:r>
        <w:r w:rsidR="00D93069" w:rsidRPr="00D93069">
          <w:rPr>
            <w:rFonts w:cs="Times New Roman"/>
            <w:noProof/>
            <w:webHidden/>
            <w:sz w:val="24"/>
            <w:szCs w:val="24"/>
          </w:rPr>
          <w:fldChar w:fldCharType="begin"/>
        </w:r>
        <w:r w:rsidR="00D93069" w:rsidRPr="00D93069">
          <w:rPr>
            <w:rFonts w:cs="Times New Roman"/>
            <w:noProof/>
            <w:webHidden/>
            <w:sz w:val="24"/>
            <w:szCs w:val="24"/>
          </w:rPr>
          <w:instrText xml:space="preserve"> PAGEREF _Toc120865246 \h </w:instrText>
        </w:r>
        <w:r w:rsidR="00D93069" w:rsidRPr="00D93069">
          <w:rPr>
            <w:rFonts w:cs="Times New Roman"/>
            <w:noProof/>
            <w:webHidden/>
            <w:sz w:val="24"/>
            <w:szCs w:val="24"/>
          </w:rPr>
        </w:r>
        <w:r w:rsidR="00D93069" w:rsidRPr="00D93069">
          <w:rPr>
            <w:rFonts w:cs="Times New Roman"/>
            <w:noProof/>
            <w:webHidden/>
            <w:sz w:val="24"/>
            <w:szCs w:val="24"/>
          </w:rPr>
          <w:fldChar w:fldCharType="separate"/>
        </w:r>
        <w:r w:rsidR="00F906B6">
          <w:rPr>
            <w:rFonts w:cs="Times New Roman"/>
            <w:noProof/>
            <w:webHidden/>
            <w:sz w:val="24"/>
            <w:szCs w:val="24"/>
          </w:rPr>
          <w:t>93</w:t>
        </w:r>
        <w:r w:rsidR="00D93069" w:rsidRPr="00D93069">
          <w:rPr>
            <w:rFonts w:cs="Times New Roman"/>
            <w:noProof/>
            <w:webHidden/>
            <w:sz w:val="24"/>
            <w:szCs w:val="24"/>
          </w:rPr>
          <w:fldChar w:fldCharType="end"/>
        </w:r>
      </w:hyperlink>
    </w:p>
    <w:p w14:paraId="315B8043" w14:textId="547B20F9" w:rsidR="00D93069" w:rsidRPr="00D93069" w:rsidRDefault="00E767EF" w:rsidP="00D93069">
      <w:pPr>
        <w:pStyle w:val="TOC4"/>
        <w:tabs>
          <w:tab w:val="left" w:pos="1680"/>
          <w:tab w:val="right" w:leader="dot" w:pos="9345"/>
        </w:tabs>
        <w:rPr>
          <w:rFonts w:cs="Times New Roman"/>
          <w:noProof/>
          <w:sz w:val="24"/>
          <w:szCs w:val="24"/>
          <w:lang w:eastAsia="ru-RU"/>
        </w:rPr>
      </w:pPr>
      <w:hyperlink w:anchor="_Toc120865247" w:history="1">
        <w:r w:rsidR="00D93069" w:rsidRPr="00D93069">
          <w:rPr>
            <w:rStyle w:val="Hyperlink"/>
            <w:rFonts w:cs="Times New Roman"/>
            <w:noProof/>
            <w:sz w:val="24"/>
            <w:szCs w:val="24"/>
          </w:rPr>
          <w:t>4.2.4.3</w:t>
        </w:r>
        <w:r w:rsidR="00D93069" w:rsidRPr="00D93069">
          <w:rPr>
            <w:rFonts w:cs="Times New Roman"/>
            <w:noProof/>
            <w:sz w:val="24"/>
            <w:szCs w:val="24"/>
            <w:lang w:eastAsia="ru-RU"/>
          </w:rPr>
          <w:tab/>
        </w:r>
        <w:r w:rsidR="00D93069" w:rsidRPr="00D93069">
          <w:rPr>
            <w:rStyle w:val="Hyperlink"/>
            <w:rFonts w:cs="Times New Roman"/>
            <w:noProof/>
            <w:sz w:val="24"/>
            <w:szCs w:val="24"/>
          </w:rPr>
          <w:t>Физикальный осмотр</w:t>
        </w:r>
        <w:r w:rsidR="00D93069" w:rsidRPr="00D93069">
          <w:rPr>
            <w:rFonts w:cs="Times New Roman"/>
            <w:noProof/>
            <w:webHidden/>
            <w:sz w:val="24"/>
            <w:szCs w:val="24"/>
          </w:rPr>
          <w:tab/>
        </w:r>
        <w:r w:rsidR="00D93069" w:rsidRPr="00D93069">
          <w:rPr>
            <w:rFonts w:cs="Times New Roman"/>
            <w:noProof/>
            <w:webHidden/>
            <w:sz w:val="24"/>
            <w:szCs w:val="24"/>
          </w:rPr>
          <w:fldChar w:fldCharType="begin"/>
        </w:r>
        <w:r w:rsidR="00D93069" w:rsidRPr="00D93069">
          <w:rPr>
            <w:rFonts w:cs="Times New Roman"/>
            <w:noProof/>
            <w:webHidden/>
            <w:sz w:val="24"/>
            <w:szCs w:val="24"/>
          </w:rPr>
          <w:instrText xml:space="preserve"> PAGEREF _Toc120865247 \h </w:instrText>
        </w:r>
        <w:r w:rsidR="00D93069" w:rsidRPr="00D93069">
          <w:rPr>
            <w:rFonts w:cs="Times New Roman"/>
            <w:noProof/>
            <w:webHidden/>
            <w:sz w:val="24"/>
            <w:szCs w:val="24"/>
          </w:rPr>
        </w:r>
        <w:r w:rsidR="00D93069" w:rsidRPr="00D93069">
          <w:rPr>
            <w:rFonts w:cs="Times New Roman"/>
            <w:noProof/>
            <w:webHidden/>
            <w:sz w:val="24"/>
            <w:szCs w:val="24"/>
          </w:rPr>
          <w:fldChar w:fldCharType="separate"/>
        </w:r>
        <w:r w:rsidR="00F906B6">
          <w:rPr>
            <w:rFonts w:cs="Times New Roman"/>
            <w:noProof/>
            <w:webHidden/>
            <w:sz w:val="24"/>
            <w:szCs w:val="24"/>
          </w:rPr>
          <w:t>94</w:t>
        </w:r>
        <w:r w:rsidR="00D93069" w:rsidRPr="00D93069">
          <w:rPr>
            <w:rFonts w:cs="Times New Roman"/>
            <w:noProof/>
            <w:webHidden/>
            <w:sz w:val="24"/>
            <w:szCs w:val="24"/>
          </w:rPr>
          <w:fldChar w:fldCharType="end"/>
        </w:r>
      </w:hyperlink>
    </w:p>
    <w:p w14:paraId="1E5467C7" w14:textId="168B4EC3" w:rsidR="00D93069" w:rsidRPr="00D93069" w:rsidRDefault="00E767EF" w:rsidP="00D93069">
      <w:pPr>
        <w:pStyle w:val="TOC4"/>
        <w:tabs>
          <w:tab w:val="left" w:pos="1680"/>
          <w:tab w:val="right" w:leader="dot" w:pos="9345"/>
        </w:tabs>
        <w:rPr>
          <w:rFonts w:cs="Times New Roman"/>
          <w:noProof/>
          <w:sz w:val="24"/>
          <w:szCs w:val="24"/>
          <w:lang w:eastAsia="ru-RU"/>
        </w:rPr>
      </w:pPr>
      <w:hyperlink w:anchor="_Toc120865248" w:history="1">
        <w:r w:rsidR="00D93069" w:rsidRPr="00D93069">
          <w:rPr>
            <w:rStyle w:val="Hyperlink"/>
            <w:rFonts w:cs="Times New Roman"/>
            <w:noProof/>
            <w:sz w:val="24"/>
            <w:szCs w:val="24"/>
          </w:rPr>
          <w:t>4.2.4.4</w:t>
        </w:r>
        <w:r w:rsidR="00D93069" w:rsidRPr="00D93069">
          <w:rPr>
            <w:rFonts w:cs="Times New Roman"/>
            <w:noProof/>
            <w:sz w:val="24"/>
            <w:szCs w:val="24"/>
            <w:lang w:eastAsia="ru-RU"/>
          </w:rPr>
          <w:tab/>
        </w:r>
        <w:r w:rsidR="00D93069" w:rsidRPr="00D93069">
          <w:rPr>
            <w:rStyle w:val="Hyperlink"/>
            <w:rFonts w:cs="Times New Roman"/>
            <w:noProof/>
            <w:sz w:val="24"/>
            <w:szCs w:val="24"/>
          </w:rPr>
          <w:t>Оценка основных жизненных показателей</w:t>
        </w:r>
        <w:r w:rsidR="00D93069" w:rsidRPr="00D93069">
          <w:rPr>
            <w:rFonts w:cs="Times New Roman"/>
            <w:noProof/>
            <w:webHidden/>
            <w:sz w:val="24"/>
            <w:szCs w:val="24"/>
          </w:rPr>
          <w:tab/>
        </w:r>
        <w:r w:rsidR="00D93069" w:rsidRPr="00D93069">
          <w:rPr>
            <w:rFonts w:cs="Times New Roman"/>
            <w:noProof/>
            <w:webHidden/>
            <w:sz w:val="24"/>
            <w:szCs w:val="24"/>
          </w:rPr>
          <w:fldChar w:fldCharType="begin"/>
        </w:r>
        <w:r w:rsidR="00D93069" w:rsidRPr="00D93069">
          <w:rPr>
            <w:rFonts w:cs="Times New Roman"/>
            <w:noProof/>
            <w:webHidden/>
            <w:sz w:val="24"/>
            <w:szCs w:val="24"/>
          </w:rPr>
          <w:instrText xml:space="preserve"> PAGEREF _Toc120865248 \h </w:instrText>
        </w:r>
        <w:r w:rsidR="00D93069" w:rsidRPr="00D93069">
          <w:rPr>
            <w:rFonts w:cs="Times New Roman"/>
            <w:noProof/>
            <w:webHidden/>
            <w:sz w:val="24"/>
            <w:szCs w:val="24"/>
          </w:rPr>
        </w:r>
        <w:r w:rsidR="00D93069" w:rsidRPr="00D93069">
          <w:rPr>
            <w:rFonts w:cs="Times New Roman"/>
            <w:noProof/>
            <w:webHidden/>
            <w:sz w:val="24"/>
            <w:szCs w:val="24"/>
          </w:rPr>
          <w:fldChar w:fldCharType="separate"/>
        </w:r>
        <w:r w:rsidR="00F906B6">
          <w:rPr>
            <w:rFonts w:cs="Times New Roman"/>
            <w:noProof/>
            <w:webHidden/>
            <w:sz w:val="24"/>
            <w:szCs w:val="24"/>
          </w:rPr>
          <w:t>94</w:t>
        </w:r>
        <w:r w:rsidR="00D93069" w:rsidRPr="00D93069">
          <w:rPr>
            <w:rFonts w:cs="Times New Roman"/>
            <w:noProof/>
            <w:webHidden/>
            <w:sz w:val="24"/>
            <w:szCs w:val="24"/>
          </w:rPr>
          <w:fldChar w:fldCharType="end"/>
        </w:r>
      </w:hyperlink>
    </w:p>
    <w:p w14:paraId="271E042D" w14:textId="3AF9CF74" w:rsidR="00D93069" w:rsidRPr="00D93069" w:rsidRDefault="00E767EF" w:rsidP="00D93069">
      <w:pPr>
        <w:pStyle w:val="TOC4"/>
        <w:tabs>
          <w:tab w:val="left" w:pos="1680"/>
          <w:tab w:val="right" w:leader="dot" w:pos="9345"/>
        </w:tabs>
        <w:rPr>
          <w:rFonts w:cs="Times New Roman"/>
          <w:noProof/>
          <w:sz w:val="24"/>
          <w:szCs w:val="24"/>
          <w:lang w:eastAsia="ru-RU"/>
        </w:rPr>
      </w:pPr>
      <w:hyperlink w:anchor="_Toc120865249" w:history="1">
        <w:r w:rsidR="00D93069" w:rsidRPr="00D93069">
          <w:rPr>
            <w:rStyle w:val="Hyperlink"/>
            <w:rFonts w:cs="Times New Roman"/>
            <w:noProof/>
            <w:sz w:val="24"/>
            <w:szCs w:val="24"/>
          </w:rPr>
          <w:t>4.2.4.5</w:t>
        </w:r>
        <w:r w:rsidR="00D93069" w:rsidRPr="00D93069">
          <w:rPr>
            <w:rFonts w:cs="Times New Roman"/>
            <w:noProof/>
            <w:sz w:val="24"/>
            <w:szCs w:val="24"/>
            <w:lang w:eastAsia="ru-RU"/>
          </w:rPr>
          <w:tab/>
        </w:r>
        <w:r w:rsidR="00D93069" w:rsidRPr="00D93069">
          <w:rPr>
            <w:rStyle w:val="Hyperlink"/>
            <w:rFonts w:cs="Times New Roman"/>
            <w:noProof/>
            <w:sz w:val="24"/>
            <w:szCs w:val="24"/>
          </w:rPr>
          <w:t>Лабораторные исследования</w:t>
        </w:r>
        <w:r w:rsidR="00D93069" w:rsidRPr="00D93069">
          <w:rPr>
            <w:rFonts w:cs="Times New Roman"/>
            <w:noProof/>
            <w:webHidden/>
            <w:sz w:val="24"/>
            <w:szCs w:val="24"/>
          </w:rPr>
          <w:tab/>
        </w:r>
        <w:r w:rsidR="00D93069" w:rsidRPr="00D93069">
          <w:rPr>
            <w:rFonts w:cs="Times New Roman"/>
            <w:noProof/>
            <w:webHidden/>
            <w:sz w:val="24"/>
            <w:szCs w:val="24"/>
          </w:rPr>
          <w:fldChar w:fldCharType="begin"/>
        </w:r>
        <w:r w:rsidR="00D93069" w:rsidRPr="00D93069">
          <w:rPr>
            <w:rFonts w:cs="Times New Roman"/>
            <w:noProof/>
            <w:webHidden/>
            <w:sz w:val="24"/>
            <w:szCs w:val="24"/>
          </w:rPr>
          <w:instrText xml:space="preserve"> PAGEREF _Toc120865249 \h </w:instrText>
        </w:r>
        <w:r w:rsidR="00D93069" w:rsidRPr="00D93069">
          <w:rPr>
            <w:rFonts w:cs="Times New Roman"/>
            <w:noProof/>
            <w:webHidden/>
            <w:sz w:val="24"/>
            <w:szCs w:val="24"/>
          </w:rPr>
        </w:r>
        <w:r w:rsidR="00D93069" w:rsidRPr="00D93069">
          <w:rPr>
            <w:rFonts w:cs="Times New Roman"/>
            <w:noProof/>
            <w:webHidden/>
            <w:sz w:val="24"/>
            <w:szCs w:val="24"/>
          </w:rPr>
          <w:fldChar w:fldCharType="separate"/>
        </w:r>
        <w:r w:rsidR="00F906B6">
          <w:rPr>
            <w:rFonts w:cs="Times New Roman"/>
            <w:noProof/>
            <w:webHidden/>
            <w:sz w:val="24"/>
            <w:szCs w:val="24"/>
          </w:rPr>
          <w:t>94</w:t>
        </w:r>
        <w:r w:rsidR="00D93069" w:rsidRPr="00D93069">
          <w:rPr>
            <w:rFonts w:cs="Times New Roman"/>
            <w:noProof/>
            <w:webHidden/>
            <w:sz w:val="24"/>
            <w:szCs w:val="24"/>
          </w:rPr>
          <w:fldChar w:fldCharType="end"/>
        </w:r>
      </w:hyperlink>
    </w:p>
    <w:p w14:paraId="459305BE" w14:textId="5639E7A4" w:rsidR="00D93069" w:rsidRPr="00D93069" w:rsidRDefault="00E767EF" w:rsidP="00D93069">
      <w:pPr>
        <w:pStyle w:val="TOC5"/>
        <w:tabs>
          <w:tab w:val="left" w:pos="1920"/>
          <w:tab w:val="right" w:leader="dot" w:pos="9345"/>
        </w:tabs>
        <w:rPr>
          <w:rFonts w:cs="Times New Roman"/>
          <w:noProof/>
          <w:sz w:val="24"/>
          <w:szCs w:val="24"/>
          <w:lang w:eastAsia="ru-RU"/>
        </w:rPr>
      </w:pPr>
      <w:hyperlink w:anchor="_Toc120865250" w:history="1">
        <w:r w:rsidR="00D93069" w:rsidRPr="00D93069">
          <w:rPr>
            <w:rStyle w:val="Hyperlink"/>
            <w:rFonts w:cs="Times New Roman"/>
            <w:noProof/>
            <w:sz w:val="24"/>
            <w:szCs w:val="24"/>
            <w:lang w:eastAsia="ru-RU"/>
          </w:rPr>
          <w:t>4.2.4.5.1</w:t>
        </w:r>
        <w:r w:rsidR="00D93069" w:rsidRPr="00D93069">
          <w:rPr>
            <w:rFonts w:cs="Times New Roman"/>
            <w:noProof/>
            <w:sz w:val="24"/>
            <w:szCs w:val="24"/>
            <w:lang w:eastAsia="ru-RU"/>
          </w:rPr>
          <w:tab/>
        </w:r>
        <w:r w:rsidR="00D93069" w:rsidRPr="00D93069">
          <w:rPr>
            <w:rStyle w:val="Hyperlink"/>
            <w:rFonts w:cs="Times New Roman"/>
            <w:noProof/>
            <w:sz w:val="24"/>
            <w:szCs w:val="24"/>
            <w:lang w:eastAsia="ru-RU"/>
          </w:rPr>
          <w:t>Анализы образцов крови (общий, биохимический, серологический, коагулограмма)</w:t>
        </w:r>
        <w:r w:rsidR="00D93069" w:rsidRPr="00D93069">
          <w:rPr>
            <w:rFonts w:cs="Times New Roman"/>
            <w:noProof/>
            <w:webHidden/>
            <w:sz w:val="24"/>
            <w:szCs w:val="24"/>
          </w:rPr>
          <w:tab/>
        </w:r>
        <w:r w:rsidR="00D93069" w:rsidRPr="00D93069">
          <w:rPr>
            <w:rFonts w:cs="Times New Roman"/>
            <w:noProof/>
            <w:webHidden/>
            <w:sz w:val="24"/>
            <w:szCs w:val="24"/>
          </w:rPr>
          <w:fldChar w:fldCharType="begin"/>
        </w:r>
        <w:r w:rsidR="00D93069" w:rsidRPr="00D93069">
          <w:rPr>
            <w:rFonts w:cs="Times New Roman"/>
            <w:noProof/>
            <w:webHidden/>
            <w:sz w:val="24"/>
            <w:szCs w:val="24"/>
          </w:rPr>
          <w:instrText xml:space="preserve"> PAGEREF _Toc120865250 \h </w:instrText>
        </w:r>
        <w:r w:rsidR="00D93069" w:rsidRPr="00D93069">
          <w:rPr>
            <w:rFonts w:cs="Times New Roman"/>
            <w:noProof/>
            <w:webHidden/>
            <w:sz w:val="24"/>
            <w:szCs w:val="24"/>
          </w:rPr>
        </w:r>
        <w:r w:rsidR="00D93069" w:rsidRPr="00D93069">
          <w:rPr>
            <w:rFonts w:cs="Times New Roman"/>
            <w:noProof/>
            <w:webHidden/>
            <w:sz w:val="24"/>
            <w:szCs w:val="24"/>
          </w:rPr>
          <w:fldChar w:fldCharType="separate"/>
        </w:r>
        <w:r w:rsidR="00F906B6">
          <w:rPr>
            <w:rFonts w:cs="Times New Roman"/>
            <w:noProof/>
            <w:webHidden/>
            <w:sz w:val="24"/>
            <w:szCs w:val="24"/>
          </w:rPr>
          <w:t>95</w:t>
        </w:r>
        <w:r w:rsidR="00D93069" w:rsidRPr="00D93069">
          <w:rPr>
            <w:rFonts w:cs="Times New Roman"/>
            <w:noProof/>
            <w:webHidden/>
            <w:sz w:val="24"/>
            <w:szCs w:val="24"/>
          </w:rPr>
          <w:fldChar w:fldCharType="end"/>
        </w:r>
      </w:hyperlink>
    </w:p>
    <w:p w14:paraId="34502A3B" w14:textId="09819E48" w:rsidR="00D93069" w:rsidRPr="00D93069" w:rsidRDefault="00E767EF" w:rsidP="00D93069">
      <w:pPr>
        <w:pStyle w:val="TOC5"/>
        <w:tabs>
          <w:tab w:val="left" w:pos="1920"/>
          <w:tab w:val="right" w:leader="dot" w:pos="9345"/>
        </w:tabs>
        <w:rPr>
          <w:rFonts w:cs="Times New Roman"/>
          <w:noProof/>
          <w:sz w:val="24"/>
          <w:szCs w:val="24"/>
          <w:lang w:eastAsia="ru-RU"/>
        </w:rPr>
      </w:pPr>
      <w:hyperlink w:anchor="_Toc120865251" w:history="1">
        <w:r w:rsidR="00D93069" w:rsidRPr="00D93069">
          <w:rPr>
            <w:rStyle w:val="Hyperlink"/>
            <w:rFonts w:cs="Times New Roman"/>
            <w:noProof/>
            <w:sz w:val="24"/>
            <w:szCs w:val="24"/>
            <w:lang w:eastAsia="ru-RU"/>
          </w:rPr>
          <w:t>4.2.4.5.2</w:t>
        </w:r>
        <w:r w:rsidR="00D93069" w:rsidRPr="00D93069">
          <w:rPr>
            <w:rFonts w:cs="Times New Roman"/>
            <w:noProof/>
            <w:sz w:val="24"/>
            <w:szCs w:val="24"/>
            <w:lang w:eastAsia="ru-RU"/>
          </w:rPr>
          <w:tab/>
        </w:r>
        <w:r w:rsidR="00D93069" w:rsidRPr="00D93069">
          <w:rPr>
            <w:rStyle w:val="Hyperlink"/>
            <w:rFonts w:cs="Times New Roman"/>
            <w:noProof/>
            <w:sz w:val="24"/>
            <w:szCs w:val="24"/>
            <w:lang w:eastAsia="ru-RU"/>
          </w:rPr>
          <w:t>Скорость клубочковой фильтрации (СКФ)</w:t>
        </w:r>
        <w:r w:rsidR="00D93069" w:rsidRPr="00D93069">
          <w:rPr>
            <w:rFonts w:cs="Times New Roman"/>
            <w:noProof/>
            <w:webHidden/>
            <w:sz w:val="24"/>
            <w:szCs w:val="24"/>
          </w:rPr>
          <w:tab/>
        </w:r>
        <w:r w:rsidR="00D93069" w:rsidRPr="00D93069">
          <w:rPr>
            <w:rFonts w:cs="Times New Roman"/>
            <w:noProof/>
            <w:webHidden/>
            <w:sz w:val="24"/>
            <w:szCs w:val="24"/>
          </w:rPr>
          <w:fldChar w:fldCharType="begin"/>
        </w:r>
        <w:r w:rsidR="00D93069" w:rsidRPr="00D93069">
          <w:rPr>
            <w:rFonts w:cs="Times New Roman"/>
            <w:noProof/>
            <w:webHidden/>
            <w:sz w:val="24"/>
            <w:szCs w:val="24"/>
          </w:rPr>
          <w:instrText xml:space="preserve"> PAGEREF _Toc120865251 \h </w:instrText>
        </w:r>
        <w:r w:rsidR="00D93069" w:rsidRPr="00D93069">
          <w:rPr>
            <w:rFonts w:cs="Times New Roman"/>
            <w:noProof/>
            <w:webHidden/>
            <w:sz w:val="24"/>
            <w:szCs w:val="24"/>
          </w:rPr>
        </w:r>
        <w:r w:rsidR="00D93069" w:rsidRPr="00D93069">
          <w:rPr>
            <w:rFonts w:cs="Times New Roman"/>
            <w:noProof/>
            <w:webHidden/>
            <w:sz w:val="24"/>
            <w:szCs w:val="24"/>
          </w:rPr>
          <w:fldChar w:fldCharType="separate"/>
        </w:r>
        <w:r w:rsidR="00F906B6">
          <w:rPr>
            <w:rFonts w:cs="Times New Roman"/>
            <w:noProof/>
            <w:webHidden/>
            <w:sz w:val="24"/>
            <w:szCs w:val="24"/>
          </w:rPr>
          <w:t>95</w:t>
        </w:r>
        <w:r w:rsidR="00D93069" w:rsidRPr="00D93069">
          <w:rPr>
            <w:rFonts w:cs="Times New Roman"/>
            <w:noProof/>
            <w:webHidden/>
            <w:sz w:val="24"/>
            <w:szCs w:val="24"/>
          </w:rPr>
          <w:fldChar w:fldCharType="end"/>
        </w:r>
      </w:hyperlink>
    </w:p>
    <w:p w14:paraId="0270FBF8" w14:textId="549D03FA" w:rsidR="00D93069" w:rsidRPr="00D93069" w:rsidRDefault="00E767EF" w:rsidP="00D93069">
      <w:pPr>
        <w:pStyle w:val="TOC5"/>
        <w:tabs>
          <w:tab w:val="left" w:pos="1920"/>
          <w:tab w:val="right" w:leader="dot" w:pos="9345"/>
        </w:tabs>
        <w:rPr>
          <w:rFonts w:cs="Times New Roman"/>
          <w:noProof/>
          <w:sz w:val="24"/>
          <w:szCs w:val="24"/>
          <w:lang w:eastAsia="ru-RU"/>
        </w:rPr>
      </w:pPr>
      <w:hyperlink w:anchor="_Toc120865252" w:history="1">
        <w:r w:rsidR="00D93069" w:rsidRPr="00D93069">
          <w:rPr>
            <w:rStyle w:val="Hyperlink"/>
            <w:rFonts w:cs="Times New Roman"/>
            <w:noProof/>
            <w:sz w:val="24"/>
            <w:szCs w:val="24"/>
            <w:lang w:eastAsia="ru-RU"/>
          </w:rPr>
          <w:t>4.2.4.5.3</w:t>
        </w:r>
        <w:r w:rsidR="00D93069" w:rsidRPr="00D93069">
          <w:rPr>
            <w:rFonts w:cs="Times New Roman"/>
            <w:noProof/>
            <w:sz w:val="24"/>
            <w:szCs w:val="24"/>
            <w:lang w:eastAsia="ru-RU"/>
          </w:rPr>
          <w:tab/>
        </w:r>
        <w:r w:rsidR="00D93069" w:rsidRPr="00D93069">
          <w:rPr>
            <w:rStyle w:val="Hyperlink"/>
            <w:rFonts w:cs="Times New Roman"/>
            <w:noProof/>
            <w:sz w:val="24"/>
            <w:szCs w:val="24"/>
            <w:lang w:eastAsia="ru-RU"/>
          </w:rPr>
          <w:t>Анализ крови на уровень антител к бевацизумабу</w:t>
        </w:r>
        <w:r w:rsidR="00D93069" w:rsidRPr="00D93069">
          <w:rPr>
            <w:rFonts w:cs="Times New Roman"/>
            <w:noProof/>
            <w:webHidden/>
            <w:sz w:val="24"/>
            <w:szCs w:val="24"/>
          </w:rPr>
          <w:tab/>
        </w:r>
        <w:r w:rsidR="00D93069" w:rsidRPr="00D93069">
          <w:rPr>
            <w:rFonts w:cs="Times New Roman"/>
            <w:noProof/>
            <w:webHidden/>
            <w:sz w:val="24"/>
            <w:szCs w:val="24"/>
          </w:rPr>
          <w:fldChar w:fldCharType="begin"/>
        </w:r>
        <w:r w:rsidR="00D93069" w:rsidRPr="00D93069">
          <w:rPr>
            <w:rFonts w:cs="Times New Roman"/>
            <w:noProof/>
            <w:webHidden/>
            <w:sz w:val="24"/>
            <w:szCs w:val="24"/>
          </w:rPr>
          <w:instrText xml:space="preserve"> PAGEREF _Toc120865252 \h </w:instrText>
        </w:r>
        <w:r w:rsidR="00D93069" w:rsidRPr="00D93069">
          <w:rPr>
            <w:rFonts w:cs="Times New Roman"/>
            <w:noProof/>
            <w:webHidden/>
            <w:sz w:val="24"/>
            <w:szCs w:val="24"/>
          </w:rPr>
        </w:r>
        <w:r w:rsidR="00D93069" w:rsidRPr="00D93069">
          <w:rPr>
            <w:rFonts w:cs="Times New Roman"/>
            <w:noProof/>
            <w:webHidden/>
            <w:sz w:val="24"/>
            <w:szCs w:val="24"/>
          </w:rPr>
          <w:fldChar w:fldCharType="separate"/>
        </w:r>
        <w:r w:rsidR="00F906B6">
          <w:rPr>
            <w:rFonts w:cs="Times New Roman"/>
            <w:noProof/>
            <w:webHidden/>
            <w:sz w:val="24"/>
            <w:szCs w:val="24"/>
          </w:rPr>
          <w:t>95</w:t>
        </w:r>
        <w:r w:rsidR="00D93069" w:rsidRPr="00D93069">
          <w:rPr>
            <w:rFonts w:cs="Times New Roman"/>
            <w:noProof/>
            <w:webHidden/>
            <w:sz w:val="24"/>
            <w:szCs w:val="24"/>
          </w:rPr>
          <w:fldChar w:fldCharType="end"/>
        </w:r>
      </w:hyperlink>
    </w:p>
    <w:p w14:paraId="437F071A" w14:textId="4EC7B0F0" w:rsidR="00D93069" w:rsidRPr="00D93069" w:rsidRDefault="00E767EF" w:rsidP="00D93069">
      <w:pPr>
        <w:pStyle w:val="TOC5"/>
        <w:tabs>
          <w:tab w:val="left" w:pos="1920"/>
          <w:tab w:val="right" w:leader="dot" w:pos="9345"/>
        </w:tabs>
        <w:rPr>
          <w:rFonts w:cs="Times New Roman"/>
          <w:noProof/>
          <w:sz w:val="24"/>
          <w:szCs w:val="24"/>
          <w:lang w:eastAsia="ru-RU"/>
        </w:rPr>
      </w:pPr>
      <w:hyperlink w:anchor="_Toc120865253" w:history="1">
        <w:r w:rsidR="00D93069" w:rsidRPr="00D93069">
          <w:rPr>
            <w:rStyle w:val="Hyperlink"/>
            <w:rFonts w:cs="Times New Roman"/>
            <w:noProof/>
            <w:sz w:val="24"/>
            <w:szCs w:val="24"/>
            <w:lang w:eastAsia="ru-RU"/>
          </w:rPr>
          <w:t>4.2.4.5.4</w:t>
        </w:r>
        <w:r w:rsidR="00D93069" w:rsidRPr="00D93069">
          <w:rPr>
            <w:rFonts w:cs="Times New Roman"/>
            <w:noProof/>
            <w:sz w:val="24"/>
            <w:szCs w:val="24"/>
            <w:lang w:eastAsia="ru-RU"/>
          </w:rPr>
          <w:tab/>
        </w:r>
        <w:r w:rsidR="00D93069" w:rsidRPr="00D93069">
          <w:rPr>
            <w:rStyle w:val="Hyperlink"/>
            <w:rFonts w:cs="Times New Roman"/>
            <w:noProof/>
            <w:sz w:val="24"/>
            <w:szCs w:val="24"/>
            <w:lang w:eastAsia="ru-RU"/>
          </w:rPr>
          <w:t>Общий анализ мочи</w:t>
        </w:r>
        <w:r w:rsidR="00D93069" w:rsidRPr="00D93069">
          <w:rPr>
            <w:rFonts w:cs="Times New Roman"/>
            <w:noProof/>
            <w:webHidden/>
            <w:sz w:val="24"/>
            <w:szCs w:val="24"/>
          </w:rPr>
          <w:tab/>
        </w:r>
        <w:r w:rsidR="00D93069" w:rsidRPr="00D93069">
          <w:rPr>
            <w:rFonts w:cs="Times New Roman"/>
            <w:noProof/>
            <w:webHidden/>
            <w:sz w:val="24"/>
            <w:szCs w:val="24"/>
          </w:rPr>
          <w:fldChar w:fldCharType="begin"/>
        </w:r>
        <w:r w:rsidR="00D93069" w:rsidRPr="00D93069">
          <w:rPr>
            <w:rFonts w:cs="Times New Roman"/>
            <w:noProof/>
            <w:webHidden/>
            <w:sz w:val="24"/>
            <w:szCs w:val="24"/>
          </w:rPr>
          <w:instrText xml:space="preserve"> PAGEREF _Toc120865253 \h </w:instrText>
        </w:r>
        <w:r w:rsidR="00D93069" w:rsidRPr="00D93069">
          <w:rPr>
            <w:rFonts w:cs="Times New Roman"/>
            <w:noProof/>
            <w:webHidden/>
            <w:sz w:val="24"/>
            <w:szCs w:val="24"/>
          </w:rPr>
        </w:r>
        <w:r w:rsidR="00D93069" w:rsidRPr="00D93069">
          <w:rPr>
            <w:rFonts w:cs="Times New Roman"/>
            <w:noProof/>
            <w:webHidden/>
            <w:sz w:val="24"/>
            <w:szCs w:val="24"/>
          </w:rPr>
          <w:fldChar w:fldCharType="separate"/>
        </w:r>
        <w:r w:rsidR="00F906B6">
          <w:rPr>
            <w:rFonts w:cs="Times New Roman"/>
            <w:noProof/>
            <w:webHidden/>
            <w:sz w:val="24"/>
            <w:szCs w:val="24"/>
          </w:rPr>
          <w:t>97</w:t>
        </w:r>
        <w:r w:rsidR="00D93069" w:rsidRPr="00D93069">
          <w:rPr>
            <w:rFonts w:cs="Times New Roman"/>
            <w:noProof/>
            <w:webHidden/>
            <w:sz w:val="24"/>
            <w:szCs w:val="24"/>
          </w:rPr>
          <w:fldChar w:fldCharType="end"/>
        </w:r>
      </w:hyperlink>
    </w:p>
    <w:p w14:paraId="7B403827" w14:textId="3544DA31" w:rsidR="00D93069" w:rsidRPr="00D93069" w:rsidRDefault="00E767EF" w:rsidP="00D93069">
      <w:pPr>
        <w:pStyle w:val="TOC5"/>
        <w:tabs>
          <w:tab w:val="left" w:pos="1920"/>
          <w:tab w:val="right" w:leader="dot" w:pos="9345"/>
        </w:tabs>
        <w:rPr>
          <w:rFonts w:cs="Times New Roman"/>
          <w:noProof/>
          <w:sz w:val="24"/>
          <w:szCs w:val="24"/>
          <w:lang w:eastAsia="ru-RU"/>
        </w:rPr>
      </w:pPr>
      <w:hyperlink w:anchor="_Toc120865254" w:history="1">
        <w:r w:rsidR="00D93069" w:rsidRPr="00D93069">
          <w:rPr>
            <w:rStyle w:val="Hyperlink"/>
            <w:rFonts w:cs="Times New Roman"/>
            <w:noProof/>
            <w:sz w:val="24"/>
            <w:szCs w:val="24"/>
            <w:lang w:eastAsia="ru-RU"/>
          </w:rPr>
          <w:t>4.2.4.5.5</w:t>
        </w:r>
        <w:r w:rsidR="00D93069" w:rsidRPr="00D93069">
          <w:rPr>
            <w:rFonts w:cs="Times New Roman"/>
            <w:noProof/>
            <w:sz w:val="24"/>
            <w:szCs w:val="24"/>
            <w:lang w:eastAsia="ru-RU"/>
          </w:rPr>
          <w:tab/>
        </w:r>
        <w:r w:rsidR="00D93069" w:rsidRPr="00D93069">
          <w:rPr>
            <w:rStyle w:val="Hyperlink"/>
            <w:rFonts w:cs="Times New Roman"/>
            <w:noProof/>
            <w:sz w:val="24"/>
            <w:szCs w:val="24"/>
            <w:lang w:eastAsia="ru-RU"/>
          </w:rPr>
          <w:t>Тест на беременность</w:t>
        </w:r>
        <w:r w:rsidR="00D93069" w:rsidRPr="00D93069">
          <w:rPr>
            <w:rFonts w:cs="Times New Roman"/>
            <w:noProof/>
            <w:webHidden/>
            <w:sz w:val="24"/>
            <w:szCs w:val="24"/>
          </w:rPr>
          <w:tab/>
        </w:r>
        <w:r w:rsidR="00D93069" w:rsidRPr="00D93069">
          <w:rPr>
            <w:rFonts w:cs="Times New Roman"/>
            <w:noProof/>
            <w:webHidden/>
            <w:sz w:val="24"/>
            <w:szCs w:val="24"/>
          </w:rPr>
          <w:fldChar w:fldCharType="begin"/>
        </w:r>
        <w:r w:rsidR="00D93069" w:rsidRPr="00D93069">
          <w:rPr>
            <w:rFonts w:cs="Times New Roman"/>
            <w:noProof/>
            <w:webHidden/>
            <w:sz w:val="24"/>
            <w:szCs w:val="24"/>
          </w:rPr>
          <w:instrText xml:space="preserve"> PAGEREF _Toc120865254 \h </w:instrText>
        </w:r>
        <w:r w:rsidR="00D93069" w:rsidRPr="00D93069">
          <w:rPr>
            <w:rFonts w:cs="Times New Roman"/>
            <w:noProof/>
            <w:webHidden/>
            <w:sz w:val="24"/>
            <w:szCs w:val="24"/>
          </w:rPr>
        </w:r>
        <w:r w:rsidR="00D93069" w:rsidRPr="00D93069">
          <w:rPr>
            <w:rFonts w:cs="Times New Roman"/>
            <w:noProof/>
            <w:webHidden/>
            <w:sz w:val="24"/>
            <w:szCs w:val="24"/>
          </w:rPr>
          <w:fldChar w:fldCharType="separate"/>
        </w:r>
        <w:r w:rsidR="00F906B6">
          <w:rPr>
            <w:rFonts w:cs="Times New Roman"/>
            <w:noProof/>
            <w:webHidden/>
            <w:sz w:val="24"/>
            <w:szCs w:val="24"/>
          </w:rPr>
          <w:t>98</w:t>
        </w:r>
        <w:r w:rsidR="00D93069" w:rsidRPr="00D93069">
          <w:rPr>
            <w:rFonts w:cs="Times New Roman"/>
            <w:noProof/>
            <w:webHidden/>
            <w:sz w:val="24"/>
            <w:szCs w:val="24"/>
          </w:rPr>
          <w:fldChar w:fldCharType="end"/>
        </w:r>
      </w:hyperlink>
    </w:p>
    <w:p w14:paraId="69B71A7D" w14:textId="043432BD" w:rsidR="00D93069" w:rsidRPr="00D93069" w:rsidRDefault="00E767EF" w:rsidP="00D93069">
      <w:pPr>
        <w:pStyle w:val="TOC4"/>
        <w:tabs>
          <w:tab w:val="left" w:pos="1680"/>
          <w:tab w:val="right" w:leader="dot" w:pos="9345"/>
        </w:tabs>
        <w:rPr>
          <w:rFonts w:cs="Times New Roman"/>
          <w:noProof/>
          <w:sz w:val="24"/>
          <w:szCs w:val="24"/>
          <w:lang w:eastAsia="ru-RU"/>
        </w:rPr>
      </w:pPr>
      <w:hyperlink w:anchor="_Toc120865255" w:history="1">
        <w:r w:rsidR="00D93069" w:rsidRPr="00D93069">
          <w:rPr>
            <w:rStyle w:val="Hyperlink"/>
            <w:rFonts w:cs="Times New Roman"/>
            <w:noProof/>
            <w:sz w:val="24"/>
            <w:szCs w:val="24"/>
          </w:rPr>
          <w:t>4.2.4.6</w:t>
        </w:r>
        <w:r w:rsidR="00D93069" w:rsidRPr="00D93069">
          <w:rPr>
            <w:rFonts w:cs="Times New Roman"/>
            <w:noProof/>
            <w:sz w:val="24"/>
            <w:szCs w:val="24"/>
            <w:lang w:eastAsia="ru-RU"/>
          </w:rPr>
          <w:tab/>
        </w:r>
        <w:r w:rsidR="00D93069" w:rsidRPr="00D93069">
          <w:rPr>
            <w:rStyle w:val="Hyperlink"/>
            <w:rFonts w:cs="Times New Roman"/>
            <w:noProof/>
            <w:sz w:val="24"/>
            <w:szCs w:val="24"/>
          </w:rPr>
          <w:t>Инструментальные исследования</w:t>
        </w:r>
        <w:r w:rsidR="00D93069" w:rsidRPr="00D93069">
          <w:rPr>
            <w:rFonts w:cs="Times New Roman"/>
            <w:noProof/>
            <w:webHidden/>
            <w:sz w:val="24"/>
            <w:szCs w:val="24"/>
          </w:rPr>
          <w:tab/>
        </w:r>
        <w:r w:rsidR="00D93069" w:rsidRPr="00D93069">
          <w:rPr>
            <w:rFonts w:cs="Times New Roman"/>
            <w:noProof/>
            <w:webHidden/>
            <w:sz w:val="24"/>
            <w:szCs w:val="24"/>
          </w:rPr>
          <w:fldChar w:fldCharType="begin"/>
        </w:r>
        <w:r w:rsidR="00D93069" w:rsidRPr="00D93069">
          <w:rPr>
            <w:rFonts w:cs="Times New Roman"/>
            <w:noProof/>
            <w:webHidden/>
            <w:sz w:val="24"/>
            <w:szCs w:val="24"/>
          </w:rPr>
          <w:instrText xml:space="preserve"> PAGEREF _Toc120865255 \h </w:instrText>
        </w:r>
        <w:r w:rsidR="00D93069" w:rsidRPr="00D93069">
          <w:rPr>
            <w:rFonts w:cs="Times New Roman"/>
            <w:noProof/>
            <w:webHidden/>
            <w:sz w:val="24"/>
            <w:szCs w:val="24"/>
          </w:rPr>
        </w:r>
        <w:r w:rsidR="00D93069" w:rsidRPr="00D93069">
          <w:rPr>
            <w:rFonts w:cs="Times New Roman"/>
            <w:noProof/>
            <w:webHidden/>
            <w:sz w:val="24"/>
            <w:szCs w:val="24"/>
          </w:rPr>
          <w:fldChar w:fldCharType="separate"/>
        </w:r>
        <w:r w:rsidR="00F906B6">
          <w:rPr>
            <w:rFonts w:cs="Times New Roman"/>
            <w:noProof/>
            <w:webHidden/>
            <w:sz w:val="24"/>
            <w:szCs w:val="24"/>
          </w:rPr>
          <w:t>98</w:t>
        </w:r>
        <w:r w:rsidR="00D93069" w:rsidRPr="00D93069">
          <w:rPr>
            <w:rFonts w:cs="Times New Roman"/>
            <w:noProof/>
            <w:webHidden/>
            <w:sz w:val="24"/>
            <w:szCs w:val="24"/>
          </w:rPr>
          <w:fldChar w:fldCharType="end"/>
        </w:r>
      </w:hyperlink>
    </w:p>
    <w:p w14:paraId="30802406" w14:textId="5165C0C8" w:rsidR="00D93069" w:rsidRPr="00D93069" w:rsidRDefault="00E767EF" w:rsidP="00D93069">
      <w:pPr>
        <w:pStyle w:val="TOC5"/>
        <w:tabs>
          <w:tab w:val="left" w:pos="1920"/>
          <w:tab w:val="right" w:leader="dot" w:pos="9345"/>
        </w:tabs>
        <w:rPr>
          <w:rFonts w:cs="Times New Roman"/>
          <w:noProof/>
          <w:sz w:val="24"/>
          <w:szCs w:val="24"/>
          <w:lang w:eastAsia="ru-RU"/>
        </w:rPr>
      </w:pPr>
      <w:hyperlink w:anchor="_Toc120865256" w:history="1">
        <w:r w:rsidR="00D93069" w:rsidRPr="00D93069">
          <w:rPr>
            <w:rStyle w:val="Hyperlink"/>
            <w:rFonts w:cs="Times New Roman"/>
            <w:noProof/>
            <w:sz w:val="24"/>
            <w:szCs w:val="24"/>
            <w:lang w:eastAsia="ru-RU"/>
          </w:rPr>
          <w:t>4.2.4.6.1</w:t>
        </w:r>
        <w:r w:rsidR="00D93069" w:rsidRPr="00D93069">
          <w:rPr>
            <w:rFonts w:cs="Times New Roman"/>
            <w:noProof/>
            <w:sz w:val="24"/>
            <w:szCs w:val="24"/>
            <w:lang w:eastAsia="ru-RU"/>
          </w:rPr>
          <w:tab/>
        </w:r>
        <w:r w:rsidR="00D93069" w:rsidRPr="00D93069">
          <w:rPr>
            <w:rStyle w:val="Hyperlink"/>
            <w:rFonts w:cs="Times New Roman"/>
            <w:noProof/>
            <w:sz w:val="24"/>
            <w:szCs w:val="24"/>
            <w:lang w:eastAsia="ru-RU"/>
          </w:rPr>
          <w:t>ЭКГ</w:t>
        </w:r>
        <w:r w:rsidR="00D93069" w:rsidRPr="00D93069">
          <w:rPr>
            <w:rFonts w:cs="Times New Roman"/>
            <w:noProof/>
            <w:webHidden/>
            <w:sz w:val="24"/>
            <w:szCs w:val="24"/>
          </w:rPr>
          <w:tab/>
        </w:r>
        <w:r w:rsidR="00D93069" w:rsidRPr="00D93069">
          <w:rPr>
            <w:rFonts w:cs="Times New Roman"/>
            <w:noProof/>
            <w:webHidden/>
            <w:sz w:val="24"/>
            <w:szCs w:val="24"/>
          </w:rPr>
          <w:fldChar w:fldCharType="begin"/>
        </w:r>
        <w:r w:rsidR="00D93069" w:rsidRPr="00D93069">
          <w:rPr>
            <w:rFonts w:cs="Times New Roman"/>
            <w:noProof/>
            <w:webHidden/>
            <w:sz w:val="24"/>
            <w:szCs w:val="24"/>
          </w:rPr>
          <w:instrText xml:space="preserve"> PAGEREF _Toc120865256 \h </w:instrText>
        </w:r>
        <w:r w:rsidR="00D93069" w:rsidRPr="00D93069">
          <w:rPr>
            <w:rFonts w:cs="Times New Roman"/>
            <w:noProof/>
            <w:webHidden/>
            <w:sz w:val="24"/>
            <w:szCs w:val="24"/>
          </w:rPr>
        </w:r>
        <w:r w:rsidR="00D93069" w:rsidRPr="00D93069">
          <w:rPr>
            <w:rFonts w:cs="Times New Roman"/>
            <w:noProof/>
            <w:webHidden/>
            <w:sz w:val="24"/>
            <w:szCs w:val="24"/>
          </w:rPr>
          <w:fldChar w:fldCharType="separate"/>
        </w:r>
        <w:r w:rsidR="00F906B6">
          <w:rPr>
            <w:rFonts w:cs="Times New Roman"/>
            <w:noProof/>
            <w:webHidden/>
            <w:sz w:val="24"/>
            <w:szCs w:val="24"/>
          </w:rPr>
          <w:t>98</w:t>
        </w:r>
        <w:r w:rsidR="00D93069" w:rsidRPr="00D93069">
          <w:rPr>
            <w:rFonts w:cs="Times New Roman"/>
            <w:noProof/>
            <w:webHidden/>
            <w:sz w:val="24"/>
            <w:szCs w:val="24"/>
          </w:rPr>
          <w:fldChar w:fldCharType="end"/>
        </w:r>
      </w:hyperlink>
    </w:p>
    <w:p w14:paraId="3EF2C243" w14:textId="034B47A7" w:rsidR="00D93069" w:rsidRPr="00D93069" w:rsidRDefault="00E767EF" w:rsidP="00D93069">
      <w:pPr>
        <w:pStyle w:val="TOC5"/>
        <w:tabs>
          <w:tab w:val="left" w:pos="1920"/>
          <w:tab w:val="right" w:leader="dot" w:pos="9345"/>
        </w:tabs>
        <w:rPr>
          <w:rFonts w:cs="Times New Roman"/>
          <w:noProof/>
          <w:sz w:val="24"/>
          <w:szCs w:val="24"/>
          <w:lang w:eastAsia="ru-RU"/>
        </w:rPr>
      </w:pPr>
      <w:hyperlink w:anchor="_Toc120865257" w:history="1">
        <w:r w:rsidR="00D93069" w:rsidRPr="00D93069">
          <w:rPr>
            <w:rStyle w:val="Hyperlink"/>
            <w:rFonts w:cs="Times New Roman"/>
            <w:noProof/>
            <w:sz w:val="24"/>
            <w:szCs w:val="24"/>
            <w:lang w:eastAsia="ru-RU"/>
          </w:rPr>
          <w:t>4.2.4.6.2</w:t>
        </w:r>
        <w:r w:rsidR="00D93069" w:rsidRPr="00D93069">
          <w:rPr>
            <w:rFonts w:cs="Times New Roman"/>
            <w:noProof/>
            <w:sz w:val="24"/>
            <w:szCs w:val="24"/>
            <w:lang w:eastAsia="ru-RU"/>
          </w:rPr>
          <w:tab/>
        </w:r>
        <w:r w:rsidR="00D93069" w:rsidRPr="00D93069">
          <w:rPr>
            <w:rStyle w:val="Hyperlink"/>
            <w:rFonts w:cs="Times New Roman"/>
            <w:noProof/>
            <w:sz w:val="24"/>
            <w:szCs w:val="24"/>
            <w:lang w:eastAsia="ru-RU"/>
          </w:rPr>
          <w:t>ЭГДС</w:t>
        </w:r>
        <w:r w:rsidR="00D93069" w:rsidRPr="00D93069">
          <w:rPr>
            <w:rFonts w:cs="Times New Roman"/>
            <w:noProof/>
            <w:webHidden/>
            <w:sz w:val="24"/>
            <w:szCs w:val="24"/>
          </w:rPr>
          <w:tab/>
        </w:r>
        <w:r w:rsidR="00D93069" w:rsidRPr="00D93069">
          <w:rPr>
            <w:rFonts w:cs="Times New Roman"/>
            <w:noProof/>
            <w:webHidden/>
            <w:sz w:val="24"/>
            <w:szCs w:val="24"/>
          </w:rPr>
          <w:fldChar w:fldCharType="begin"/>
        </w:r>
        <w:r w:rsidR="00D93069" w:rsidRPr="00D93069">
          <w:rPr>
            <w:rFonts w:cs="Times New Roman"/>
            <w:noProof/>
            <w:webHidden/>
            <w:sz w:val="24"/>
            <w:szCs w:val="24"/>
          </w:rPr>
          <w:instrText xml:space="preserve"> PAGEREF _Toc120865257 \h </w:instrText>
        </w:r>
        <w:r w:rsidR="00D93069" w:rsidRPr="00D93069">
          <w:rPr>
            <w:rFonts w:cs="Times New Roman"/>
            <w:noProof/>
            <w:webHidden/>
            <w:sz w:val="24"/>
            <w:szCs w:val="24"/>
          </w:rPr>
        </w:r>
        <w:r w:rsidR="00D93069" w:rsidRPr="00D93069">
          <w:rPr>
            <w:rFonts w:cs="Times New Roman"/>
            <w:noProof/>
            <w:webHidden/>
            <w:sz w:val="24"/>
            <w:szCs w:val="24"/>
          </w:rPr>
          <w:fldChar w:fldCharType="separate"/>
        </w:r>
        <w:r w:rsidR="00F906B6">
          <w:rPr>
            <w:rFonts w:cs="Times New Roman"/>
            <w:noProof/>
            <w:webHidden/>
            <w:sz w:val="24"/>
            <w:szCs w:val="24"/>
          </w:rPr>
          <w:t>98</w:t>
        </w:r>
        <w:r w:rsidR="00D93069" w:rsidRPr="00D93069">
          <w:rPr>
            <w:rFonts w:cs="Times New Roman"/>
            <w:noProof/>
            <w:webHidden/>
            <w:sz w:val="24"/>
            <w:szCs w:val="24"/>
          </w:rPr>
          <w:fldChar w:fldCharType="end"/>
        </w:r>
      </w:hyperlink>
    </w:p>
    <w:p w14:paraId="02135425" w14:textId="2217E431" w:rsidR="00D93069" w:rsidRPr="00D93069" w:rsidRDefault="00E767EF" w:rsidP="00D93069">
      <w:pPr>
        <w:pStyle w:val="TOC5"/>
        <w:tabs>
          <w:tab w:val="left" w:pos="1920"/>
          <w:tab w:val="right" w:leader="dot" w:pos="9345"/>
        </w:tabs>
        <w:rPr>
          <w:rFonts w:cs="Times New Roman"/>
          <w:noProof/>
          <w:sz w:val="24"/>
          <w:szCs w:val="24"/>
          <w:lang w:eastAsia="ru-RU"/>
        </w:rPr>
      </w:pPr>
      <w:hyperlink w:anchor="_Toc120865258" w:history="1">
        <w:r w:rsidR="00D93069" w:rsidRPr="00D93069">
          <w:rPr>
            <w:rStyle w:val="Hyperlink"/>
            <w:rFonts w:cs="Times New Roman"/>
            <w:noProof/>
            <w:sz w:val="24"/>
            <w:szCs w:val="24"/>
            <w:lang w:eastAsia="ru-RU"/>
          </w:rPr>
          <w:t>4.2.4.6.3</w:t>
        </w:r>
        <w:r w:rsidR="00D93069" w:rsidRPr="00D93069">
          <w:rPr>
            <w:rFonts w:cs="Times New Roman"/>
            <w:noProof/>
            <w:sz w:val="24"/>
            <w:szCs w:val="24"/>
            <w:lang w:eastAsia="ru-RU"/>
          </w:rPr>
          <w:tab/>
        </w:r>
        <w:r w:rsidR="00D93069" w:rsidRPr="00D93069">
          <w:rPr>
            <w:rStyle w:val="Hyperlink"/>
            <w:rFonts w:cs="Times New Roman"/>
            <w:noProof/>
            <w:sz w:val="24"/>
            <w:szCs w:val="24"/>
            <w:lang w:eastAsia="ru-RU"/>
          </w:rPr>
          <w:t>Колоноскопия</w:t>
        </w:r>
        <w:r w:rsidR="00D93069" w:rsidRPr="00D93069">
          <w:rPr>
            <w:rFonts w:cs="Times New Roman"/>
            <w:noProof/>
            <w:webHidden/>
            <w:sz w:val="24"/>
            <w:szCs w:val="24"/>
          </w:rPr>
          <w:tab/>
        </w:r>
        <w:r w:rsidR="00D93069" w:rsidRPr="00D93069">
          <w:rPr>
            <w:rFonts w:cs="Times New Roman"/>
            <w:noProof/>
            <w:webHidden/>
            <w:sz w:val="24"/>
            <w:szCs w:val="24"/>
          </w:rPr>
          <w:fldChar w:fldCharType="begin"/>
        </w:r>
        <w:r w:rsidR="00D93069" w:rsidRPr="00D93069">
          <w:rPr>
            <w:rFonts w:cs="Times New Roman"/>
            <w:noProof/>
            <w:webHidden/>
            <w:sz w:val="24"/>
            <w:szCs w:val="24"/>
          </w:rPr>
          <w:instrText xml:space="preserve"> PAGEREF _Toc120865258 \h </w:instrText>
        </w:r>
        <w:r w:rsidR="00D93069" w:rsidRPr="00D93069">
          <w:rPr>
            <w:rFonts w:cs="Times New Roman"/>
            <w:noProof/>
            <w:webHidden/>
            <w:sz w:val="24"/>
            <w:szCs w:val="24"/>
          </w:rPr>
        </w:r>
        <w:r w:rsidR="00D93069" w:rsidRPr="00D93069">
          <w:rPr>
            <w:rFonts w:cs="Times New Roman"/>
            <w:noProof/>
            <w:webHidden/>
            <w:sz w:val="24"/>
            <w:szCs w:val="24"/>
          </w:rPr>
          <w:fldChar w:fldCharType="separate"/>
        </w:r>
        <w:r w:rsidR="00F906B6">
          <w:rPr>
            <w:rFonts w:cs="Times New Roman"/>
            <w:noProof/>
            <w:webHidden/>
            <w:sz w:val="24"/>
            <w:szCs w:val="24"/>
          </w:rPr>
          <w:t>99</w:t>
        </w:r>
        <w:r w:rsidR="00D93069" w:rsidRPr="00D93069">
          <w:rPr>
            <w:rFonts w:cs="Times New Roman"/>
            <w:noProof/>
            <w:webHidden/>
            <w:sz w:val="24"/>
            <w:szCs w:val="24"/>
          </w:rPr>
          <w:fldChar w:fldCharType="end"/>
        </w:r>
      </w:hyperlink>
    </w:p>
    <w:p w14:paraId="3A8FADB7" w14:textId="508BA725" w:rsidR="00D93069" w:rsidRPr="00D93069" w:rsidRDefault="00E767EF" w:rsidP="00D93069">
      <w:pPr>
        <w:pStyle w:val="TOC5"/>
        <w:tabs>
          <w:tab w:val="left" w:pos="1920"/>
          <w:tab w:val="right" w:leader="dot" w:pos="9345"/>
        </w:tabs>
        <w:rPr>
          <w:rFonts w:cs="Times New Roman"/>
          <w:noProof/>
          <w:sz w:val="24"/>
          <w:szCs w:val="24"/>
          <w:lang w:eastAsia="ru-RU"/>
        </w:rPr>
      </w:pPr>
      <w:hyperlink w:anchor="_Toc120865259" w:history="1">
        <w:r w:rsidR="00D93069" w:rsidRPr="00D93069">
          <w:rPr>
            <w:rStyle w:val="Hyperlink"/>
            <w:rFonts w:cs="Times New Roman"/>
            <w:noProof/>
            <w:sz w:val="24"/>
            <w:szCs w:val="24"/>
            <w:lang w:eastAsia="ru-RU"/>
          </w:rPr>
          <w:t>4.2.4.6.4</w:t>
        </w:r>
        <w:r w:rsidR="00D93069" w:rsidRPr="00D93069">
          <w:rPr>
            <w:rFonts w:cs="Times New Roman"/>
            <w:noProof/>
            <w:sz w:val="24"/>
            <w:szCs w:val="24"/>
            <w:lang w:eastAsia="ru-RU"/>
          </w:rPr>
          <w:tab/>
        </w:r>
        <w:r w:rsidR="00D93069" w:rsidRPr="00D93069">
          <w:rPr>
            <w:rStyle w:val="Hyperlink"/>
            <w:rFonts w:cs="Times New Roman"/>
            <w:noProof/>
            <w:sz w:val="24"/>
            <w:szCs w:val="24"/>
            <w:lang w:eastAsia="ru-RU"/>
          </w:rPr>
          <w:t>Компьютерная томография (КТ) и магнитно-резонансная томография (МРТ)</w:t>
        </w:r>
        <w:r w:rsidR="00D93069" w:rsidRPr="00D93069">
          <w:rPr>
            <w:rFonts w:cs="Times New Roman"/>
            <w:noProof/>
            <w:webHidden/>
            <w:sz w:val="24"/>
            <w:szCs w:val="24"/>
          </w:rPr>
          <w:tab/>
        </w:r>
        <w:r w:rsidR="00D93069" w:rsidRPr="00D93069">
          <w:rPr>
            <w:rFonts w:cs="Times New Roman"/>
            <w:noProof/>
            <w:webHidden/>
            <w:sz w:val="24"/>
            <w:szCs w:val="24"/>
          </w:rPr>
          <w:fldChar w:fldCharType="begin"/>
        </w:r>
        <w:r w:rsidR="00D93069" w:rsidRPr="00D93069">
          <w:rPr>
            <w:rFonts w:cs="Times New Roman"/>
            <w:noProof/>
            <w:webHidden/>
            <w:sz w:val="24"/>
            <w:szCs w:val="24"/>
          </w:rPr>
          <w:instrText xml:space="preserve"> PAGEREF _Toc120865259 \h </w:instrText>
        </w:r>
        <w:r w:rsidR="00D93069" w:rsidRPr="00D93069">
          <w:rPr>
            <w:rFonts w:cs="Times New Roman"/>
            <w:noProof/>
            <w:webHidden/>
            <w:sz w:val="24"/>
            <w:szCs w:val="24"/>
          </w:rPr>
        </w:r>
        <w:r w:rsidR="00D93069" w:rsidRPr="00D93069">
          <w:rPr>
            <w:rFonts w:cs="Times New Roman"/>
            <w:noProof/>
            <w:webHidden/>
            <w:sz w:val="24"/>
            <w:szCs w:val="24"/>
          </w:rPr>
          <w:fldChar w:fldCharType="separate"/>
        </w:r>
        <w:r w:rsidR="00F906B6">
          <w:rPr>
            <w:rFonts w:cs="Times New Roman"/>
            <w:noProof/>
            <w:webHidden/>
            <w:sz w:val="24"/>
            <w:szCs w:val="24"/>
          </w:rPr>
          <w:t>100</w:t>
        </w:r>
        <w:r w:rsidR="00D93069" w:rsidRPr="00D93069">
          <w:rPr>
            <w:rFonts w:cs="Times New Roman"/>
            <w:noProof/>
            <w:webHidden/>
            <w:sz w:val="24"/>
            <w:szCs w:val="24"/>
          </w:rPr>
          <w:fldChar w:fldCharType="end"/>
        </w:r>
      </w:hyperlink>
    </w:p>
    <w:p w14:paraId="350807A5" w14:textId="4BA986B7" w:rsidR="00D93069" w:rsidRPr="00D93069" w:rsidRDefault="00E767EF" w:rsidP="00D93069">
      <w:pPr>
        <w:pStyle w:val="TOC5"/>
        <w:tabs>
          <w:tab w:val="left" w:pos="1920"/>
          <w:tab w:val="right" w:leader="dot" w:pos="9345"/>
        </w:tabs>
        <w:rPr>
          <w:rFonts w:cs="Times New Roman"/>
          <w:noProof/>
          <w:sz w:val="24"/>
          <w:szCs w:val="24"/>
          <w:lang w:eastAsia="ru-RU"/>
        </w:rPr>
      </w:pPr>
      <w:hyperlink w:anchor="_Toc120865260" w:history="1">
        <w:r w:rsidR="00D93069" w:rsidRPr="00D93069">
          <w:rPr>
            <w:rStyle w:val="Hyperlink"/>
            <w:rFonts w:cs="Times New Roman"/>
            <w:noProof/>
            <w:sz w:val="24"/>
            <w:szCs w:val="24"/>
          </w:rPr>
          <w:t>4.2.4.6.5</w:t>
        </w:r>
        <w:r w:rsidR="00D93069" w:rsidRPr="00D93069">
          <w:rPr>
            <w:rFonts w:cs="Times New Roman"/>
            <w:noProof/>
            <w:sz w:val="24"/>
            <w:szCs w:val="24"/>
            <w:lang w:eastAsia="ru-RU"/>
          </w:rPr>
          <w:tab/>
        </w:r>
        <w:r w:rsidR="00D93069" w:rsidRPr="00D93069">
          <w:rPr>
            <w:rStyle w:val="Hyperlink"/>
            <w:rFonts w:cs="Times New Roman"/>
            <w:noProof/>
            <w:sz w:val="24"/>
            <w:szCs w:val="24"/>
          </w:rPr>
          <w:t>Биопсия первичной опухоли или метастаза</w:t>
        </w:r>
        <w:r w:rsidR="00D93069" w:rsidRPr="00D93069">
          <w:rPr>
            <w:rFonts w:cs="Times New Roman"/>
            <w:noProof/>
            <w:webHidden/>
            <w:sz w:val="24"/>
            <w:szCs w:val="24"/>
          </w:rPr>
          <w:tab/>
        </w:r>
        <w:r w:rsidR="00D93069" w:rsidRPr="00D93069">
          <w:rPr>
            <w:rFonts w:cs="Times New Roman"/>
            <w:noProof/>
            <w:webHidden/>
            <w:sz w:val="24"/>
            <w:szCs w:val="24"/>
          </w:rPr>
          <w:fldChar w:fldCharType="begin"/>
        </w:r>
        <w:r w:rsidR="00D93069" w:rsidRPr="00D93069">
          <w:rPr>
            <w:rFonts w:cs="Times New Roman"/>
            <w:noProof/>
            <w:webHidden/>
            <w:sz w:val="24"/>
            <w:szCs w:val="24"/>
          </w:rPr>
          <w:instrText xml:space="preserve"> PAGEREF _Toc120865260 \h </w:instrText>
        </w:r>
        <w:r w:rsidR="00D93069" w:rsidRPr="00D93069">
          <w:rPr>
            <w:rFonts w:cs="Times New Roman"/>
            <w:noProof/>
            <w:webHidden/>
            <w:sz w:val="24"/>
            <w:szCs w:val="24"/>
          </w:rPr>
        </w:r>
        <w:r w:rsidR="00D93069" w:rsidRPr="00D93069">
          <w:rPr>
            <w:rFonts w:cs="Times New Roman"/>
            <w:noProof/>
            <w:webHidden/>
            <w:sz w:val="24"/>
            <w:szCs w:val="24"/>
          </w:rPr>
          <w:fldChar w:fldCharType="separate"/>
        </w:r>
        <w:r w:rsidR="00F906B6">
          <w:rPr>
            <w:rFonts w:cs="Times New Roman"/>
            <w:noProof/>
            <w:webHidden/>
            <w:sz w:val="24"/>
            <w:szCs w:val="24"/>
          </w:rPr>
          <w:t>102</w:t>
        </w:r>
        <w:r w:rsidR="00D93069" w:rsidRPr="00D93069">
          <w:rPr>
            <w:rFonts w:cs="Times New Roman"/>
            <w:noProof/>
            <w:webHidden/>
            <w:sz w:val="24"/>
            <w:szCs w:val="24"/>
          </w:rPr>
          <w:fldChar w:fldCharType="end"/>
        </w:r>
      </w:hyperlink>
    </w:p>
    <w:p w14:paraId="101A1E56" w14:textId="423CC4C9" w:rsidR="00D93069" w:rsidRPr="00D93069" w:rsidRDefault="00E767EF" w:rsidP="00D93069">
      <w:pPr>
        <w:pStyle w:val="TOC3"/>
        <w:tabs>
          <w:tab w:val="left" w:pos="1200"/>
          <w:tab w:val="right" w:leader="dot" w:pos="9345"/>
        </w:tabs>
        <w:rPr>
          <w:rFonts w:cs="Times New Roman"/>
          <w:noProof/>
          <w:sz w:val="24"/>
          <w:szCs w:val="24"/>
          <w:lang w:eastAsia="ru-RU"/>
        </w:rPr>
      </w:pPr>
      <w:hyperlink w:anchor="_Toc120865261" w:history="1">
        <w:r w:rsidR="00D93069" w:rsidRPr="00D93069">
          <w:rPr>
            <w:rStyle w:val="Hyperlink"/>
            <w:rFonts w:cs="Times New Roman"/>
            <w:noProof/>
            <w:sz w:val="24"/>
            <w:szCs w:val="24"/>
          </w:rPr>
          <w:t>4.2.5</w:t>
        </w:r>
        <w:r w:rsidR="00D93069" w:rsidRPr="00D93069">
          <w:rPr>
            <w:rFonts w:cs="Times New Roman"/>
            <w:noProof/>
            <w:sz w:val="24"/>
            <w:szCs w:val="24"/>
            <w:lang w:eastAsia="ru-RU"/>
          </w:rPr>
          <w:tab/>
        </w:r>
        <w:r w:rsidR="00D93069" w:rsidRPr="00D93069">
          <w:rPr>
            <w:rStyle w:val="Hyperlink"/>
            <w:rFonts w:cs="Times New Roman"/>
            <w:noProof/>
            <w:sz w:val="24"/>
            <w:szCs w:val="24"/>
          </w:rPr>
          <w:t>Содержание визитов</w:t>
        </w:r>
        <w:r w:rsidR="00D93069" w:rsidRPr="00D93069">
          <w:rPr>
            <w:rFonts w:cs="Times New Roman"/>
            <w:noProof/>
            <w:webHidden/>
            <w:sz w:val="24"/>
            <w:szCs w:val="24"/>
          </w:rPr>
          <w:tab/>
        </w:r>
        <w:r w:rsidR="00D93069" w:rsidRPr="00D93069">
          <w:rPr>
            <w:rFonts w:cs="Times New Roman"/>
            <w:noProof/>
            <w:webHidden/>
            <w:sz w:val="24"/>
            <w:szCs w:val="24"/>
          </w:rPr>
          <w:fldChar w:fldCharType="begin"/>
        </w:r>
        <w:r w:rsidR="00D93069" w:rsidRPr="00D93069">
          <w:rPr>
            <w:rFonts w:cs="Times New Roman"/>
            <w:noProof/>
            <w:webHidden/>
            <w:sz w:val="24"/>
            <w:szCs w:val="24"/>
          </w:rPr>
          <w:instrText xml:space="preserve"> PAGEREF _Toc120865261 \h </w:instrText>
        </w:r>
        <w:r w:rsidR="00D93069" w:rsidRPr="00D93069">
          <w:rPr>
            <w:rFonts w:cs="Times New Roman"/>
            <w:noProof/>
            <w:webHidden/>
            <w:sz w:val="24"/>
            <w:szCs w:val="24"/>
          </w:rPr>
        </w:r>
        <w:r w:rsidR="00D93069" w:rsidRPr="00D93069">
          <w:rPr>
            <w:rFonts w:cs="Times New Roman"/>
            <w:noProof/>
            <w:webHidden/>
            <w:sz w:val="24"/>
            <w:szCs w:val="24"/>
          </w:rPr>
          <w:fldChar w:fldCharType="separate"/>
        </w:r>
        <w:r w:rsidR="00F906B6">
          <w:rPr>
            <w:rFonts w:cs="Times New Roman"/>
            <w:noProof/>
            <w:webHidden/>
            <w:sz w:val="24"/>
            <w:szCs w:val="24"/>
          </w:rPr>
          <w:t>102</w:t>
        </w:r>
        <w:r w:rsidR="00D93069" w:rsidRPr="00D93069">
          <w:rPr>
            <w:rFonts w:cs="Times New Roman"/>
            <w:noProof/>
            <w:webHidden/>
            <w:sz w:val="24"/>
            <w:szCs w:val="24"/>
          </w:rPr>
          <w:fldChar w:fldCharType="end"/>
        </w:r>
      </w:hyperlink>
    </w:p>
    <w:p w14:paraId="550A711A" w14:textId="71CEC858" w:rsidR="00D93069" w:rsidRPr="00D93069" w:rsidRDefault="00E767EF" w:rsidP="00D93069">
      <w:pPr>
        <w:pStyle w:val="TOC2"/>
        <w:rPr>
          <w:rFonts w:cs="Times New Roman"/>
          <w:b w:val="0"/>
          <w:bCs w:val="0"/>
          <w:noProof/>
          <w:sz w:val="24"/>
          <w:szCs w:val="24"/>
          <w:lang w:eastAsia="ru-RU"/>
        </w:rPr>
      </w:pPr>
      <w:hyperlink w:anchor="_Toc120865262" w:history="1">
        <w:r w:rsidR="00D93069" w:rsidRPr="00D93069">
          <w:rPr>
            <w:rStyle w:val="Hyperlink"/>
            <w:rFonts w:cs="Times New Roman"/>
            <w:b w:val="0"/>
            <w:noProof/>
            <w:sz w:val="24"/>
            <w:szCs w:val="24"/>
          </w:rPr>
          <w:t>4.3</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Меры, направленные на минимизацию субъективности</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_Toc120865262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114</w:t>
        </w:r>
        <w:r w:rsidR="00D93069" w:rsidRPr="00D93069">
          <w:rPr>
            <w:rFonts w:cs="Times New Roman"/>
            <w:b w:val="0"/>
            <w:noProof/>
            <w:webHidden/>
            <w:sz w:val="24"/>
            <w:szCs w:val="24"/>
          </w:rPr>
          <w:fldChar w:fldCharType="end"/>
        </w:r>
      </w:hyperlink>
    </w:p>
    <w:p w14:paraId="0CA1E491" w14:textId="7376CD46" w:rsidR="00D93069" w:rsidRPr="00D93069" w:rsidRDefault="00E767EF" w:rsidP="00D93069">
      <w:pPr>
        <w:pStyle w:val="TOC2"/>
        <w:rPr>
          <w:rFonts w:cs="Times New Roman"/>
          <w:b w:val="0"/>
          <w:bCs w:val="0"/>
          <w:noProof/>
          <w:sz w:val="24"/>
          <w:szCs w:val="24"/>
          <w:lang w:eastAsia="ru-RU"/>
        </w:rPr>
      </w:pPr>
      <w:hyperlink w:anchor="_Toc120865263" w:history="1">
        <w:r w:rsidR="00D93069" w:rsidRPr="00D93069">
          <w:rPr>
            <w:rStyle w:val="Hyperlink"/>
            <w:rFonts w:cs="Times New Roman"/>
            <w:b w:val="0"/>
            <w:noProof/>
            <w:sz w:val="24"/>
            <w:szCs w:val="24"/>
          </w:rPr>
          <w:t>4.4</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Схема применения исследуемых препаратов и сопутствующих химиотерапевтических препаратов</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_Toc120865263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114</w:t>
        </w:r>
        <w:r w:rsidR="00D93069" w:rsidRPr="00D93069">
          <w:rPr>
            <w:rFonts w:cs="Times New Roman"/>
            <w:b w:val="0"/>
            <w:noProof/>
            <w:webHidden/>
            <w:sz w:val="24"/>
            <w:szCs w:val="24"/>
          </w:rPr>
          <w:fldChar w:fldCharType="end"/>
        </w:r>
      </w:hyperlink>
    </w:p>
    <w:p w14:paraId="39CA344A" w14:textId="0ED3C0E9" w:rsidR="00D93069" w:rsidRPr="00D93069" w:rsidRDefault="00E767EF" w:rsidP="00D93069">
      <w:pPr>
        <w:pStyle w:val="TOC2"/>
        <w:rPr>
          <w:rFonts w:cs="Times New Roman"/>
          <w:b w:val="0"/>
          <w:bCs w:val="0"/>
          <w:noProof/>
          <w:sz w:val="24"/>
          <w:szCs w:val="24"/>
          <w:lang w:eastAsia="ru-RU"/>
        </w:rPr>
      </w:pPr>
      <w:hyperlink w:anchor="_Toc120865264" w:history="1">
        <w:r w:rsidR="00D93069" w:rsidRPr="00D93069">
          <w:rPr>
            <w:rStyle w:val="Hyperlink"/>
            <w:rFonts w:cs="Times New Roman"/>
            <w:b w:val="0"/>
            <w:noProof/>
            <w:sz w:val="24"/>
            <w:szCs w:val="24"/>
          </w:rPr>
          <w:t>4.5</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Лекарственная форма, упаковка и маркировка препаратов, используемых в исследовании</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_Toc120865264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115</w:t>
        </w:r>
        <w:r w:rsidR="00D93069" w:rsidRPr="00D93069">
          <w:rPr>
            <w:rFonts w:cs="Times New Roman"/>
            <w:b w:val="0"/>
            <w:noProof/>
            <w:webHidden/>
            <w:sz w:val="24"/>
            <w:szCs w:val="24"/>
          </w:rPr>
          <w:fldChar w:fldCharType="end"/>
        </w:r>
      </w:hyperlink>
    </w:p>
    <w:p w14:paraId="1D44DBC4" w14:textId="5C83AA2C" w:rsidR="00D93069" w:rsidRPr="00D93069" w:rsidRDefault="00E767EF" w:rsidP="00D93069">
      <w:pPr>
        <w:pStyle w:val="TOC2"/>
        <w:rPr>
          <w:rFonts w:cs="Times New Roman"/>
          <w:b w:val="0"/>
          <w:bCs w:val="0"/>
          <w:noProof/>
          <w:sz w:val="24"/>
          <w:szCs w:val="24"/>
          <w:lang w:eastAsia="ru-RU"/>
        </w:rPr>
      </w:pPr>
      <w:hyperlink w:anchor="_Toc120865265" w:history="1">
        <w:r w:rsidR="00D93069" w:rsidRPr="00D93069">
          <w:rPr>
            <w:rStyle w:val="Hyperlink"/>
            <w:rFonts w:cs="Times New Roman"/>
            <w:b w:val="0"/>
            <w:noProof/>
            <w:sz w:val="24"/>
            <w:szCs w:val="24"/>
          </w:rPr>
          <w:t>4.6</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Продолжительность участия пациентов в исследовании</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_Toc120865265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116</w:t>
        </w:r>
        <w:r w:rsidR="00D93069" w:rsidRPr="00D93069">
          <w:rPr>
            <w:rFonts w:cs="Times New Roman"/>
            <w:b w:val="0"/>
            <w:noProof/>
            <w:webHidden/>
            <w:sz w:val="24"/>
            <w:szCs w:val="24"/>
          </w:rPr>
          <w:fldChar w:fldCharType="end"/>
        </w:r>
      </w:hyperlink>
    </w:p>
    <w:p w14:paraId="75AFC2B8" w14:textId="12C44238" w:rsidR="00D93069" w:rsidRPr="00D93069" w:rsidRDefault="00E767EF" w:rsidP="00D93069">
      <w:pPr>
        <w:pStyle w:val="TOC2"/>
        <w:rPr>
          <w:rFonts w:cs="Times New Roman"/>
          <w:b w:val="0"/>
          <w:bCs w:val="0"/>
          <w:noProof/>
          <w:sz w:val="24"/>
          <w:szCs w:val="24"/>
          <w:lang w:eastAsia="ru-RU"/>
        </w:rPr>
      </w:pPr>
      <w:hyperlink w:anchor="_Toc120865266" w:history="1">
        <w:r w:rsidR="00D93069" w:rsidRPr="00D93069">
          <w:rPr>
            <w:rStyle w:val="Hyperlink"/>
            <w:rFonts w:cs="Times New Roman"/>
            <w:b w:val="0"/>
            <w:noProof/>
            <w:sz w:val="24"/>
            <w:szCs w:val="24"/>
          </w:rPr>
          <w:t>4.7</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Правила остановки частей клинического исследования и (или) клинического исследования в целом</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_Toc120865266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116</w:t>
        </w:r>
        <w:r w:rsidR="00D93069" w:rsidRPr="00D93069">
          <w:rPr>
            <w:rFonts w:cs="Times New Roman"/>
            <w:b w:val="0"/>
            <w:noProof/>
            <w:webHidden/>
            <w:sz w:val="24"/>
            <w:szCs w:val="24"/>
          </w:rPr>
          <w:fldChar w:fldCharType="end"/>
        </w:r>
      </w:hyperlink>
    </w:p>
    <w:p w14:paraId="72CE08D9" w14:textId="57FE245C" w:rsidR="00D93069" w:rsidRPr="00D93069" w:rsidRDefault="00E767EF" w:rsidP="00D93069">
      <w:pPr>
        <w:pStyle w:val="TOC2"/>
        <w:rPr>
          <w:rFonts w:cs="Times New Roman"/>
          <w:b w:val="0"/>
          <w:bCs w:val="0"/>
          <w:noProof/>
          <w:sz w:val="24"/>
          <w:szCs w:val="24"/>
          <w:lang w:eastAsia="ru-RU"/>
        </w:rPr>
      </w:pPr>
      <w:hyperlink w:anchor="_Toc120865267" w:history="1">
        <w:r w:rsidR="00D93069" w:rsidRPr="00D93069">
          <w:rPr>
            <w:rStyle w:val="Hyperlink"/>
            <w:rFonts w:cs="Times New Roman"/>
            <w:b w:val="0"/>
            <w:noProof/>
            <w:sz w:val="24"/>
            <w:szCs w:val="24"/>
          </w:rPr>
          <w:t>4.8</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Процедуры учета исследуемых лекарственных препаратов</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_Toc120865267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117</w:t>
        </w:r>
        <w:r w:rsidR="00D93069" w:rsidRPr="00D93069">
          <w:rPr>
            <w:rFonts w:cs="Times New Roman"/>
            <w:b w:val="0"/>
            <w:noProof/>
            <w:webHidden/>
            <w:sz w:val="24"/>
            <w:szCs w:val="24"/>
          </w:rPr>
          <w:fldChar w:fldCharType="end"/>
        </w:r>
      </w:hyperlink>
    </w:p>
    <w:p w14:paraId="65365E59" w14:textId="5FDD5BCC" w:rsidR="00D93069" w:rsidRPr="00D93069" w:rsidRDefault="00E767EF" w:rsidP="00D93069">
      <w:pPr>
        <w:pStyle w:val="TOC2"/>
        <w:rPr>
          <w:rFonts w:cs="Times New Roman"/>
          <w:b w:val="0"/>
          <w:bCs w:val="0"/>
          <w:noProof/>
          <w:sz w:val="24"/>
          <w:szCs w:val="24"/>
          <w:lang w:eastAsia="ru-RU"/>
        </w:rPr>
      </w:pPr>
      <w:hyperlink w:anchor="_Toc120865268" w:history="1">
        <w:r w:rsidR="00D93069" w:rsidRPr="00D93069">
          <w:rPr>
            <w:rStyle w:val="Hyperlink"/>
            <w:rFonts w:cs="Times New Roman"/>
            <w:b w:val="0"/>
            <w:noProof/>
            <w:sz w:val="24"/>
            <w:szCs w:val="24"/>
          </w:rPr>
          <w:t>4.9</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Хранение рандомизационных кодов и процедуры их раскрытия</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_Toc120865268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117</w:t>
        </w:r>
        <w:r w:rsidR="00D93069" w:rsidRPr="00D93069">
          <w:rPr>
            <w:rFonts w:cs="Times New Roman"/>
            <w:b w:val="0"/>
            <w:noProof/>
            <w:webHidden/>
            <w:sz w:val="24"/>
            <w:szCs w:val="24"/>
          </w:rPr>
          <w:fldChar w:fldCharType="end"/>
        </w:r>
      </w:hyperlink>
    </w:p>
    <w:p w14:paraId="71CE5D5D" w14:textId="1EB34716" w:rsidR="00D93069" w:rsidRPr="00D93069" w:rsidRDefault="00E767EF" w:rsidP="00D93069">
      <w:pPr>
        <w:pStyle w:val="TOC2"/>
        <w:rPr>
          <w:rFonts w:cs="Times New Roman"/>
          <w:b w:val="0"/>
          <w:bCs w:val="0"/>
          <w:noProof/>
          <w:sz w:val="24"/>
          <w:szCs w:val="24"/>
          <w:lang w:eastAsia="ru-RU"/>
        </w:rPr>
      </w:pPr>
      <w:hyperlink w:anchor="_Toc120865269" w:history="1">
        <w:r w:rsidR="00D93069" w:rsidRPr="00D93069">
          <w:rPr>
            <w:rStyle w:val="Hyperlink"/>
            <w:rFonts w:cs="Times New Roman"/>
            <w:b w:val="0"/>
            <w:noProof/>
            <w:sz w:val="24"/>
            <w:szCs w:val="24"/>
          </w:rPr>
          <w:t>4.10</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Перечень данных, регистрируемых в индивидуальной регистрационной карте (без предварительной записи в письменном или электронном виде) и рассматриваемых в качестве первичных данных</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_Toc120865269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118</w:t>
        </w:r>
        <w:r w:rsidR="00D93069" w:rsidRPr="00D93069">
          <w:rPr>
            <w:rFonts w:cs="Times New Roman"/>
            <w:b w:val="0"/>
            <w:noProof/>
            <w:webHidden/>
            <w:sz w:val="24"/>
            <w:szCs w:val="24"/>
          </w:rPr>
          <w:fldChar w:fldCharType="end"/>
        </w:r>
      </w:hyperlink>
    </w:p>
    <w:p w14:paraId="14E09B3E" w14:textId="25066414" w:rsidR="00D93069" w:rsidRPr="00D93069" w:rsidRDefault="00E767EF" w:rsidP="00D93069">
      <w:pPr>
        <w:pStyle w:val="TOC1"/>
        <w:rPr>
          <w:rFonts w:cs="Times New Roman"/>
          <w:b w:val="0"/>
          <w:bCs w:val="0"/>
          <w:noProof/>
          <w:lang w:eastAsia="ru-RU"/>
        </w:rPr>
      </w:pPr>
      <w:hyperlink w:anchor="_Toc120865270" w:history="1">
        <w:r w:rsidR="00D93069" w:rsidRPr="00D93069">
          <w:rPr>
            <w:rStyle w:val="Hyperlink"/>
            <w:rFonts w:cs="Times New Roman"/>
            <w:b w:val="0"/>
            <w:noProof/>
          </w:rPr>
          <w:t>5</w:t>
        </w:r>
        <w:r w:rsidR="00D93069" w:rsidRPr="00D93069">
          <w:rPr>
            <w:rFonts w:cs="Times New Roman"/>
            <w:b w:val="0"/>
            <w:bCs w:val="0"/>
            <w:noProof/>
            <w:lang w:eastAsia="ru-RU"/>
          </w:rPr>
          <w:tab/>
        </w:r>
        <w:r w:rsidR="00D93069" w:rsidRPr="00D93069">
          <w:rPr>
            <w:rStyle w:val="Hyperlink"/>
            <w:rFonts w:cs="Times New Roman"/>
            <w:b w:val="0"/>
            <w:noProof/>
          </w:rPr>
          <w:t>Критерии включения, невключения и исключения участников</w:t>
        </w:r>
        <w:r w:rsidR="00D93069" w:rsidRPr="00D93069">
          <w:rPr>
            <w:rFonts w:cs="Times New Roman"/>
            <w:b w:val="0"/>
            <w:noProof/>
            <w:webHidden/>
          </w:rPr>
          <w:tab/>
        </w:r>
        <w:r w:rsidR="00D93069" w:rsidRPr="00D93069">
          <w:rPr>
            <w:rFonts w:cs="Times New Roman"/>
            <w:b w:val="0"/>
            <w:noProof/>
            <w:webHidden/>
          </w:rPr>
          <w:fldChar w:fldCharType="begin"/>
        </w:r>
        <w:r w:rsidR="00D93069" w:rsidRPr="00D93069">
          <w:rPr>
            <w:rFonts w:cs="Times New Roman"/>
            <w:b w:val="0"/>
            <w:noProof/>
            <w:webHidden/>
          </w:rPr>
          <w:instrText xml:space="preserve"> PAGEREF _Toc120865270 \h </w:instrText>
        </w:r>
        <w:r w:rsidR="00D93069" w:rsidRPr="00D93069">
          <w:rPr>
            <w:rFonts w:cs="Times New Roman"/>
            <w:b w:val="0"/>
            <w:noProof/>
            <w:webHidden/>
          </w:rPr>
        </w:r>
        <w:r w:rsidR="00D93069" w:rsidRPr="00D93069">
          <w:rPr>
            <w:rFonts w:cs="Times New Roman"/>
            <w:b w:val="0"/>
            <w:noProof/>
            <w:webHidden/>
          </w:rPr>
          <w:fldChar w:fldCharType="separate"/>
        </w:r>
        <w:r w:rsidR="00F906B6">
          <w:rPr>
            <w:rFonts w:cs="Times New Roman"/>
            <w:b w:val="0"/>
            <w:noProof/>
            <w:webHidden/>
          </w:rPr>
          <w:t>119</w:t>
        </w:r>
        <w:r w:rsidR="00D93069" w:rsidRPr="00D93069">
          <w:rPr>
            <w:rFonts w:cs="Times New Roman"/>
            <w:b w:val="0"/>
            <w:noProof/>
            <w:webHidden/>
          </w:rPr>
          <w:fldChar w:fldCharType="end"/>
        </w:r>
      </w:hyperlink>
    </w:p>
    <w:p w14:paraId="07B06714" w14:textId="46F12BF1" w:rsidR="00D93069" w:rsidRPr="00D93069" w:rsidRDefault="00E767EF" w:rsidP="00D93069">
      <w:pPr>
        <w:pStyle w:val="TOC2"/>
        <w:rPr>
          <w:rFonts w:cs="Times New Roman"/>
          <w:b w:val="0"/>
          <w:bCs w:val="0"/>
          <w:noProof/>
          <w:sz w:val="24"/>
          <w:szCs w:val="24"/>
          <w:lang w:eastAsia="ru-RU"/>
        </w:rPr>
      </w:pPr>
      <w:hyperlink w:anchor="_Toc120865271" w:history="1">
        <w:r w:rsidR="00D93069" w:rsidRPr="00D93069">
          <w:rPr>
            <w:rStyle w:val="Hyperlink"/>
            <w:rFonts w:cs="Times New Roman"/>
            <w:b w:val="0"/>
            <w:noProof/>
            <w:sz w:val="24"/>
            <w:szCs w:val="24"/>
          </w:rPr>
          <w:t>5.1</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Критерии включения</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_Toc120865271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119</w:t>
        </w:r>
        <w:r w:rsidR="00D93069" w:rsidRPr="00D93069">
          <w:rPr>
            <w:rFonts w:cs="Times New Roman"/>
            <w:b w:val="0"/>
            <w:noProof/>
            <w:webHidden/>
            <w:sz w:val="24"/>
            <w:szCs w:val="24"/>
          </w:rPr>
          <w:fldChar w:fldCharType="end"/>
        </w:r>
      </w:hyperlink>
    </w:p>
    <w:p w14:paraId="156F1DAB" w14:textId="4C0453FE" w:rsidR="00D93069" w:rsidRPr="00D93069" w:rsidRDefault="00E767EF" w:rsidP="00D93069">
      <w:pPr>
        <w:pStyle w:val="TOC2"/>
        <w:rPr>
          <w:rFonts w:cs="Times New Roman"/>
          <w:b w:val="0"/>
          <w:bCs w:val="0"/>
          <w:noProof/>
          <w:sz w:val="24"/>
          <w:szCs w:val="24"/>
          <w:lang w:eastAsia="ru-RU"/>
        </w:rPr>
      </w:pPr>
      <w:hyperlink w:anchor="_Toc120865272" w:history="1">
        <w:r w:rsidR="00D93069" w:rsidRPr="00D93069">
          <w:rPr>
            <w:rStyle w:val="Hyperlink"/>
            <w:rFonts w:cs="Times New Roman"/>
            <w:b w:val="0"/>
            <w:noProof/>
            <w:sz w:val="24"/>
            <w:szCs w:val="24"/>
          </w:rPr>
          <w:t>5.2</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Критерии невключения участников</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_Toc120865272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119</w:t>
        </w:r>
        <w:r w:rsidR="00D93069" w:rsidRPr="00D93069">
          <w:rPr>
            <w:rFonts w:cs="Times New Roman"/>
            <w:b w:val="0"/>
            <w:noProof/>
            <w:webHidden/>
            <w:sz w:val="24"/>
            <w:szCs w:val="24"/>
          </w:rPr>
          <w:fldChar w:fldCharType="end"/>
        </w:r>
      </w:hyperlink>
    </w:p>
    <w:p w14:paraId="62D1F3D3" w14:textId="1A80154C" w:rsidR="00D93069" w:rsidRPr="00D93069" w:rsidRDefault="00E767EF" w:rsidP="00D93069">
      <w:pPr>
        <w:pStyle w:val="TOC2"/>
        <w:rPr>
          <w:rFonts w:cs="Times New Roman"/>
          <w:b w:val="0"/>
          <w:bCs w:val="0"/>
          <w:noProof/>
          <w:sz w:val="24"/>
          <w:szCs w:val="24"/>
          <w:lang w:eastAsia="ru-RU"/>
        </w:rPr>
      </w:pPr>
      <w:hyperlink w:anchor="_Toc120865273" w:history="1">
        <w:r w:rsidR="00D93069" w:rsidRPr="00D93069">
          <w:rPr>
            <w:rStyle w:val="Hyperlink"/>
            <w:rFonts w:cs="Times New Roman"/>
            <w:b w:val="0"/>
            <w:noProof/>
            <w:sz w:val="24"/>
            <w:szCs w:val="24"/>
          </w:rPr>
          <w:t>5.3</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Критерии прекращения терапии и исключения участников</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_Toc120865273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121</w:t>
        </w:r>
        <w:r w:rsidR="00D93069" w:rsidRPr="00D93069">
          <w:rPr>
            <w:rFonts w:cs="Times New Roman"/>
            <w:b w:val="0"/>
            <w:noProof/>
            <w:webHidden/>
            <w:sz w:val="24"/>
            <w:szCs w:val="24"/>
          </w:rPr>
          <w:fldChar w:fldCharType="end"/>
        </w:r>
      </w:hyperlink>
    </w:p>
    <w:p w14:paraId="2B83C32A" w14:textId="2343154E" w:rsidR="00D93069" w:rsidRPr="00D93069" w:rsidRDefault="00E767EF" w:rsidP="00D93069">
      <w:pPr>
        <w:pStyle w:val="TOC1"/>
        <w:rPr>
          <w:rFonts w:cs="Times New Roman"/>
          <w:b w:val="0"/>
          <w:bCs w:val="0"/>
          <w:noProof/>
          <w:lang w:eastAsia="ru-RU"/>
        </w:rPr>
      </w:pPr>
      <w:hyperlink w:anchor="_Toc120865274" w:history="1">
        <w:r w:rsidR="00D93069" w:rsidRPr="00D93069">
          <w:rPr>
            <w:rStyle w:val="Hyperlink"/>
            <w:rFonts w:cs="Times New Roman"/>
            <w:b w:val="0"/>
            <w:noProof/>
          </w:rPr>
          <w:t>6</w:t>
        </w:r>
        <w:r w:rsidR="00D93069" w:rsidRPr="00D93069">
          <w:rPr>
            <w:rFonts w:cs="Times New Roman"/>
            <w:b w:val="0"/>
            <w:bCs w:val="0"/>
            <w:noProof/>
            <w:lang w:eastAsia="ru-RU"/>
          </w:rPr>
          <w:tab/>
        </w:r>
        <w:r w:rsidR="00D93069" w:rsidRPr="00D93069">
          <w:rPr>
            <w:rStyle w:val="Hyperlink"/>
            <w:rFonts w:cs="Times New Roman"/>
            <w:b w:val="0"/>
            <w:noProof/>
          </w:rPr>
          <w:t>Сведения об используемых в клиническом исследовании лекарственных препаратах</w:t>
        </w:r>
        <w:r w:rsidR="00D93069" w:rsidRPr="00D93069">
          <w:rPr>
            <w:rFonts w:cs="Times New Roman"/>
            <w:b w:val="0"/>
            <w:noProof/>
            <w:webHidden/>
          </w:rPr>
          <w:tab/>
        </w:r>
        <w:r w:rsidR="00D93069" w:rsidRPr="00D93069">
          <w:rPr>
            <w:rFonts w:cs="Times New Roman"/>
            <w:b w:val="0"/>
            <w:noProof/>
            <w:webHidden/>
          </w:rPr>
          <w:fldChar w:fldCharType="begin"/>
        </w:r>
        <w:r w:rsidR="00D93069" w:rsidRPr="00D93069">
          <w:rPr>
            <w:rFonts w:cs="Times New Roman"/>
            <w:b w:val="0"/>
            <w:noProof/>
            <w:webHidden/>
          </w:rPr>
          <w:instrText xml:space="preserve"> PAGEREF _Toc120865274 \h </w:instrText>
        </w:r>
        <w:r w:rsidR="00D93069" w:rsidRPr="00D93069">
          <w:rPr>
            <w:rFonts w:cs="Times New Roman"/>
            <w:b w:val="0"/>
            <w:noProof/>
            <w:webHidden/>
          </w:rPr>
        </w:r>
        <w:r w:rsidR="00D93069" w:rsidRPr="00D93069">
          <w:rPr>
            <w:rFonts w:cs="Times New Roman"/>
            <w:b w:val="0"/>
            <w:noProof/>
            <w:webHidden/>
          </w:rPr>
          <w:fldChar w:fldCharType="separate"/>
        </w:r>
        <w:r w:rsidR="00F906B6">
          <w:rPr>
            <w:rFonts w:cs="Times New Roman"/>
            <w:b w:val="0"/>
            <w:noProof/>
            <w:webHidden/>
          </w:rPr>
          <w:t>123</w:t>
        </w:r>
        <w:r w:rsidR="00D93069" w:rsidRPr="00D93069">
          <w:rPr>
            <w:rFonts w:cs="Times New Roman"/>
            <w:b w:val="0"/>
            <w:noProof/>
            <w:webHidden/>
          </w:rPr>
          <w:fldChar w:fldCharType="end"/>
        </w:r>
      </w:hyperlink>
    </w:p>
    <w:p w14:paraId="78E2F01B" w14:textId="558654F0" w:rsidR="00D93069" w:rsidRPr="00D93069" w:rsidRDefault="00E767EF" w:rsidP="00D93069">
      <w:pPr>
        <w:pStyle w:val="TOC2"/>
        <w:rPr>
          <w:rFonts w:cs="Times New Roman"/>
          <w:b w:val="0"/>
          <w:bCs w:val="0"/>
          <w:noProof/>
          <w:sz w:val="24"/>
          <w:szCs w:val="24"/>
          <w:lang w:eastAsia="ru-RU"/>
        </w:rPr>
      </w:pPr>
      <w:hyperlink w:anchor="_Toc120865275" w:history="1">
        <w:r w:rsidR="00D93069" w:rsidRPr="00D93069">
          <w:rPr>
            <w:rStyle w:val="Hyperlink"/>
            <w:rFonts w:cs="Times New Roman"/>
            <w:b w:val="0"/>
            <w:noProof/>
            <w:sz w:val="24"/>
            <w:szCs w:val="24"/>
          </w:rPr>
          <w:t>6.1</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Препараты, используемые в исследовании</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_Toc120865275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123</w:t>
        </w:r>
        <w:r w:rsidR="00D93069" w:rsidRPr="00D93069">
          <w:rPr>
            <w:rFonts w:cs="Times New Roman"/>
            <w:b w:val="0"/>
            <w:noProof/>
            <w:webHidden/>
            <w:sz w:val="24"/>
            <w:szCs w:val="24"/>
          </w:rPr>
          <w:fldChar w:fldCharType="end"/>
        </w:r>
      </w:hyperlink>
    </w:p>
    <w:p w14:paraId="35223172" w14:textId="19C37102" w:rsidR="00D93069" w:rsidRPr="00D93069" w:rsidRDefault="00E767EF" w:rsidP="00D93069">
      <w:pPr>
        <w:pStyle w:val="TOC3"/>
        <w:tabs>
          <w:tab w:val="left" w:pos="1200"/>
          <w:tab w:val="right" w:leader="dot" w:pos="9345"/>
        </w:tabs>
        <w:rPr>
          <w:rFonts w:cs="Times New Roman"/>
          <w:noProof/>
          <w:sz w:val="24"/>
          <w:szCs w:val="24"/>
          <w:lang w:eastAsia="ru-RU"/>
        </w:rPr>
      </w:pPr>
      <w:hyperlink w:anchor="_Toc120865276" w:history="1">
        <w:r w:rsidR="00D93069" w:rsidRPr="00D93069">
          <w:rPr>
            <w:rStyle w:val="Hyperlink"/>
            <w:rFonts w:cs="Times New Roman"/>
            <w:noProof/>
            <w:sz w:val="24"/>
            <w:szCs w:val="24"/>
          </w:rPr>
          <w:t>6.1.1</w:t>
        </w:r>
        <w:r w:rsidR="00D93069" w:rsidRPr="00D93069">
          <w:rPr>
            <w:rFonts w:cs="Times New Roman"/>
            <w:noProof/>
            <w:sz w:val="24"/>
            <w:szCs w:val="24"/>
            <w:lang w:eastAsia="ru-RU"/>
          </w:rPr>
          <w:tab/>
        </w:r>
        <w:r w:rsidR="00D93069" w:rsidRPr="00D93069">
          <w:rPr>
            <w:rStyle w:val="Hyperlink"/>
            <w:rFonts w:cs="Times New Roman"/>
            <w:noProof/>
            <w:sz w:val="24"/>
            <w:szCs w:val="24"/>
          </w:rPr>
          <w:t>Исследуемый препарат</w:t>
        </w:r>
        <w:r w:rsidR="00D93069" w:rsidRPr="00D93069">
          <w:rPr>
            <w:rFonts w:cs="Times New Roman"/>
            <w:noProof/>
            <w:webHidden/>
            <w:sz w:val="24"/>
            <w:szCs w:val="24"/>
          </w:rPr>
          <w:tab/>
        </w:r>
        <w:r w:rsidR="00D93069" w:rsidRPr="00D93069">
          <w:rPr>
            <w:rFonts w:cs="Times New Roman"/>
            <w:noProof/>
            <w:webHidden/>
            <w:sz w:val="24"/>
            <w:szCs w:val="24"/>
          </w:rPr>
          <w:fldChar w:fldCharType="begin"/>
        </w:r>
        <w:r w:rsidR="00D93069" w:rsidRPr="00D93069">
          <w:rPr>
            <w:rFonts w:cs="Times New Roman"/>
            <w:noProof/>
            <w:webHidden/>
            <w:sz w:val="24"/>
            <w:szCs w:val="24"/>
          </w:rPr>
          <w:instrText xml:space="preserve"> PAGEREF _Toc120865276 \h </w:instrText>
        </w:r>
        <w:r w:rsidR="00D93069" w:rsidRPr="00D93069">
          <w:rPr>
            <w:rFonts w:cs="Times New Roman"/>
            <w:noProof/>
            <w:webHidden/>
            <w:sz w:val="24"/>
            <w:szCs w:val="24"/>
          </w:rPr>
        </w:r>
        <w:r w:rsidR="00D93069" w:rsidRPr="00D93069">
          <w:rPr>
            <w:rFonts w:cs="Times New Roman"/>
            <w:noProof/>
            <w:webHidden/>
            <w:sz w:val="24"/>
            <w:szCs w:val="24"/>
          </w:rPr>
          <w:fldChar w:fldCharType="separate"/>
        </w:r>
        <w:r w:rsidR="00F906B6">
          <w:rPr>
            <w:rFonts w:cs="Times New Roman"/>
            <w:noProof/>
            <w:webHidden/>
            <w:sz w:val="24"/>
            <w:szCs w:val="24"/>
          </w:rPr>
          <w:t>123</w:t>
        </w:r>
        <w:r w:rsidR="00D93069" w:rsidRPr="00D93069">
          <w:rPr>
            <w:rFonts w:cs="Times New Roman"/>
            <w:noProof/>
            <w:webHidden/>
            <w:sz w:val="24"/>
            <w:szCs w:val="24"/>
          </w:rPr>
          <w:fldChar w:fldCharType="end"/>
        </w:r>
      </w:hyperlink>
    </w:p>
    <w:p w14:paraId="7BCFC325" w14:textId="7BDB72DA" w:rsidR="00D93069" w:rsidRPr="00D93069" w:rsidRDefault="00E767EF" w:rsidP="00D93069">
      <w:pPr>
        <w:pStyle w:val="TOC3"/>
        <w:tabs>
          <w:tab w:val="left" w:pos="1200"/>
          <w:tab w:val="right" w:leader="dot" w:pos="9345"/>
        </w:tabs>
        <w:rPr>
          <w:rFonts w:cs="Times New Roman"/>
          <w:noProof/>
          <w:sz w:val="24"/>
          <w:szCs w:val="24"/>
          <w:lang w:eastAsia="ru-RU"/>
        </w:rPr>
      </w:pPr>
      <w:hyperlink w:anchor="_Toc120865277" w:history="1">
        <w:r w:rsidR="00D93069" w:rsidRPr="00D93069">
          <w:rPr>
            <w:rStyle w:val="Hyperlink"/>
            <w:rFonts w:cs="Times New Roman"/>
            <w:noProof/>
            <w:sz w:val="24"/>
            <w:szCs w:val="24"/>
          </w:rPr>
          <w:t>6.1.2</w:t>
        </w:r>
        <w:r w:rsidR="00D93069" w:rsidRPr="00D93069">
          <w:rPr>
            <w:rFonts w:cs="Times New Roman"/>
            <w:noProof/>
            <w:sz w:val="24"/>
            <w:szCs w:val="24"/>
            <w:lang w:eastAsia="ru-RU"/>
          </w:rPr>
          <w:tab/>
        </w:r>
        <w:r w:rsidR="00D93069" w:rsidRPr="00D93069">
          <w:rPr>
            <w:rStyle w:val="Hyperlink"/>
            <w:rFonts w:cs="Times New Roman"/>
            <w:noProof/>
            <w:sz w:val="24"/>
            <w:szCs w:val="24"/>
          </w:rPr>
          <w:t>Препарат сравнения</w:t>
        </w:r>
        <w:r w:rsidR="00D93069" w:rsidRPr="00D93069">
          <w:rPr>
            <w:rFonts w:cs="Times New Roman"/>
            <w:noProof/>
            <w:webHidden/>
            <w:sz w:val="24"/>
            <w:szCs w:val="24"/>
          </w:rPr>
          <w:tab/>
        </w:r>
        <w:r w:rsidR="00D93069" w:rsidRPr="00D93069">
          <w:rPr>
            <w:rFonts w:cs="Times New Roman"/>
            <w:noProof/>
            <w:webHidden/>
            <w:sz w:val="24"/>
            <w:szCs w:val="24"/>
          </w:rPr>
          <w:fldChar w:fldCharType="begin"/>
        </w:r>
        <w:r w:rsidR="00D93069" w:rsidRPr="00D93069">
          <w:rPr>
            <w:rFonts w:cs="Times New Roman"/>
            <w:noProof/>
            <w:webHidden/>
            <w:sz w:val="24"/>
            <w:szCs w:val="24"/>
          </w:rPr>
          <w:instrText xml:space="preserve"> PAGEREF _Toc120865277 \h </w:instrText>
        </w:r>
        <w:r w:rsidR="00D93069" w:rsidRPr="00D93069">
          <w:rPr>
            <w:rFonts w:cs="Times New Roman"/>
            <w:noProof/>
            <w:webHidden/>
            <w:sz w:val="24"/>
            <w:szCs w:val="24"/>
          </w:rPr>
        </w:r>
        <w:r w:rsidR="00D93069" w:rsidRPr="00D93069">
          <w:rPr>
            <w:rFonts w:cs="Times New Roman"/>
            <w:noProof/>
            <w:webHidden/>
            <w:sz w:val="24"/>
            <w:szCs w:val="24"/>
          </w:rPr>
          <w:fldChar w:fldCharType="separate"/>
        </w:r>
        <w:r w:rsidR="00F906B6">
          <w:rPr>
            <w:rFonts w:cs="Times New Roman"/>
            <w:noProof/>
            <w:webHidden/>
            <w:sz w:val="24"/>
            <w:szCs w:val="24"/>
          </w:rPr>
          <w:t>123</w:t>
        </w:r>
        <w:r w:rsidR="00D93069" w:rsidRPr="00D93069">
          <w:rPr>
            <w:rFonts w:cs="Times New Roman"/>
            <w:noProof/>
            <w:webHidden/>
            <w:sz w:val="24"/>
            <w:szCs w:val="24"/>
          </w:rPr>
          <w:fldChar w:fldCharType="end"/>
        </w:r>
      </w:hyperlink>
    </w:p>
    <w:p w14:paraId="6C7E4F63" w14:textId="748476DD" w:rsidR="00D93069" w:rsidRPr="00D93069" w:rsidRDefault="00E767EF" w:rsidP="00D93069">
      <w:pPr>
        <w:pStyle w:val="TOC3"/>
        <w:tabs>
          <w:tab w:val="left" w:pos="1200"/>
          <w:tab w:val="right" w:leader="dot" w:pos="9345"/>
        </w:tabs>
        <w:rPr>
          <w:rFonts w:cs="Times New Roman"/>
          <w:noProof/>
          <w:sz w:val="24"/>
          <w:szCs w:val="24"/>
          <w:lang w:eastAsia="ru-RU"/>
        </w:rPr>
      </w:pPr>
      <w:hyperlink w:anchor="_Toc120865278" w:history="1">
        <w:r w:rsidR="00D93069" w:rsidRPr="00D93069">
          <w:rPr>
            <w:rStyle w:val="Hyperlink"/>
            <w:rFonts w:cs="Times New Roman"/>
            <w:noProof/>
            <w:sz w:val="24"/>
            <w:szCs w:val="24"/>
          </w:rPr>
          <w:t>6.1.3</w:t>
        </w:r>
        <w:r w:rsidR="00D93069" w:rsidRPr="00D93069">
          <w:rPr>
            <w:rFonts w:cs="Times New Roman"/>
            <w:noProof/>
            <w:sz w:val="24"/>
            <w:szCs w:val="24"/>
            <w:lang w:eastAsia="ru-RU"/>
          </w:rPr>
          <w:tab/>
        </w:r>
        <w:r w:rsidR="00D93069" w:rsidRPr="00D93069">
          <w:rPr>
            <w:rStyle w:val="Hyperlink"/>
            <w:rFonts w:cs="Times New Roman"/>
            <w:noProof/>
            <w:sz w:val="24"/>
            <w:szCs w:val="24"/>
          </w:rPr>
          <w:t>Препарат сопутствующей химиотерапии: паклитаксел</w:t>
        </w:r>
        <w:r w:rsidR="00D93069" w:rsidRPr="00D93069">
          <w:rPr>
            <w:rFonts w:cs="Times New Roman"/>
            <w:noProof/>
            <w:webHidden/>
            <w:sz w:val="24"/>
            <w:szCs w:val="24"/>
          </w:rPr>
          <w:tab/>
        </w:r>
        <w:r w:rsidR="00D93069" w:rsidRPr="00D93069">
          <w:rPr>
            <w:rFonts w:cs="Times New Roman"/>
            <w:noProof/>
            <w:webHidden/>
            <w:sz w:val="24"/>
            <w:szCs w:val="24"/>
          </w:rPr>
          <w:fldChar w:fldCharType="begin"/>
        </w:r>
        <w:r w:rsidR="00D93069" w:rsidRPr="00D93069">
          <w:rPr>
            <w:rFonts w:cs="Times New Roman"/>
            <w:noProof/>
            <w:webHidden/>
            <w:sz w:val="24"/>
            <w:szCs w:val="24"/>
          </w:rPr>
          <w:instrText xml:space="preserve"> PAGEREF _Toc120865278 \h </w:instrText>
        </w:r>
        <w:r w:rsidR="00D93069" w:rsidRPr="00D93069">
          <w:rPr>
            <w:rFonts w:cs="Times New Roman"/>
            <w:noProof/>
            <w:webHidden/>
            <w:sz w:val="24"/>
            <w:szCs w:val="24"/>
          </w:rPr>
        </w:r>
        <w:r w:rsidR="00D93069" w:rsidRPr="00D93069">
          <w:rPr>
            <w:rFonts w:cs="Times New Roman"/>
            <w:noProof/>
            <w:webHidden/>
            <w:sz w:val="24"/>
            <w:szCs w:val="24"/>
          </w:rPr>
          <w:fldChar w:fldCharType="separate"/>
        </w:r>
        <w:r w:rsidR="00F906B6">
          <w:rPr>
            <w:rFonts w:cs="Times New Roman"/>
            <w:noProof/>
            <w:webHidden/>
            <w:sz w:val="24"/>
            <w:szCs w:val="24"/>
          </w:rPr>
          <w:t>124</w:t>
        </w:r>
        <w:r w:rsidR="00D93069" w:rsidRPr="00D93069">
          <w:rPr>
            <w:rFonts w:cs="Times New Roman"/>
            <w:noProof/>
            <w:webHidden/>
            <w:sz w:val="24"/>
            <w:szCs w:val="24"/>
          </w:rPr>
          <w:fldChar w:fldCharType="end"/>
        </w:r>
      </w:hyperlink>
    </w:p>
    <w:p w14:paraId="44B86700" w14:textId="3B7232BB" w:rsidR="00D93069" w:rsidRPr="00D93069" w:rsidRDefault="00E767EF" w:rsidP="00D93069">
      <w:pPr>
        <w:pStyle w:val="TOC3"/>
        <w:tabs>
          <w:tab w:val="left" w:pos="1200"/>
          <w:tab w:val="right" w:leader="dot" w:pos="9345"/>
        </w:tabs>
        <w:rPr>
          <w:rFonts w:cs="Times New Roman"/>
          <w:noProof/>
          <w:sz w:val="24"/>
          <w:szCs w:val="24"/>
          <w:lang w:eastAsia="ru-RU"/>
        </w:rPr>
      </w:pPr>
      <w:hyperlink w:anchor="_Toc120865279" w:history="1">
        <w:r w:rsidR="00D93069" w:rsidRPr="00D93069">
          <w:rPr>
            <w:rStyle w:val="Hyperlink"/>
            <w:rFonts w:cs="Times New Roman"/>
            <w:noProof/>
            <w:sz w:val="24"/>
            <w:szCs w:val="24"/>
          </w:rPr>
          <w:t>6.1.4</w:t>
        </w:r>
        <w:r w:rsidR="00D93069" w:rsidRPr="00D93069">
          <w:rPr>
            <w:rFonts w:cs="Times New Roman"/>
            <w:noProof/>
            <w:sz w:val="24"/>
            <w:szCs w:val="24"/>
            <w:lang w:eastAsia="ru-RU"/>
          </w:rPr>
          <w:tab/>
        </w:r>
        <w:r w:rsidR="00D93069" w:rsidRPr="00D93069">
          <w:rPr>
            <w:rStyle w:val="Hyperlink"/>
            <w:rFonts w:cs="Times New Roman"/>
            <w:noProof/>
            <w:sz w:val="24"/>
            <w:szCs w:val="24"/>
          </w:rPr>
          <w:t>Препарат сопутствующей химиотерапии: карбоплатин</w:t>
        </w:r>
        <w:r w:rsidR="00D93069" w:rsidRPr="00D93069">
          <w:rPr>
            <w:rFonts w:cs="Times New Roman"/>
            <w:noProof/>
            <w:webHidden/>
            <w:sz w:val="24"/>
            <w:szCs w:val="24"/>
          </w:rPr>
          <w:tab/>
        </w:r>
        <w:r w:rsidR="00D93069" w:rsidRPr="00D93069">
          <w:rPr>
            <w:rFonts w:cs="Times New Roman"/>
            <w:noProof/>
            <w:webHidden/>
            <w:sz w:val="24"/>
            <w:szCs w:val="24"/>
          </w:rPr>
          <w:fldChar w:fldCharType="begin"/>
        </w:r>
        <w:r w:rsidR="00D93069" w:rsidRPr="00D93069">
          <w:rPr>
            <w:rFonts w:cs="Times New Roman"/>
            <w:noProof/>
            <w:webHidden/>
            <w:sz w:val="24"/>
            <w:szCs w:val="24"/>
          </w:rPr>
          <w:instrText xml:space="preserve"> PAGEREF _Toc120865279 \h </w:instrText>
        </w:r>
        <w:r w:rsidR="00D93069" w:rsidRPr="00D93069">
          <w:rPr>
            <w:rFonts w:cs="Times New Roman"/>
            <w:noProof/>
            <w:webHidden/>
            <w:sz w:val="24"/>
            <w:szCs w:val="24"/>
          </w:rPr>
        </w:r>
        <w:r w:rsidR="00D93069" w:rsidRPr="00D93069">
          <w:rPr>
            <w:rFonts w:cs="Times New Roman"/>
            <w:noProof/>
            <w:webHidden/>
            <w:sz w:val="24"/>
            <w:szCs w:val="24"/>
          </w:rPr>
          <w:fldChar w:fldCharType="separate"/>
        </w:r>
        <w:r w:rsidR="00F906B6">
          <w:rPr>
            <w:rFonts w:cs="Times New Roman"/>
            <w:noProof/>
            <w:webHidden/>
            <w:sz w:val="24"/>
            <w:szCs w:val="24"/>
          </w:rPr>
          <w:t>125</w:t>
        </w:r>
        <w:r w:rsidR="00D93069" w:rsidRPr="00D93069">
          <w:rPr>
            <w:rFonts w:cs="Times New Roman"/>
            <w:noProof/>
            <w:webHidden/>
            <w:sz w:val="24"/>
            <w:szCs w:val="24"/>
          </w:rPr>
          <w:fldChar w:fldCharType="end"/>
        </w:r>
      </w:hyperlink>
    </w:p>
    <w:p w14:paraId="71544356" w14:textId="56758C87" w:rsidR="00D93069" w:rsidRPr="00D93069" w:rsidRDefault="00E767EF" w:rsidP="00D93069">
      <w:pPr>
        <w:pStyle w:val="TOC2"/>
        <w:rPr>
          <w:rFonts w:cs="Times New Roman"/>
          <w:b w:val="0"/>
          <w:bCs w:val="0"/>
          <w:noProof/>
          <w:sz w:val="24"/>
          <w:szCs w:val="24"/>
          <w:lang w:eastAsia="ru-RU"/>
        </w:rPr>
      </w:pPr>
      <w:hyperlink w:anchor="_Toc120865280" w:history="1">
        <w:r w:rsidR="00D93069" w:rsidRPr="00D93069">
          <w:rPr>
            <w:rStyle w:val="Hyperlink"/>
            <w:rFonts w:cs="Times New Roman"/>
            <w:b w:val="0"/>
            <w:noProof/>
            <w:sz w:val="24"/>
            <w:szCs w:val="24"/>
          </w:rPr>
          <w:t>6.2</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Особенности использования препаратов исследования</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_Toc120865280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126</w:t>
        </w:r>
        <w:r w:rsidR="00D93069" w:rsidRPr="00D93069">
          <w:rPr>
            <w:rFonts w:cs="Times New Roman"/>
            <w:b w:val="0"/>
            <w:noProof/>
            <w:webHidden/>
            <w:sz w:val="24"/>
            <w:szCs w:val="24"/>
          </w:rPr>
          <w:fldChar w:fldCharType="end"/>
        </w:r>
      </w:hyperlink>
    </w:p>
    <w:p w14:paraId="48A8405D" w14:textId="1A985D4B" w:rsidR="00D93069" w:rsidRPr="00D93069" w:rsidRDefault="00E767EF" w:rsidP="00D93069">
      <w:pPr>
        <w:pStyle w:val="TOC3"/>
        <w:tabs>
          <w:tab w:val="left" w:pos="1200"/>
          <w:tab w:val="right" w:leader="dot" w:pos="9345"/>
        </w:tabs>
        <w:rPr>
          <w:rFonts w:cs="Times New Roman"/>
          <w:noProof/>
          <w:sz w:val="24"/>
          <w:szCs w:val="24"/>
          <w:lang w:eastAsia="ru-RU"/>
        </w:rPr>
      </w:pPr>
      <w:hyperlink w:anchor="_Toc120865281" w:history="1">
        <w:r w:rsidR="00D93069" w:rsidRPr="00D93069">
          <w:rPr>
            <w:rStyle w:val="Hyperlink"/>
            <w:rFonts w:cs="Times New Roman"/>
            <w:noProof/>
            <w:sz w:val="24"/>
            <w:szCs w:val="24"/>
          </w:rPr>
          <w:t>6.2.1</w:t>
        </w:r>
        <w:r w:rsidR="00D93069" w:rsidRPr="00D93069">
          <w:rPr>
            <w:rFonts w:cs="Times New Roman"/>
            <w:noProof/>
            <w:sz w:val="24"/>
            <w:szCs w:val="24"/>
            <w:lang w:eastAsia="ru-RU"/>
          </w:rPr>
          <w:tab/>
        </w:r>
        <w:r w:rsidR="00D93069" w:rsidRPr="00D93069">
          <w:rPr>
            <w:rStyle w:val="Hyperlink"/>
            <w:rFonts w:cs="Times New Roman"/>
            <w:noProof/>
            <w:sz w:val="24"/>
            <w:szCs w:val="24"/>
          </w:rPr>
          <w:t>Премедикация</w:t>
        </w:r>
        <w:r w:rsidR="00D93069" w:rsidRPr="00D93069">
          <w:rPr>
            <w:rFonts w:cs="Times New Roman"/>
            <w:noProof/>
            <w:webHidden/>
            <w:sz w:val="24"/>
            <w:szCs w:val="24"/>
          </w:rPr>
          <w:tab/>
        </w:r>
        <w:r w:rsidR="00D93069" w:rsidRPr="00D93069">
          <w:rPr>
            <w:rFonts w:cs="Times New Roman"/>
            <w:noProof/>
            <w:webHidden/>
            <w:sz w:val="24"/>
            <w:szCs w:val="24"/>
          </w:rPr>
          <w:fldChar w:fldCharType="begin"/>
        </w:r>
        <w:r w:rsidR="00D93069" w:rsidRPr="00D93069">
          <w:rPr>
            <w:rFonts w:cs="Times New Roman"/>
            <w:noProof/>
            <w:webHidden/>
            <w:sz w:val="24"/>
            <w:szCs w:val="24"/>
          </w:rPr>
          <w:instrText xml:space="preserve"> PAGEREF _Toc120865281 \h </w:instrText>
        </w:r>
        <w:r w:rsidR="00D93069" w:rsidRPr="00D93069">
          <w:rPr>
            <w:rFonts w:cs="Times New Roman"/>
            <w:noProof/>
            <w:webHidden/>
            <w:sz w:val="24"/>
            <w:szCs w:val="24"/>
          </w:rPr>
        </w:r>
        <w:r w:rsidR="00D93069" w:rsidRPr="00D93069">
          <w:rPr>
            <w:rFonts w:cs="Times New Roman"/>
            <w:noProof/>
            <w:webHidden/>
            <w:sz w:val="24"/>
            <w:szCs w:val="24"/>
          </w:rPr>
          <w:fldChar w:fldCharType="separate"/>
        </w:r>
        <w:r w:rsidR="00F906B6">
          <w:rPr>
            <w:rFonts w:cs="Times New Roman"/>
            <w:noProof/>
            <w:webHidden/>
            <w:sz w:val="24"/>
            <w:szCs w:val="24"/>
          </w:rPr>
          <w:t>126</w:t>
        </w:r>
        <w:r w:rsidR="00D93069" w:rsidRPr="00D93069">
          <w:rPr>
            <w:rFonts w:cs="Times New Roman"/>
            <w:noProof/>
            <w:webHidden/>
            <w:sz w:val="24"/>
            <w:szCs w:val="24"/>
          </w:rPr>
          <w:fldChar w:fldCharType="end"/>
        </w:r>
      </w:hyperlink>
    </w:p>
    <w:p w14:paraId="79BA0F04" w14:textId="0FD41945" w:rsidR="00D93069" w:rsidRPr="00D93069" w:rsidRDefault="00E767EF" w:rsidP="00D93069">
      <w:pPr>
        <w:pStyle w:val="TOC3"/>
        <w:tabs>
          <w:tab w:val="left" w:pos="1200"/>
          <w:tab w:val="right" w:leader="dot" w:pos="9345"/>
        </w:tabs>
        <w:rPr>
          <w:rFonts w:cs="Times New Roman"/>
          <w:noProof/>
          <w:sz w:val="24"/>
          <w:szCs w:val="24"/>
          <w:lang w:eastAsia="ru-RU"/>
        </w:rPr>
      </w:pPr>
      <w:hyperlink w:anchor="_Toc120865282" w:history="1">
        <w:r w:rsidR="00D93069" w:rsidRPr="00D93069">
          <w:rPr>
            <w:rStyle w:val="Hyperlink"/>
            <w:rFonts w:cs="Times New Roman"/>
            <w:noProof/>
            <w:sz w:val="24"/>
            <w:szCs w:val="24"/>
          </w:rPr>
          <w:t>6.2.2</w:t>
        </w:r>
        <w:r w:rsidR="00D93069" w:rsidRPr="00D93069">
          <w:rPr>
            <w:rFonts w:cs="Times New Roman"/>
            <w:noProof/>
            <w:sz w:val="24"/>
            <w:szCs w:val="24"/>
            <w:lang w:eastAsia="ru-RU"/>
          </w:rPr>
          <w:tab/>
        </w:r>
        <w:r w:rsidR="00D93069" w:rsidRPr="00D93069">
          <w:rPr>
            <w:rStyle w:val="Hyperlink"/>
            <w:rFonts w:cs="Times New Roman"/>
            <w:noProof/>
            <w:sz w:val="24"/>
            <w:szCs w:val="24"/>
          </w:rPr>
          <w:t>Правила введения исследуемого препарата и препарата сравнения</w:t>
        </w:r>
        <w:r w:rsidR="00D93069" w:rsidRPr="00D93069">
          <w:rPr>
            <w:rFonts w:cs="Times New Roman"/>
            <w:noProof/>
            <w:webHidden/>
            <w:sz w:val="24"/>
            <w:szCs w:val="24"/>
          </w:rPr>
          <w:tab/>
        </w:r>
        <w:r w:rsidR="00D93069" w:rsidRPr="00D93069">
          <w:rPr>
            <w:rFonts w:cs="Times New Roman"/>
            <w:noProof/>
            <w:webHidden/>
            <w:sz w:val="24"/>
            <w:szCs w:val="24"/>
          </w:rPr>
          <w:fldChar w:fldCharType="begin"/>
        </w:r>
        <w:r w:rsidR="00D93069" w:rsidRPr="00D93069">
          <w:rPr>
            <w:rFonts w:cs="Times New Roman"/>
            <w:noProof/>
            <w:webHidden/>
            <w:sz w:val="24"/>
            <w:szCs w:val="24"/>
          </w:rPr>
          <w:instrText xml:space="preserve"> PAGEREF _Toc120865282 \h </w:instrText>
        </w:r>
        <w:r w:rsidR="00D93069" w:rsidRPr="00D93069">
          <w:rPr>
            <w:rFonts w:cs="Times New Roman"/>
            <w:noProof/>
            <w:webHidden/>
            <w:sz w:val="24"/>
            <w:szCs w:val="24"/>
          </w:rPr>
        </w:r>
        <w:r w:rsidR="00D93069" w:rsidRPr="00D93069">
          <w:rPr>
            <w:rFonts w:cs="Times New Roman"/>
            <w:noProof/>
            <w:webHidden/>
            <w:sz w:val="24"/>
            <w:szCs w:val="24"/>
          </w:rPr>
          <w:fldChar w:fldCharType="separate"/>
        </w:r>
        <w:r w:rsidR="00F906B6">
          <w:rPr>
            <w:rFonts w:cs="Times New Roman"/>
            <w:noProof/>
            <w:webHidden/>
            <w:sz w:val="24"/>
            <w:szCs w:val="24"/>
          </w:rPr>
          <w:t>126</w:t>
        </w:r>
        <w:r w:rsidR="00D93069" w:rsidRPr="00D93069">
          <w:rPr>
            <w:rFonts w:cs="Times New Roman"/>
            <w:noProof/>
            <w:webHidden/>
            <w:sz w:val="24"/>
            <w:szCs w:val="24"/>
          </w:rPr>
          <w:fldChar w:fldCharType="end"/>
        </w:r>
      </w:hyperlink>
    </w:p>
    <w:p w14:paraId="71DF077C" w14:textId="3013349A" w:rsidR="00D93069" w:rsidRPr="00D93069" w:rsidRDefault="00E767EF" w:rsidP="00D93069">
      <w:pPr>
        <w:pStyle w:val="TOC3"/>
        <w:tabs>
          <w:tab w:val="left" w:pos="1200"/>
          <w:tab w:val="right" w:leader="dot" w:pos="9345"/>
        </w:tabs>
        <w:rPr>
          <w:rFonts w:cs="Times New Roman"/>
          <w:noProof/>
          <w:sz w:val="24"/>
          <w:szCs w:val="24"/>
          <w:lang w:eastAsia="ru-RU"/>
        </w:rPr>
      </w:pPr>
      <w:hyperlink w:anchor="_Toc120865283" w:history="1">
        <w:r w:rsidR="00D93069" w:rsidRPr="00D93069">
          <w:rPr>
            <w:rStyle w:val="Hyperlink"/>
            <w:rFonts w:cs="Times New Roman"/>
            <w:noProof/>
            <w:sz w:val="24"/>
            <w:szCs w:val="24"/>
          </w:rPr>
          <w:t>6.2.3</w:t>
        </w:r>
        <w:r w:rsidR="00D93069" w:rsidRPr="00D93069">
          <w:rPr>
            <w:rFonts w:cs="Times New Roman"/>
            <w:noProof/>
            <w:sz w:val="24"/>
            <w:szCs w:val="24"/>
            <w:lang w:eastAsia="ru-RU"/>
          </w:rPr>
          <w:tab/>
        </w:r>
        <w:r w:rsidR="00D93069" w:rsidRPr="00D93069">
          <w:rPr>
            <w:rStyle w:val="Hyperlink"/>
            <w:rFonts w:cs="Times New Roman"/>
            <w:noProof/>
            <w:sz w:val="24"/>
            <w:szCs w:val="24"/>
          </w:rPr>
          <w:t>Режим дозирования исследуемого препарата и препарата сравнения</w:t>
        </w:r>
        <w:r w:rsidR="00D93069" w:rsidRPr="00D93069">
          <w:rPr>
            <w:rFonts w:cs="Times New Roman"/>
            <w:noProof/>
            <w:webHidden/>
            <w:sz w:val="24"/>
            <w:szCs w:val="24"/>
          </w:rPr>
          <w:tab/>
        </w:r>
        <w:r w:rsidR="00D93069" w:rsidRPr="00D93069">
          <w:rPr>
            <w:rFonts w:cs="Times New Roman"/>
            <w:noProof/>
            <w:webHidden/>
            <w:sz w:val="24"/>
            <w:szCs w:val="24"/>
          </w:rPr>
          <w:fldChar w:fldCharType="begin"/>
        </w:r>
        <w:r w:rsidR="00D93069" w:rsidRPr="00D93069">
          <w:rPr>
            <w:rFonts w:cs="Times New Roman"/>
            <w:noProof/>
            <w:webHidden/>
            <w:sz w:val="24"/>
            <w:szCs w:val="24"/>
          </w:rPr>
          <w:instrText xml:space="preserve"> PAGEREF _Toc120865283 \h </w:instrText>
        </w:r>
        <w:r w:rsidR="00D93069" w:rsidRPr="00D93069">
          <w:rPr>
            <w:rFonts w:cs="Times New Roman"/>
            <w:noProof/>
            <w:webHidden/>
            <w:sz w:val="24"/>
            <w:szCs w:val="24"/>
          </w:rPr>
        </w:r>
        <w:r w:rsidR="00D93069" w:rsidRPr="00D93069">
          <w:rPr>
            <w:rFonts w:cs="Times New Roman"/>
            <w:noProof/>
            <w:webHidden/>
            <w:sz w:val="24"/>
            <w:szCs w:val="24"/>
          </w:rPr>
          <w:fldChar w:fldCharType="separate"/>
        </w:r>
        <w:r w:rsidR="00F906B6">
          <w:rPr>
            <w:rFonts w:cs="Times New Roman"/>
            <w:noProof/>
            <w:webHidden/>
            <w:sz w:val="24"/>
            <w:szCs w:val="24"/>
          </w:rPr>
          <w:t>126</w:t>
        </w:r>
        <w:r w:rsidR="00D93069" w:rsidRPr="00D93069">
          <w:rPr>
            <w:rFonts w:cs="Times New Roman"/>
            <w:noProof/>
            <w:webHidden/>
            <w:sz w:val="24"/>
            <w:szCs w:val="24"/>
          </w:rPr>
          <w:fldChar w:fldCharType="end"/>
        </w:r>
      </w:hyperlink>
    </w:p>
    <w:p w14:paraId="142F03C8" w14:textId="43638A85" w:rsidR="00D93069" w:rsidRPr="00D93069" w:rsidRDefault="00E767EF" w:rsidP="00D93069">
      <w:pPr>
        <w:pStyle w:val="TOC3"/>
        <w:tabs>
          <w:tab w:val="left" w:pos="1200"/>
          <w:tab w:val="right" w:leader="dot" w:pos="9345"/>
        </w:tabs>
        <w:rPr>
          <w:rFonts w:cs="Times New Roman"/>
          <w:noProof/>
          <w:sz w:val="24"/>
          <w:szCs w:val="24"/>
          <w:lang w:eastAsia="ru-RU"/>
        </w:rPr>
      </w:pPr>
      <w:hyperlink w:anchor="_Toc120865284" w:history="1">
        <w:r w:rsidR="00D93069" w:rsidRPr="00D93069">
          <w:rPr>
            <w:rStyle w:val="Hyperlink"/>
            <w:rFonts w:cs="Times New Roman"/>
            <w:noProof/>
            <w:sz w:val="24"/>
            <w:szCs w:val="24"/>
          </w:rPr>
          <w:t>6.2.4</w:t>
        </w:r>
        <w:r w:rsidR="00D93069" w:rsidRPr="00D93069">
          <w:rPr>
            <w:rFonts w:cs="Times New Roman"/>
            <w:noProof/>
            <w:sz w:val="24"/>
            <w:szCs w:val="24"/>
            <w:lang w:eastAsia="ru-RU"/>
          </w:rPr>
          <w:tab/>
        </w:r>
        <w:r w:rsidR="00D93069" w:rsidRPr="00D93069">
          <w:rPr>
            <w:rStyle w:val="Hyperlink"/>
            <w:rFonts w:cs="Times New Roman"/>
            <w:noProof/>
            <w:sz w:val="24"/>
            <w:szCs w:val="24"/>
          </w:rPr>
          <w:t>Сведения о режимах дозирования и корректировке дозы в зависимости от выраженности токсичности препаратов сопутствующей химиотерапии</w:t>
        </w:r>
        <w:r w:rsidR="00D93069" w:rsidRPr="00D93069">
          <w:rPr>
            <w:rFonts w:cs="Times New Roman"/>
            <w:noProof/>
            <w:webHidden/>
            <w:sz w:val="24"/>
            <w:szCs w:val="24"/>
          </w:rPr>
          <w:tab/>
        </w:r>
        <w:r w:rsidR="00D93069" w:rsidRPr="00D93069">
          <w:rPr>
            <w:rFonts w:cs="Times New Roman"/>
            <w:noProof/>
            <w:webHidden/>
            <w:sz w:val="24"/>
            <w:szCs w:val="24"/>
          </w:rPr>
          <w:fldChar w:fldCharType="begin"/>
        </w:r>
        <w:r w:rsidR="00D93069" w:rsidRPr="00D93069">
          <w:rPr>
            <w:rFonts w:cs="Times New Roman"/>
            <w:noProof/>
            <w:webHidden/>
            <w:sz w:val="24"/>
            <w:szCs w:val="24"/>
          </w:rPr>
          <w:instrText xml:space="preserve"> PAGEREF _Toc120865284 \h </w:instrText>
        </w:r>
        <w:r w:rsidR="00D93069" w:rsidRPr="00D93069">
          <w:rPr>
            <w:rFonts w:cs="Times New Roman"/>
            <w:noProof/>
            <w:webHidden/>
            <w:sz w:val="24"/>
            <w:szCs w:val="24"/>
          </w:rPr>
        </w:r>
        <w:r w:rsidR="00D93069" w:rsidRPr="00D93069">
          <w:rPr>
            <w:rFonts w:cs="Times New Roman"/>
            <w:noProof/>
            <w:webHidden/>
            <w:sz w:val="24"/>
            <w:szCs w:val="24"/>
          </w:rPr>
          <w:fldChar w:fldCharType="separate"/>
        </w:r>
        <w:r w:rsidR="00F906B6">
          <w:rPr>
            <w:rFonts w:cs="Times New Roman"/>
            <w:noProof/>
            <w:webHidden/>
            <w:sz w:val="24"/>
            <w:szCs w:val="24"/>
          </w:rPr>
          <w:t>127</w:t>
        </w:r>
        <w:r w:rsidR="00D93069" w:rsidRPr="00D93069">
          <w:rPr>
            <w:rFonts w:cs="Times New Roman"/>
            <w:noProof/>
            <w:webHidden/>
            <w:sz w:val="24"/>
            <w:szCs w:val="24"/>
          </w:rPr>
          <w:fldChar w:fldCharType="end"/>
        </w:r>
      </w:hyperlink>
    </w:p>
    <w:p w14:paraId="6AB0BA23" w14:textId="7F7E26AB" w:rsidR="00D93069" w:rsidRPr="00D93069" w:rsidRDefault="00E767EF" w:rsidP="00D93069">
      <w:pPr>
        <w:pStyle w:val="TOC4"/>
        <w:tabs>
          <w:tab w:val="left" w:pos="1680"/>
          <w:tab w:val="right" w:leader="dot" w:pos="9345"/>
        </w:tabs>
        <w:rPr>
          <w:rFonts w:cs="Times New Roman"/>
          <w:noProof/>
          <w:sz w:val="24"/>
          <w:szCs w:val="24"/>
          <w:lang w:eastAsia="ru-RU"/>
        </w:rPr>
      </w:pPr>
      <w:hyperlink w:anchor="_Toc120865285" w:history="1">
        <w:r w:rsidR="00D93069" w:rsidRPr="00D93069">
          <w:rPr>
            <w:rStyle w:val="Hyperlink"/>
            <w:rFonts w:cs="Times New Roman"/>
            <w:noProof/>
            <w:sz w:val="24"/>
            <w:szCs w:val="24"/>
          </w:rPr>
          <w:t>6.2.4.1</w:t>
        </w:r>
        <w:r w:rsidR="00D93069" w:rsidRPr="00D93069">
          <w:rPr>
            <w:rFonts w:cs="Times New Roman"/>
            <w:noProof/>
            <w:sz w:val="24"/>
            <w:szCs w:val="24"/>
            <w:lang w:eastAsia="ru-RU"/>
          </w:rPr>
          <w:tab/>
        </w:r>
        <w:r w:rsidR="00D93069" w:rsidRPr="00D93069">
          <w:rPr>
            <w:rStyle w:val="Hyperlink"/>
            <w:rFonts w:cs="Times New Roman"/>
            <w:noProof/>
            <w:sz w:val="24"/>
            <w:szCs w:val="24"/>
          </w:rPr>
          <w:t>Паклитаксел</w:t>
        </w:r>
        <w:r w:rsidR="00D93069" w:rsidRPr="00D93069">
          <w:rPr>
            <w:rFonts w:cs="Times New Roman"/>
            <w:noProof/>
            <w:webHidden/>
            <w:sz w:val="24"/>
            <w:szCs w:val="24"/>
          </w:rPr>
          <w:tab/>
        </w:r>
        <w:r w:rsidR="00D93069" w:rsidRPr="00D93069">
          <w:rPr>
            <w:rFonts w:cs="Times New Roman"/>
            <w:noProof/>
            <w:webHidden/>
            <w:sz w:val="24"/>
            <w:szCs w:val="24"/>
          </w:rPr>
          <w:fldChar w:fldCharType="begin"/>
        </w:r>
        <w:r w:rsidR="00D93069" w:rsidRPr="00D93069">
          <w:rPr>
            <w:rFonts w:cs="Times New Roman"/>
            <w:noProof/>
            <w:webHidden/>
            <w:sz w:val="24"/>
            <w:szCs w:val="24"/>
          </w:rPr>
          <w:instrText xml:space="preserve"> PAGEREF _Toc120865285 \h </w:instrText>
        </w:r>
        <w:r w:rsidR="00D93069" w:rsidRPr="00D93069">
          <w:rPr>
            <w:rFonts w:cs="Times New Roman"/>
            <w:noProof/>
            <w:webHidden/>
            <w:sz w:val="24"/>
            <w:szCs w:val="24"/>
          </w:rPr>
        </w:r>
        <w:r w:rsidR="00D93069" w:rsidRPr="00D93069">
          <w:rPr>
            <w:rFonts w:cs="Times New Roman"/>
            <w:noProof/>
            <w:webHidden/>
            <w:sz w:val="24"/>
            <w:szCs w:val="24"/>
          </w:rPr>
          <w:fldChar w:fldCharType="separate"/>
        </w:r>
        <w:r w:rsidR="00F906B6">
          <w:rPr>
            <w:rFonts w:cs="Times New Roman"/>
            <w:noProof/>
            <w:webHidden/>
            <w:sz w:val="24"/>
            <w:szCs w:val="24"/>
          </w:rPr>
          <w:t>127</w:t>
        </w:r>
        <w:r w:rsidR="00D93069" w:rsidRPr="00D93069">
          <w:rPr>
            <w:rFonts w:cs="Times New Roman"/>
            <w:noProof/>
            <w:webHidden/>
            <w:sz w:val="24"/>
            <w:szCs w:val="24"/>
          </w:rPr>
          <w:fldChar w:fldCharType="end"/>
        </w:r>
      </w:hyperlink>
    </w:p>
    <w:p w14:paraId="18E1D08C" w14:textId="76F86D3D" w:rsidR="00D93069" w:rsidRPr="00D93069" w:rsidRDefault="00E767EF" w:rsidP="00D93069">
      <w:pPr>
        <w:pStyle w:val="TOC4"/>
        <w:tabs>
          <w:tab w:val="left" w:pos="1680"/>
          <w:tab w:val="right" w:leader="dot" w:pos="9345"/>
        </w:tabs>
        <w:rPr>
          <w:rFonts w:cs="Times New Roman"/>
          <w:noProof/>
          <w:sz w:val="24"/>
          <w:szCs w:val="24"/>
          <w:lang w:eastAsia="ru-RU"/>
        </w:rPr>
      </w:pPr>
      <w:hyperlink w:anchor="_Toc120865286" w:history="1">
        <w:r w:rsidR="00D93069" w:rsidRPr="00D93069">
          <w:rPr>
            <w:rStyle w:val="Hyperlink"/>
            <w:rFonts w:cs="Times New Roman"/>
            <w:noProof/>
            <w:sz w:val="24"/>
            <w:szCs w:val="24"/>
          </w:rPr>
          <w:t>6.2.4.2</w:t>
        </w:r>
        <w:r w:rsidR="00D93069" w:rsidRPr="00D93069">
          <w:rPr>
            <w:rFonts w:cs="Times New Roman"/>
            <w:noProof/>
            <w:sz w:val="24"/>
            <w:szCs w:val="24"/>
            <w:lang w:eastAsia="ru-RU"/>
          </w:rPr>
          <w:tab/>
        </w:r>
        <w:r w:rsidR="00D93069" w:rsidRPr="00D93069">
          <w:rPr>
            <w:rStyle w:val="Hyperlink"/>
            <w:rFonts w:cs="Times New Roman"/>
            <w:noProof/>
            <w:sz w:val="24"/>
            <w:szCs w:val="24"/>
          </w:rPr>
          <w:t>Карбоплатин</w:t>
        </w:r>
        <w:r w:rsidR="00D93069" w:rsidRPr="00D93069">
          <w:rPr>
            <w:rFonts w:cs="Times New Roman"/>
            <w:noProof/>
            <w:webHidden/>
            <w:sz w:val="24"/>
            <w:szCs w:val="24"/>
          </w:rPr>
          <w:tab/>
        </w:r>
        <w:r w:rsidR="00D93069" w:rsidRPr="00D93069">
          <w:rPr>
            <w:rFonts w:cs="Times New Roman"/>
            <w:noProof/>
            <w:webHidden/>
            <w:sz w:val="24"/>
            <w:szCs w:val="24"/>
          </w:rPr>
          <w:fldChar w:fldCharType="begin"/>
        </w:r>
        <w:r w:rsidR="00D93069" w:rsidRPr="00D93069">
          <w:rPr>
            <w:rFonts w:cs="Times New Roman"/>
            <w:noProof/>
            <w:webHidden/>
            <w:sz w:val="24"/>
            <w:szCs w:val="24"/>
          </w:rPr>
          <w:instrText xml:space="preserve"> PAGEREF _Toc120865286 \h </w:instrText>
        </w:r>
        <w:r w:rsidR="00D93069" w:rsidRPr="00D93069">
          <w:rPr>
            <w:rFonts w:cs="Times New Roman"/>
            <w:noProof/>
            <w:webHidden/>
            <w:sz w:val="24"/>
            <w:szCs w:val="24"/>
          </w:rPr>
        </w:r>
        <w:r w:rsidR="00D93069" w:rsidRPr="00D93069">
          <w:rPr>
            <w:rFonts w:cs="Times New Roman"/>
            <w:noProof/>
            <w:webHidden/>
            <w:sz w:val="24"/>
            <w:szCs w:val="24"/>
          </w:rPr>
          <w:fldChar w:fldCharType="separate"/>
        </w:r>
        <w:r w:rsidR="00F906B6">
          <w:rPr>
            <w:rFonts w:cs="Times New Roman"/>
            <w:noProof/>
            <w:webHidden/>
            <w:sz w:val="24"/>
            <w:szCs w:val="24"/>
          </w:rPr>
          <w:t>128</w:t>
        </w:r>
        <w:r w:rsidR="00D93069" w:rsidRPr="00D93069">
          <w:rPr>
            <w:rFonts w:cs="Times New Roman"/>
            <w:noProof/>
            <w:webHidden/>
            <w:sz w:val="24"/>
            <w:szCs w:val="24"/>
          </w:rPr>
          <w:fldChar w:fldCharType="end"/>
        </w:r>
      </w:hyperlink>
    </w:p>
    <w:p w14:paraId="2A0A39B1" w14:textId="638451BB" w:rsidR="00D93069" w:rsidRPr="00D93069" w:rsidRDefault="00E767EF" w:rsidP="00D93069">
      <w:pPr>
        <w:pStyle w:val="TOC3"/>
        <w:tabs>
          <w:tab w:val="left" w:pos="1200"/>
          <w:tab w:val="right" w:leader="dot" w:pos="9345"/>
        </w:tabs>
        <w:rPr>
          <w:rFonts w:cs="Times New Roman"/>
          <w:noProof/>
          <w:sz w:val="24"/>
          <w:szCs w:val="24"/>
          <w:lang w:eastAsia="ru-RU"/>
        </w:rPr>
      </w:pPr>
      <w:hyperlink w:anchor="_Toc120865287" w:history="1">
        <w:r w:rsidR="00D93069" w:rsidRPr="00D93069">
          <w:rPr>
            <w:rStyle w:val="Hyperlink"/>
            <w:rFonts w:cs="Times New Roman"/>
            <w:noProof/>
            <w:sz w:val="24"/>
            <w:szCs w:val="24"/>
          </w:rPr>
          <w:t>6.2.5</w:t>
        </w:r>
        <w:r w:rsidR="00D93069" w:rsidRPr="00D93069">
          <w:rPr>
            <w:rFonts w:cs="Times New Roman"/>
            <w:noProof/>
            <w:sz w:val="24"/>
            <w:szCs w:val="24"/>
            <w:lang w:eastAsia="ru-RU"/>
          </w:rPr>
          <w:tab/>
        </w:r>
        <w:r w:rsidR="00D93069" w:rsidRPr="00D93069">
          <w:rPr>
            <w:rStyle w:val="Hyperlink"/>
            <w:rFonts w:cs="Times New Roman"/>
            <w:noProof/>
            <w:sz w:val="24"/>
            <w:szCs w:val="24"/>
          </w:rPr>
          <w:t>Приготовления растворов препаратов сопутствующей химиотерапии</w:t>
        </w:r>
        <w:r w:rsidR="00D93069" w:rsidRPr="00D93069">
          <w:rPr>
            <w:rFonts w:cs="Times New Roman"/>
            <w:noProof/>
            <w:webHidden/>
            <w:sz w:val="24"/>
            <w:szCs w:val="24"/>
          </w:rPr>
          <w:tab/>
        </w:r>
        <w:r w:rsidR="00D93069" w:rsidRPr="00D93069">
          <w:rPr>
            <w:rFonts w:cs="Times New Roman"/>
            <w:noProof/>
            <w:webHidden/>
            <w:sz w:val="24"/>
            <w:szCs w:val="24"/>
          </w:rPr>
          <w:fldChar w:fldCharType="begin"/>
        </w:r>
        <w:r w:rsidR="00D93069" w:rsidRPr="00D93069">
          <w:rPr>
            <w:rFonts w:cs="Times New Roman"/>
            <w:noProof/>
            <w:webHidden/>
            <w:sz w:val="24"/>
            <w:szCs w:val="24"/>
          </w:rPr>
          <w:instrText xml:space="preserve"> PAGEREF _Toc120865287 \h </w:instrText>
        </w:r>
        <w:r w:rsidR="00D93069" w:rsidRPr="00D93069">
          <w:rPr>
            <w:rFonts w:cs="Times New Roman"/>
            <w:noProof/>
            <w:webHidden/>
            <w:sz w:val="24"/>
            <w:szCs w:val="24"/>
          </w:rPr>
        </w:r>
        <w:r w:rsidR="00D93069" w:rsidRPr="00D93069">
          <w:rPr>
            <w:rFonts w:cs="Times New Roman"/>
            <w:noProof/>
            <w:webHidden/>
            <w:sz w:val="24"/>
            <w:szCs w:val="24"/>
          </w:rPr>
          <w:fldChar w:fldCharType="separate"/>
        </w:r>
        <w:r w:rsidR="00F906B6">
          <w:rPr>
            <w:rFonts w:cs="Times New Roman"/>
            <w:noProof/>
            <w:webHidden/>
            <w:sz w:val="24"/>
            <w:szCs w:val="24"/>
          </w:rPr>
          <w:t>128</w:t>
        </w:r>
        <w:r w:rsidR="00D93069" w:rsidRPr="00D93069">
          <w:rPr>
            <w:rFonts w:cs="Times New Roman"/>
            <w:noProof/>
            <w:webHidden/>
            <w:sz w:val="24"/>
            <w:szCs w:val="24"/>
          </w:rPr>
          <w:fldChar w:fldCharType="end"/>
        </w:r>
      </w:hyperlink>
    </w:p>
    <w:p w14:paraId="655402EE" w14:textId="0F08B329" w:rsidR="00D93069" w:rsidRPr="00D93069" w:rsidRDefault="00E767EF" w:rsidP="00D93069">
      <w:pPr>
        <w:pStyle w:val="TOC4"/>
        <w:tabs>
          <w:tab w:val="left" w:pos="1680"/>
          <w:tab w:val="right" w:leader="dot" w:pos="9345"/>
        </w:tabs>
        <w:rPr>
          <w:rFonts w:cs="Times New Roman"/>
          <w:noProof/>
          <w:sz w:val="24"/>
          <w:szCs w:val="24"/>
          <w:lang w:eastAsia="ru-RU"/>
        </w:rPr>
      </w:pPr>
      <w:hyperlink w:anchor="_Toc120865288" w:history="1">
        <w:r w:rsidR="00D93069" w:rsidRPr="00D93069">
          <w:rPr>
            <w:rStyle w:val="Hyperlink"/>
            <w:rFonts w:cs="Times New Roman"/>
            <w:noProof/>
            <w:sz w:val="24"/>
            <w:szCs w:val="24"/>
          </w:rPr>
          <w:t>6.2.5.1</w:t>
        </w:r>
        <w:r w:rsidR="00D93069" w:rsidRPr="00D93069">
          <w:rPr>
            <w:rFonts w:cs="Times New Roman"/>
            <w:noProof/>
            <w:sz w:val="24"/>
            <w:szCs w:val="24"/>
            <w:lang w:eastAsia="ru-RU"/>
          </w:rPr>
          <w:tab/>
        </w:r>
        <w:r w:rsidR="00D93069" w:rsidRPr="00D93069">
          <w:rPr>
            <w:rStyle w:val="Hyperlink"/>
            <w:rFonts w:cs="Times New Roman"/>
            <w:noProof/>
            <w:sz w:val="24"/>
            <w:szCs w:val="24"/>
          </w:rPr>
          <w:t>Паклитаксел</w:t>
        </w:r>
        <w:r w:rsidR="00D93069" w:rsidRPr="00D93069">
          <w:rPr>
            <w:rFonts w:cs="Times New Roman"/>
            <w:noProof/>
            <w:webHidden/>
            <w:sz w:val="24"/>
            <w:szCs w:val="24"/>
          </w:rPr>
          <w:tab/>
        </w:r>
        <w:r w:rsidR="00D93069" w:rsidRPr="00D93069">
          <w:rPr>
            <w:rFonts w:cs="Times New Roman"/>
            <w:noProof/>
            <w:webHidden/>
            <w:sz w:val="24"/>
            <w:szCs w:val="24"/>
          </w:rPr>
          <w:fldChar w:fldCharType="begin"/>
        </w:r>
        <w:r w:rsidR="00D93069" w:rsidRPr="00D93069">
          <w:rPr>
            <w:rFonts w:cs="Times New Roman"/>
            <w:noProof/>
            <w:webHidden/>
            <w:sz w:val="24"/>
            <w:szCs w:val="24"/>
          </w:rPr>
          <w:instrText xml:space="preserve"> PAGEREF _Toc120865288 \h </w:instrText>
        </w:r>
        <w:r w:rsidR="00D93069" w:rsidRPr="00D93069">
          <w:rPr>
            <w:rFonts w:cs="Times New Roman"/>
            <w:noProof/>
            <w:webHidden/>
            <w:sz w:val="24"/>
            <w:szCs w:val="24"/>
          </w:rPr>
        </w:r>
        <w:r w:rsidR="00D93069" w:rsidRPr="00D93069">
          <w:rPr>
            <w:rFonts w:cs="Times New Roman"/>
            <w:noProof/>
            <w:webHidden/>
            <w:sz w:val="24"/>
            <w:szCs w:val="24"/>
          </w:rPr>
          <w:fldChar w:fldCharType="separate"/>
        </w:r>
        <w:r w:rsidR="00F906B6">
          <w:rPr>
            <w:rFonts w:cs="Times New Roman"/>
            <w:noProof/>
            <w:webHidden/>
            <w:sz w:val="24"/>
            <w:szCs w:val="24"/>
          </w:rPr>
          <w:t>128</w:t>
        </w:r>
        <w:r w:rsidR="00D93069" w:rsidRPr="00D93069">
          <w:rPr>
            <w:rFonts w:cs="Times New Roman"/>
            <w:noProof/>
            <w:webHidden/>
            <w:sz w:val="24"/>
            <w:szCs w:val="24"/>
          </w:rPr>
          <w:fldChar w:fldCharType="end"/>
        </w:r>
      </w:hyperlink>
    </w:p>
    <w:p w14:paraId="6301572D" w14:textId="2887D87A" w:rsidR="00D93069" w:rsidRPr="00D93069" w:rsidRDefault="00E767EF" w:rsidP="00D93069">
      <w:pPr>
        <w:pStyle w:val="TOC4"/>
        <w:tabs>
          <w:tab w:val="left" w:pos="1680"/>
          <w:tab w:val="right" w:leader="dot" w:pos="9345"/>
        </w:tabs>
        <w:rPr>
          <w:rFonts w:cs="Times New Roman"/>
          <w:noProof/>
          <w:sz w:val="24"/>
          <w:szCs w:val="24"/>
          <w:lang w:eastAsia="ru-RU"/>
        </w:rPr>
      </w:pPr>
      <w:hyperlink w:anchor="_Toc120865289" w:history="1">
        <w:r w:rsidR="00D93069" w:rsidRPr="00D93069">
          <w:rPr>
            <w:rStyle w:val="Hyperlink"/>
            <w:rFonts w:cs="Times New Roman"/>
            <w:noProof/>
            <w:sz w:val="24"/>
            <w:szCs w:val="24"/>
          </w:rPr>
          <w:t>6.2.5.2</w:t>
        </w:r>
        <w:r w:rsidR="00D93069" w:rsidRPr="00D93069">
          <w:rPr>
            <w:rFonts w:cs="Times New Roman"/>
            <w:noProof/>
            <w:sz w:val="24"/>
            <w:szCs w:val="24"/>
            <w:lang w:eastAsia="ru-RU"/>
          </w:rPr>
          <w:tab/>
        </w:r>
        <w:r w:rsidR="00D93069" w:rsidRPr="00D93069">
          <w:rPr>
            <w:rStyle w:val="Hyperlink"/>
            <w:rFonts w:cs="Times New Roman"/>
            <w:noProof/>
            <w:sz w:val="24"/>
            <w:szCs w:val="24"/>
          </w:rPr>
          <w:t>Карбоплатин</w:t>
        </w:r>
        <w:r w:rsidR="00D93069" w:rsidRPr="00D93069">
          <w:rPr>
            <w:rFonts w:cs="Times New Roman"/>
            <w:noProof/>
            <w:webHidden/>
            <w:sz w:val="24"/>
            <w:szCs w:val="24"/>
          </w:rPr>
          <w:tab/>
        </w:r>
        <w:r w:rsidR="00D93069" w:rsidRPr="00D93069">
          <w:rPr>
            <w:rFonts w:cs="Times New Roman"/>
            <w:noProof/>
            <w:webHidden/>
            <w:sz w:val="24"/>
            <w:szCs w:val="24"/>
          </w:rPr>
          <w:fldChar w:fldCharType="begin"/>
        </w:r>
        <w:r w:rsidR="00D93069" w:rsidRPr="00D93069">
          <w:rPr>
            <w:rFonts w:cs="Times New Roman"/>
            <w:noProof/>
            <w:webHidden/>
            <w:sz w:val="24"/>
            <w:szCs w:val="24"/>
          </w:rPr>
          <w:instrText xml:space="preserve"> PAGEREF _Toc120865289 \h </w:instrText>
        </w:r>
        <w:r w:rsidR="00D93069" w:rsidRPr="00D93069">
          <w:rPr>
            <w:rFonts w:cs="Times New Roman"/>
            <w:noProof/>
            <w:webHidden/>
            <w:sz w:val="24"/>
            <w:szCs w:val="24"/>
          </w:rPr>
        </w:r>
        <w:r w:rsidR="00D93069" w:rsidRPr="00D93069">
          <w:rPr>
            <w:rFonts w:cs="Times New Roman"/>
            <w:noProof/>
            <w:webHidden/>
            <w:sz w:val="24"/>
            <w:szCs w:val="24"/>
          </w:rPr>
          <w:fldChar w:fldCharType="separate"/>
        </w:r>
        <w:r w:rsidR="00F906B6">
          <w:rPr>
            <w:rFonts w:cs="Times New Roman"/>
            <w:noProof/>
            <w:webHidden/>
            <w:sz w:val="24"/>
            <w:szCs w:val="24"/>
          </w:rPr>
          <w:t>129</w:t>
        </w:r>
        <w:r w:rsidR="00D93069" w:rsidRPr="00D93069">
          <w:rPr>
            <w:rFonts w:cs="Times New Roman"/>
            <w:noProof/>
            <w:webHidden/>
            <w:sz w:val="24"/>
            <w:szCs w:val="24"/>
          </w:rPr>
          <w:fldChar w:fldCharType="end"/>
        </w:r>
      </w:hyperlink>
    </w:p>
    <w:p w14:paraId="457A36B5" w14:textId="5878E275" w:rsidR="00D93069" w:rsidRPr="00D93069" w:rsidRDefault="00E767EF" w:rsidP="00D93069">
      <w:pPr>
        <w:pStyle w:val="TOC2"/>
        <w:rPr>
          <w:rFonts w:cs="Times New Roman"/>
          <w:b w:val="0"/>
          <w:bCs w:val="0"/>
          <w:noProof/>
          <w:sz w:val="24"/>
          <w:szCs w:val="24"/>
          <w:lang w:eastAsia="ru-RU"/>
        </w:rPr>
      </w:pPr>
      <w:hyperlink w:anchor="_Toc120865290" w:history="1">
        <w:r w:rsidR="00D93069" w:rsidRPr="00D93069">
          <w:rPr>
            <w:rStyle w:val="Hyperlink"/>
            <w:rFonts w:cs="Times New Roman"/>
            <w:b w:val="0"/>
            <w:noProof/>
            <w:sz w:val="24"/>
            <w:szCs w:val="24"/>
          </w:rPr>
          <w:t>6.3</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Контроль комплаентности</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_Toc120865290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129</w:t>
        </w:r>
        <w:r w:rsidR="00D93069" w:rsidRPr="00D93069">
          <w:rPr>
            <w:rFonts w:cs="Times New Roman"/>
            <w:b w:val="0"/>
            <w:noProof/>
            <w:webHidden/>
            <w:sz w:val="24"/>
            <w:szCs w:val="24"/>
          </w:rPr>
          <w:fldChar w:fldCharType="end"/>
        </w:r>
      </w:hyperlink>
    </w:p>
    <w:p w14:paraId="7C91A407" w14:textId="2B032BB7" w:rsidR="00D93069" w:rsidRPr="00D93069" w:rsidRDefault="00E767EF" w:rsidP="00D93069">
      <w:pPr>
        <w:pStyle w:val="TOC2"/>
        <w:rPr>
          <w:rFonts w:cs="Times New Roman"/>
          <w:b w:val="0"/>
          <w:bCs w:val="0"/>
          <w:noProof/>
          <w:sz w:val="24"/>
          <w:szCs w:val="24"/>
          <w:lang w:eastAsia="ru-RU"/>
        </w:rPr>
      </w:pPr>
      <w:hyperlink w:anchor="_Toc120865291" w:history="1">
        <w:r w:rsidR="00D93069" w:rsidRPr="00D93069">
          <w:rPr>
            <w:rStyle w:val="Hyperlink"/>
            <w:rFonts w:cs="Times New Roman"/>
            <w:b w:val="0"/>
            <w:noProof/>
            <w:sz w:val="24"/>
            <w:szCs w:val="24"/>
          </w:rPr>
          <w:t>6.4</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Разрешенная сопутствующая терапия</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_Toc120865291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129</w:t>
        </w:r>
        <w:r w:rsidR="00D93069" w:rsidRPr="00D93069">
          <w:rPr>
            <w:rFonts w:cs="Times New Roman"/>
            <w:b w:val="0"/>
            <w:noProof/>
            <w:webHidden/>
            <w:sz w:val="24"/>
            <w:szCs w:val="24"/>
          </w:rPr>
          <w:fldChar w:fldCharType="end"/>
        </w:r>
      </w:hyperlink>
    </w:p>
    <w:p w14:paraId="7A4E9E6B" w14:textId="2BCACBE0" w:rsidR="00D93069" w:rsidRPr="00D93069" w:rsidRDefault="00E767EF" w:rsidP="00D93069">
      <w:pPr>
        <w:pStyle w:val="TOC2"/>
        <w:rPr>
          <w:rFonts w:cs="Times New Roman"/>
          <w:b w:val="0"/>
          <w:bCs w:val="0"/>
          <w:noProof/>
          <w:sz w:val="24"/>
          <w:szCs w:val="24"/>
          <w:lang w:eastAsia="ru-RU"/>
        </w:rPr>
      </w:pPr>
      <w:hyperlink w:anchor="_Toc120865292" w:history="1">
        <w:r w:rsidR="00D93069" w:rsidRPr="00D93069">
          <w:rPr>
            <w:rStyle w:val="Hyperlink"/>
            <w:rFonts w:cs="Times New Roman"/>
            <w:b w:val="0"/>
            <w:noProof/>
            <w:sz w:val="24"/>
            <w:szCs w:val="24"/>
          </w:rPr>
          <w:t>6.5</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Запрещенная сопутствующая терапия</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_Toc120865292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130</w:t>
        </w:r>
        <w:r w:rsidR="00D93069" w:rsidRPr="00D93069">
          <w:rPr>
            <w:rFonts w:cs="Times New Roman"/>
            <w:b w:val="0"/>
            <w:noProof/>
            <w:webHidden/>
            <w:sz w:val="24"/>
            <w:szCs w:val="24"/>
          </w:rPr>
          <w:fldChar w:fldCharType="end"/>
        </w:r>
      </w:hyperlink>
    </w:p>
    <w:p w14:paraId="35207512" w14:textId="39FC0621" w:rsidR="00D93069" w:rsidRPr="00D93069" w:rsidRDefault="00E767EF" w:rsidP="00D93069">
      <w:pPr>
        <w:pStyle w:val="TOC1"/>
        <w:rPr>
          <w:rFonts w:cs="Times New Roman"/>
          <w:b w:val="0"/>
          <w:bCs w:val="0"/>
          <w:noProof/>
          <w:lang w:eastAsia="ru-RU"/>
        </w:rPr>
      </w:pPr>
      <w:hyperlink w:anchor="_Toc120865293" w:history="1">
        <w:r w:rsidR="00D93069" w:rsidRPr="00D93069">
          <w:rPr>
            <w:rStyle w:val="Hyperlink"/>
            <w:rFonts w:cs="Times New Roman"/>
            <w:b w:val="0"/>
            <w:noProof/>
          </w:rPr>
          <w:t>7</w:t>
        </w:r>
        <w:r w:rsidR="00D93069" w:rsidRPr="00D93069">
          <w:rPr>
            <w:rFonts w:cs="Times New Roman"/>
            <w:b w:val="0"/>
            <w:bCs w:val="0"/>
            <w:noProof/>
            <w:lang w:eastAsia="ru-RU"/>
          </w:rPr>
          <w:tab/>
        </w:r>
        <w:r w:rsidR="00D93069" w:rsidRPr="00D93069">
          <w:rPr>
            <w:rStyle w:val="Hyperlink"/>
            <w:rFonts w:cs="Times New Roman"/>
            <w:b w:val="0"/>
            <w:noProof/>
          </w:rPr>
          <w:t>Перечень параметров эффективности</w:t>
        </w:r>
        <w:r w:rsidR="00D93069" w:rsidRPr="00D93069">
          <w:rPr>
            <w:rFonts w:cs="Times New Roman"/>
            <w:b w:val="0"/>
            <w:noProof/>
            <w:webHidden/>
          </w:rPr>
          <w:tab/>
        </w:r>
        <w:r w:rsidR="00D93069" w:rsidRPr="00D93069">
          <w:rPr>
            <w:rFonts w:cs="Times New Roman"/>
            <w:b w:val="0"/>
            <w:noProof/>
            <w:webHidden/>
          </w:rPr>
          <w:fldChar w:fldCharType="begin"/>
        </w:r>
        <w:r w:rsidR="00D93069" w:rsidRPr="00D93069">
          <w:rPr>
            <w:rFonts w:cs="Times New Roman"/>
            <w:b w:val="0"/>
            <w:noProof/>
            <w:webHidden/>
          </w:rPr>
          <w:instrText xml:space="preserve"> PAGEREF _Toc120865293 \h </w:instrText>
        </w:r>
        <w:r w:rsidR="00D93069" w:rsidRPr="00D93069">
          <w:rPr>
            <w:rFonts w:cs="Times New Roman"/>
            <w:b w:val="0"/>
            <w:noProof/>
            <w:webHidden/>
          </w:rPr>
        </w:r>
        <w:r w:rsidR="00D93069" w:rsidRPr="00D93069">
          <w:rPr>
            <w:rFonts w:cs="Times New Roman"/>
            <w:b w:val="0"/>
            <w:noProof/>
            <w:webHidden/>
          </w:rPr>
          <w:fldChar w:fldCharType="separate"/>
        </w:r>
        <w:r w:rsidR="00F906B6">
          <w:rPr>
            <w:rFonts w:cs="Times New Roman"/>
            <w:b w:val="0"/>
            <w:noProof/>
            <w:webHidden/>
          </w:rPr>
          <w:t>132</w:t>
        </w:r>
        <w:r w:rsidR="00D93069" w:rsidRPr="00D93069">
          <w:rPr>
            <w:rFonts w:cs="Times New Roman"/>
            <w:b w:val="0"/>
            <w:noProof/>
            <w:webHidden/>
          </w:rPr>
          <w:fldChar w:fldCharType="end"/>
        </w:r>
      </w:hyperlink>
    </w:p>
    <w:p w14:paraId="3937F34E" w14:textId="27751C72" w:rsidR="00D93069" w:rsidRPr="00D93069" w:rsidRDefault="00E767EF" w:rsidP="00D93069">
      <w:pPr>
        <w:pStyle w:val="TOC2"/>
        <w:rPr>
          <w:rFonts w:cs="Times New Roman"/>
          <w:b w:val="0"/>
          <w:bCs w:val="0"/>
          <w:noProof/>
          <w:sz w:val="24"/>
          <w:szCs w:val="24"/>
          <w:lang w:eastAsia="ru-RU"/>
        </w:rPr>
      </w:pPr>
      <w:hyperlink w:anchor="_Toc120865294" w:history="1">
        <w:r w:rsidR="00D93069" w:rsidRPr="00D93069">
          <w:rPr>
            <w:rStyle w:val="Hyperlink"/>
            <w:rFonts w:cs="Times New Roman"/>
            <w:b w:val="0"/>
            <w:noProof/>
            <w:sz w:val="24"/>
            <w:szCs w:val="24"/>
            <w:lang w:bidi="ru-RU"/>
          </w:rPr>
          <w:t>7.1</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lang w:bidi="ru-RU"/>
          </w:rPr>
          <w:t>Правила оценки параметров эффективности</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_Toc120865294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132</w:t>
        </w:r>
        <w:r w:rsidR="00D93069" w:rsidRPr="00D93069">
          <w:rPr>
            <w:rFonts w:cs="Times New Roman"/>
            <w:b w:val="0"/>
            <w:noProof/>
            <w:webHidden/>
            <w:sz w:val="24"/>
            <w:szCs w:val="24"/>
          </w:rPr>
          <w:fldChar w:fldCharType="end"/>
        </w:r>
      </w:hyperlink>
    </w:p>
    <w:p w14:paraId="327DC0EB" w14:textId="5F99D77C" w:rsidR="00D93069" w:rsidRPr="00D93069" w:rsidRDefault="00E767EF" w:rsidP="00D93069">
      <w:pPr>
        <w:pStyle w:val="TOC2"/>
        <w:rPr>
          <w:rFonts w:cs="Times New Roman"/>
          <w:b w:val="0"/>
          <w:bCs w:val="0"/>
          <w:noProof/>
          <w:sz w:val="24"/>
          <w:szCs w:val="24"/>
          <w:lang w:eastAsia="ru-RU"/>
        </w:rPr>
      </w:pPr>
      <w:hyperlink w:anchor="_Toc120865295" w:history="1">
        <w:r w:rsidR="00D93069" w:rsidRPr="00D93069">
          <w:rPr>
            <w:rStyle w:val="Hyperlink"/>
            <w:rFonts w:cs="Times New Roman"/>
            <w:b w:val="0"/>
            <w:noProof/>
            <w:sz w:val="24"/>
            <w:szCs w:val="24"/>
            <w:lang w:bidi="ru-RU"/>
          </w:rPr>
          <w:t>7.2</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lang w:bidi="ru-RU"/>
          </w:rPr>
          <w:t>Определение параметров эффективности</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_Toc120865295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135</w:t>
        </w:r>
        <w:r w:rsidR="00D93069" w:rsidRPr="00D93069">
          <w:rPr>
            <w:rFonts w:cs="Times New Roman"/>
            <w:b w:val="0"/>
            <w:noProof/>
            <w:webHidden/>
            <w:sz w:val="24"/>
            <w:szCs w:val="24"/>
          </w:rPr>
          <w:fldChar w:fldCharType="end"/>
        </w:r>
      </w:hyperlink>
    </w:p>
    <w:p w14:paraId="1D5EB916" w14:textId="33C497F4" w:rsidR="00D93069" w:rsidRPr="00D93069" w:rsidRDefault="00E767EF" w:rsidP="00D93069">
      <w:pPr>
        <w:pStyle w:val="TOC1"/>
        <w:rPr>
          <w:rFonts w:cs="Times New Roman"/>
          <w:b w:val="0"/>
          <w:bCs w:val="0"/>
          <w:noProof/>
          <w:lang w:eastAsia="ru-RU"/>
        </w:rPr>
      </w:pPr>
      <w:hyperlink w:anchor="_Toc120865296" w:history="1">
        <w:r w:rsidR="00D93069" w:rsidRPr="00D93069">
          <w:rPr>
            <w:rStyle w:val="Hyperlink"/>
            <w:rFonts w:cs="Times New Roman"/>
            <w:b w:val="0"/>
            <w:noProof/>
          </w:rPr>
          <w:t>8</w:t>
        </w:r>
        <w:r w:rsidR="00D93069" w:rsidRPr="00D93069">
          <w:rPr>
            <w:rFonts w:cs="Times New Roman"/>
            <w:b w:val="0"/>
            <w:bCs w:val="0"/>
            <w:noProof/>
            <w:lang w:eastAsia="ru-RU"/>
          </w:rPr>
          <w:tab/>
        </w:r>
        <w:r w:rsidR="00D93069" w:rsidRPr="00D93069">
          <w:rPr>
            <w:rStyle w:val="Hyperlink"/>
            <w:rFonts w:cs="Times New Roman"/>
            <w:b w:val="0"/>
            <w:noProof/>
          </w:rPr>
          <w:t>Оценка параметров безопасности</w:t>
        </w:r>
        <w:r w:rsidR="00D93069" w:rsidRPr="00D93069">
          <w:rPr>
            <w:rFonts w:cs="Times New Roman"/>
            <w:b w:val="0"/>
            <w:noProof/>
            <w:webHidden/>
          </w:rPr>
          <w:tab/>
        </w:r>
        <w:r w:rsidR="00D93069" w:rsidRPr="00D93069">
          <w:rPr>
            <w:rFonts w:cs="Times New Roman"/>
            <w:b w:val="0"/>
            <w:noProof/>
            <w:webHidden/>
          </w:rPr>
          <w:fldChar w:fldCharType="begin"/>
        </w:r>
        <w:r w:rsidR="00D93069" w:rsidRPr="00D93069">
          <w:rPr>
            <w:rFonts w:cs="Times New Roman"/>
            <w:b w:val="0"/>
            <w:noProof/>
            <w:webHidden/>
          </w:rPr>
          <w:instrText xml:space="preserve"> PAGEREF _Toc120865296 \h </w:instrText>
        </w:r>
        <w:r w:rsidR="00D93069" w:rsidRPr="00D93069">
          <w:rPr>
            <w:rFonts w:cs="Times New Roman"/>
            <w:b w:val="0"/>
            <w:noProof/>
            <w:webHidden/>
          </w:rPr>
        </w:r>
        <w:r w:rsidR="00D93069" w:rsidRPr="00D93069">
          <w:rPr>
            <w:rFonts w:cs="Times New Roman"/>
            <w:b w:val="0"/>
            <w:noProof/>
            <w:webHidden/>
          </w:rPr>
          <w:fldChar w:fldCharType="separate"/>
        </w:r>
        <w:r w:rsidR="00F906B6">
          <w:rPr>
            <w:rFonts w:cs="Times New Roman"/>
            <w:b w:val="0"/>
            <w:noProof/>
            <w:webHidden/>
          </w:rPr>
          <w:t>137</w:t>
        </w:r>
        <w:r w:rsidR="00D93069" w:rsidRPr="00D93069">
          <w:rPr>
            <w:rFonts w:cs="Times New Roman"/>
            <w:b w:val="0"/>
            <w:noProof/>
            <w:webHidden/>
          </w:rPr>
          <w:fldChar w:fldCharType="end"/>
        </w:r>
      </w:hyperlink>
    </w:p>
    <w:p w14:paraId="55EF3FEE" w14:textId="70A2F89C" w:rsidR="00D93069" w:rsidRPr="00D93069" w:rsidRDefault="00E767EF" w:rsidP="00D93069">
      <w:pPr>
        <w:pStyle w:val="TOC2"/>
        <w:rPr>
          <w:rFonts w:cs="Times New Roman"/>
          <w:b w:val="0"/>
          <w:bCs w:val="0"/>
          <w:noProof/>
          <w:sz w:val="24"/>
          <w:szCs w:val="24"/>
          <w:lang w:eastAsia="ru-RU"/>
        </w:rPr>
      </w:pPr>
      <w:hyperlink w:anchor="_Toc120865297" w:history="1">
        <w:r w:rsidR="00D93069" w:rsidRPr="00D93069">
          <w:rPr>
            <w:rStyle w:val="Hyperlink"/>
            <w:rFonts w:cs="Times New Roman"/>
            <w:b w:val="0"/>
            <w:noProof/>
            <w:sz w:val="24"/>
            <w:szCs w:val="24"/>
          </w:rPr>
          <w:t>8.1</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Перечень параметров безопасности</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_Toc120865297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137</w:t>
        </w:r>
        <w:r w:rsidR="00D93069" w:rsidRPr="00D93069">
          <w:rPr>
            <w:rFonts w:cs="Times New Roman"/>
            <w:b w:val="0"/>
            <w:noProof/>
            <w:webHidden/>
            <w:sz w:val="24"/>
            <w:szCs w:val="24"/>
          </w:rPr>
          <w:fldChar w:fldCharType="end"/>
        </w:r>
      </w:hyperlink>
    </w:p>
    <w:p w14:paraId="56747D7A" w14:textId="4416736F" w:rsidR="00D93069" w:rsidRPr="00D93069" w:rsidRDefault="00E767EF" w:rsidP="00D93069">
      <w:pPr>
        <w:pStyle w:val="TOC2"/>
        <w:rPr>
          <w:rFonts w:cs="Times New Roman"/>
          <w:b w:val="0"/>
          <w:bCs w:val="0"/>
          <w:noProof/>
          <w:sz w:val="24"/>
          <w:szCs w:val="24"/>
          <w:lang w:eastAsia="ru-RU"/>
        </w:rPr>
      </w:pPr>
      <w:hyperlink w:anchor="_Toc120865298" w:history="1">
        <w:r w:rsidR="00D93069" w:rsidRPr="00D93069">
          <w:rPr>
            <w:rStyle w:val="Hyperlink"/>
            <w:rFonts w:cs="Times New Roman"/>
            <w:b w:val="0"/>
            <w:noProof/>
            <w:sz w:val="24"/>
            <w:szCs w:val="24"/>
          </w:rPr>
          <w:t>8.2</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Определение понятий</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_Toc120865298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137</w:t>
        </w:r>
        <w:r w:rsidR="00D93069" w:rsidRPr="00D93069">
          <w:rPr>
            <w:rFonts w:cs="Times New Roman"/>
            <w:b w:val="0"/>
            <w:noProof/>
            <w:webHidden/>
            <w:sz w:val="24"/>
            <w:szCs w:val="24"/>
          </w:rPr>
          <w:fldChar w:fldCharType="end"/>
        </w:r>
      </w:hyperlink>
    </w:p>
    <w:p w14:paraId="4DFEA05D" w14:textId="770727E3" w:rsidR="00D93069" w:rsidRPr="00D93069" w:rsidRDefault="00E767EF" w:rsidP="00D93069">
      <w:pPr>
        <w:pStyle w:val="TOC3"/>
        <w:tabs>
          <w:tab w:val="left" w:pos="1200"/>
          <w:tab w:val="right" w:leader="dot" w:pos="9345"/>
        </w:tabs>
        <w:rPr>
          <w:rFonts w:cs="Times New Roman"/>
          <w:noProof/>
          <w:sz w:val="24"/>
          <w:szCs w:val="24"/>
          <w:lang w:eastAsia="ru-RU"/>
        </w:rPr>
      </w:pPr>
      <w:hyperlink w:anchor="_Toc120865299" w:history="1">
        <w:r w:rsidR="00D93069" w:rsidRPr="00D93069">
          <w:rPr>
            <w:rStyle w:val="Hyperlink"/>
            <w:rFonts w:cs="Times New Roman"/>
            <w:noProof/>
            <w:sz w:val="24"/>
            <w:szCs w:val="24"/>
          </w:rPr>
          <w:t>8.2.1</w:t>
        </w:r>
        <w:r w:rsidR="00D93069" w:rsidRPr="00D93069">
          <w:rPr>
            <w:rFonts w:cs="Times New Roman"/>
            <w:noProof/>
            <w:sz w:val="24"/>
            <w:szCs w:val="24"/>
            <w:lang w:eastAsia="ru-RU"/>
          </w:rPr>
          <w:tab/>
        </w:r>
        <w:r w:rsidR="00D93069" w:rsidRPr="00D93069">
          <w:rPr>
            <w:rStyle w:val="Hyperlink"/>
            <w:rFonts w:cs="Times New Roman"/>
            <w:noProof/>
            <w:sz w:val="24"/>
            <w:szCs w:val="24"/>
          </w:rPr>
          <w:t>Нежелательные явления</w:t>
        </w:r>
        <w:r w:rsidR="00D93069" w:rsidRPr="00D93069">
          <w:rPr>
            <w:rFonts w:cs="Times New Roman"/>
            <w:noProof/>
            <w:webHidden/>
            <w:sz w:val="24"/>
            <w:szCs w:val="24"/>
          </w:rPr>
          <w:tab/>
        </w:r>
        <w:r w:rsidR="00D93069" w:rsidRPr="00D93069">
          <w:rPr>
            <w:rFonts w:cs="Times New Roman"/>
            <w:noProof/>
            <w:webHidden/>
            <w:sz w:val="24"/>
            <w:szCs w:val="24"/>
          </w:rPr>
          <w:fldChar w:fldCharType="begin"/>
        </w:r>
        <w:r w:rsidR="00D93069" w:rsidRPr="00D93069">
          <w:rPr>
            <w:rFonts w:cs="Times New Roman"/>
            <w:noProof/>
            <w:webHidden/>
            <w:sz w:val="24"/>
            <w:szCs w:val="24"/>
          </w:rPr>
          <w:instrText xml:space="preserve"> PAGEREF _Toc120865299 \h </w:instrText>
        </w:r>
        <w:r w:rsidR="00D93069" w:rsidRPr="00D93069">
          <w:rPr>
            <w:rFonts w:cs="Times New Roman"/>
            <w:noProof/>
            <w:webHidden/>
            <w:sz w:val="24"/>
            <w:szCs w:val="24"/>
          </w:rPr>
        </w:r>
        <w:r w:rsidR="00D93069" w:rsidRPr="00D93069">
          <w:rPr>
            <w:rFonts w:cs="Times New Roman"/>
            <w:noProof/>
            <w:webHidden/>
            <w:sz w:val="24"/>
            <w:szCs w:val="24"/>
          </w:rPr>
          <w:fldChar w:fldCharType="separate"/>
        </w:r>
        <w:r w:rsidR="00F906B6">
          <w:rPr>
            <w:rFonts w:cs="Times New Roman"/>
            <w:noProof/>
            <w:webHidden/>
            <w:sz w:val="24"/>
            <w:szCs w:val="24"/>
          </w:rPr>
          <w:t>137</w:t>
        </w:r>
        <w:r w:rsidR="00D93069" w:rsidRPr="00D93069">
          <w:rPr>
            <w:rFonts w:cs="Times New Roman"/>
            <w:noProof/>
            <w:webHidden/>
            <w:sz w:val="24"/>
            <w:szCs w:val="24"/>
          </w:rPr>
          <w:fldChar w:fldCharType="end"/>
        </w:r>
      </w:hyperlink>
    </w:p>
    <w:p w14:paraId="3C5AF0F8" w14:textId="33EC9CFB" w:rsidR="00D93069" w:rsidRPr="00D93069" w:rsidRDefault="00E767EF" w:rsidP="00D93069">
      <w:pPr>
        <w:pStyle w:val="TOC2"/>
        <w:rPr>
          <w:rFonts w:cs="Times New Roman"/>
          <w:b w:val="0"/>
          <w:bCs w:val="0"/>
          <w:noProof/>
          <w:sz w:val="24"/>
          <w:szCs w:val="24"/>
          <w:lang w:eastAsia="ru-RU"/>
        </w:rPr>
      </w:pPr>
      <w:hyperlink w:anchor="_Toc120865300" w:history="1">
        <w:r w:rsidR="00D93069" w:rsidRPr="00D93069">
          <w:rPr>
            <w:rStyle w:val="Hyperlink"/>
            <w:rFonts w:cs="Times New Roman"/>
            <w:b w:val="0"/>
            <w:noProof/>
            <w:sz w:val="24"/>
            <w:szCs w:val="24"/>
          </w:rPr>
          <w:t>8.3</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Регистрация нежелательных явлений</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_Toc120865300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138</w:t>
        </w:r>
        <w:r w:rsidR="00D93069" w:rsidRPr="00D93069">
          <w:rPr>
            <w:rFonts w:cs="Times New Roman"/>
            <w:b w:val="0"/>
            <w:noProof/>
            <w:webHidden/>
            <w:sz w:val="24"/>
            <w:szCs w:val="24"/>
          </w:rPr>
          <w:fldChar w:fldCharType="end"/>
        </w:r>
      </w:hyperlink>
    </w:p>
    <w:p w14:paraId="07DB2420" w14:textId="6AA7A21E" w:rsidR="00D93069" w:rsidRPr="00D93069" w:rsidRDefault="00E767EF" w:rsidP="00D93069">
      <w:pPr>
        <w:pStyle w:val="TOC3"/>
        <w:tabs>
          <w:tab w:val="left" w:pos="1200"/>
          <w:tab w:val="right" w:leader="dot" w:pos="9345"/>
        </w:tabs>
        <w:rPr>
          <w:rFonts w:cs="Times New Roman"/>
          <w:noProof/>
          <w:sz w:val="24"/>
          <w:szCs w:val="24"/>
          <w:lang w:eastAsia="ru-RU"/>
        </w:rPr>
      </w:pPr>
      <w:hyperlink w:anchor="_Toc120865301" w:history="1">
        <w:r w:rsidR="00D93069" w:rsidRPr="00D93069">
          <w:rPr>
            <w:rStyle w:val="Hyperlink"/>
            <w:rFonts w:cs="Times New Roman"/>
            <w:noProof/>
            <w:sz w:val="24"/>
            <w:szCs w:val="24"/>
          </w:rPr>
          <w:t>8.3.1</w:t>
        </w:r>
        <w:r w:rsidR="00D93069" w:rsidRPr="00D93069">
          <w:rPr>
            <w:rFonts w:cs="Times New Roman"/>
            <w:noProof/>
            <w:sz w:val="24"/>
            <w:szCs w:val="24"/>
            <w:lang w:eastAsia="ru-RU"/>
          </w:rPr>
          <w:tab/>
        </w:r>
        <w:r w:rsidR="00D93069" w:rsidRPr="00D93069">
          <w:rPr>
            <w:rStyle w:val="Hyperlink"/>
            <w:rFonts w:cs="Times New Roman"/>
            <w:noProof/>
            <w:sz w:val="24"/>
            <w:szCs w:val="24"/>
          </w:rPr>
          <w:t>Оценка тяжести нежелательного явления</w:t>
        </w:r>
        <w:r w:rsidR="00D93069" w:rsidRPr="00D93069">
          <w:rPr>
            <w:rFonts w:cs="Times New Roman"/>
            <w:noProof/>
            <w:webHidden/>
            <w:sz w:val="24"/>
            <w:szCs w:val="24"/>
          </w:rPr>
          <w:tab/>
        </w:r>
        <w:r w:rsidR="00D93069" w:rsidRPr="00D93069">
          <w:rPr>
            <w:rFonts w:cs="Times New Roman"/>
            <w:noProof/>
            <w:webHidden/>
            <w:sz w:val="24"/>
            <w:szCs w:val="24"/>
          </w:rPr>
          <w:fldChar w:fldCharType="begin"/>
        </w:r>
        <w:r w:rsidR="00D93069" w:rsidRPr="00D93069">
          <w:rPr>
            <w:rFonts w:cs="Times New Roman"/>
            <w:noProof/>
            <w:webHidden/>
            <w:sz w:val="24"/>
            <w:szCs w:val="24"/>
          </w:rPr>
          <w:instrText xml:space="preserve"> PAGEREF _Toc120865301 \h </w:instrText>
        </w:r>
        <w:r w:rsidR="00D93069" w:rsidRPr="00D93069">
          <w:rPr>
            <w:rFonts w:cs="Times New Roman"/>
            <w:noProof/>
            <w:webHidden/>
            <w:sz w:val="24"/>
            <w:szCs w:val="24"/>
          </w:rPr>
        </w:r>
        <w:r w:rsidR="00D93069" w:rsidRPr="00D93069">
          <w:rPr>
            <w:rFonts w:cs="Times New Roman"/>
            <w:noProof/>
            <w:webHidden/>
            <w:sz w:val="24"/>
            <w:szCs w:val="24"/>
          </w:rPr>
          <w:fldChar w:fldCharType="separate"/>
        </w:r>
        <w:r w:rsidR="00F906B6">
          <w:rPr>
            <w:rFonts w:cs="Times New Roman"/>
            <w:noProof/>
            <w:webHidden/>
            <w:sz w:val="24"/>
            <w:szCs w:val="24"/>
          </w:rPr>
          <w:t>139</w:t>
        </w:r>
        <w:r w:rsidR="00D93069" w:rsidRPr="00D93069">
          <w:rPr>
            <w:rFonts w:cs="Times New Roman"/>
            <w:noProof/>
            <w:webHidden/>
            <w:sz w:val="24"/>
            <w:szCs w:val="24"/>
          </w:rPr>
          <w:fldChar w:fldCharType="end"/>
        </w:r>
      </w:hyperlink>
    </w:p>
    <w:p w14:paraId="7D05A4C8" w14:textId="20F594E5" w:rsidR="00D93069" w:rsidRPr="00D93069" w:rsidRDefault="00E767EF" w:rsidP="00D93069">
      <w:pPr>
        <w:pStyle w:val="TOC2"/>
        <w:rPr>
          <w:rFonts w:cs="Times New Roman"/>
          <w:b w:val="0"/>
          <w:bCs w:val="0"/>
          <w:noProof/>
          <w:sz w:val="24"/>
          <w:szCs w:val="24"/>
          <w:lang w:eastAsia="ru-RU"/>
        </w:rPr>
      </w:pPr>
      <w:hyperlink w:anchor="_Toc120865302" w:history="1">
        <w:r w:rsidR="00D93069" w:rsidRPr="00D93069">
          <w:rPr>
            <w:rStyle w:val="Hyperlink"/>
            <w:rFonts w:cs="Times New Roman"/>
            <w:b w:val="0"/>
            <w:noProof/>
            <w:sz w:val="24"/>
            <w:szCs w:val="24"/>
          </w:rPr>
          <w:t>8.4</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Лабораторные отклонения и отклонения физиологических параметров</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_Toc120865302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139</w:t>
        </w:r>
        <w:r w:rsidR="00D93069" w:rsidRPr="00D93069">
          <w:rPr>
            <w:rFonts w:cs="Times New Roman"/>
            <w:b w:val="0"/>
            <w:noProof/>
            <w:webHidden/>
            <w:sz w:val="24"/>
            <w:szCs w:val="24"/>
          </w:rPr>
          <w:fldChar w:fldCharType="end"/>
        </w:r>
      </w:hyperlink>
    </w:p>
    <w:p w14:paraId="5C8F7F98" w14:textId="1CD13027" w:rsidR="00D93069" w:rsidRPr="00D93069" w:rsidRDefault="00E767EF" w:rsidP="00D93069">
      <w:pPr>
        <w:pStyle w:val="TOC2"/>
        <w:rPr>
          <w:rFonts w:cs="Times New Roman"/>
          <w:b w:val="0"/>
          <w:bCs w:val="0"/>
          <w:noProof/>
          <w:sz w:val="24"/>
          <w:szCs w:val="24"/>
          <w:lang w:eastAsia="ru-RU"/>
        </w:rPr>
      </w:pPr>
      <w:hyperlink w:anchor="_Toc120865303" w:history="1">
        <w:r w:rsidR="00D93069" w:rsidRPr="00D93069">
          <w:rPr>
            <w:rStyle w:val="Hyperlink"/>
            <w:rFonts w:cs="Times New Roman"/>
            <w:b w:val="0"/>
            <w:noProof/>
            <w:sz w:val="24"/>
            <w:szCs w:val="24"/>
          </w:rPr>
          <w:t>8.5</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Специфические требования к регистрации НЯ и СНЯ</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_Toc120865303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140</w:t>
        </w:r>
        <w:r w:rsidR="00D93069" w:rsidRPr="00D93069">
          <w:rPr>
            <w:rFonts w:cs="Times New Roman"/>
            <w:b w:val="0"/>
            <w:noProof/>
            <w:webHidden/>
            <w:sz w:val="24"/>
            <w:szCs w:val="24"/>
          </w:rPr>
          <w:fldChar w:fldCharType="end"/>
        </w:r>
      </w:hyperlink>
    </w:p>
    <w:p w14:paraId="081EDCA3" w14:textId="642AAB62" w:rsidR="00D93069" w:rsidRPr="00D93069" w:rsidRDefault="00E767EF" w:rsidP="00D93069">
      <w:pPr>
        <w:pStyle w:val="TOC2"/>
        <w:rPr>
          <w:rFonts w:cs="Times New Roman"/>
          <w:b w:val="0"/>
          <w:bCs w:val="0"/>
          <w:noProof/>
          <w:sz w:val="24"/>
          <w:szCs w:val="24"/>
          <w:lang w:eastAsia="ru-RU"/>
        </w:rPr>
      </w:pPr>
      <w:hyperlink w:anchor="_Toc120865304" w:history="1">
        <w:r w:rsidR="00D93069" w:rsidRPr="00D93069">
          <w:rPr>
            <w:rStyle w:val="Hyperlink"/>
            <w:rFonts w:cs="Times New Roman"/>
            <w:b w:val="0"/>
            <w:noProof/>
            <w:sz w:val="24"/>
            <w:szCs w:val="24"/>
          </w:rPr>
          <w:t>8.6</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Серьезные нежелательные явления (СНЯ)</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_Toc120865304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140</w:t>
        </w:r>
        <w:r w:rsidR="00D93069" w:rsidRPr="00D93069">
          <w:rPr>
            <w:rFonts w:cs="Times New Roman"/>
            <w:b w:val="0"/>
            <w:noProof/>
            <w:webHidden/>
            <w:sz w:val="24"/>
            <w:szCs w:val="24"/>
          </w:rPr>
          <w:fldChar w:fldCharType="end"/>
        </w:r>
      </w:hyperlink>
    </w:p>
    <w:p w14:paraId="23031AB4" w14:textId="5621F255" w:rsidR="00D93069" w:rsidRPr="00D93069" w:rsidRDefault="00E767EF" w:rsidP="00D93069">
      <w:pPr>
        <w:pStyle w:val="TOC3"/>
        <w:tabs>
          <w:tab w:val="left" w:pos="1200"/>
          <w:tab w:val="right" w:leader="dot" w:pos="9345"/>
        </w:tabs>
        <w:rPr>
          <w:rFonts w:cs="Times New Roman"/>
          <w:noProof/>
          <w:sz w:val="24"/>
          <w:szCs w:val="24"/>
          <w:lang w:eastAsia="ru-RU"/>
        </w:rPr>
      </w:pPr>
      <w:hyperlink w:anchor="_Toc120865305" w:history="1">
        <w:r w:rsidR="00D93069" w:rsidRPr="00D93069">
          <w:rPr>
            <w:rStyle w:val="Hyperlink"/>
            <w:rFonts w:cs="Times New Roman"/>
            <w:noProof/>
            <w:sz w:val="24"/>
            <w:szCs w:val="24"/>
          </w:rPr>
          <w:t>8.6.1</w:t>
        </w:r>
        <w:r w:rsidR="00D93069" w:rsidRPr="00D93069">
          <w:rPr>
            <w:rFonts w:cs="Times New Roman"/>
            <w:noProof/>
            <w:sz w:val="24"/>
            <w:szCs w:val="24"/>
            <w:lang w:eastAsia="ru-RU"/>
          </w:rPr>
          <w:tab/>
        </w:r>
        <w:r w:rsidR="00D93069" w:rsidRPr="00D93069">
          <w:rPr>
            <w:rStyle w:val="Hyperlink"/>
            <w:rFonts w:cs="Times New Roman"/>
            <w:noProof/>
            <w:sz w:val="24"/>
            <w:szCs w:val="24"/>
          </w:rPr>
          <w:t>Порядок сообщения о СНЯ</w:t>
        </w:r>
        <w:r w:rsidR="00D93069" w:rsidRPr="00D93069">
          <w:rPr>
            <w:rFonts w:cs="Times New Roman"/>
            <w:noProof/>
            <w:webHidden/>
            <w:sz w:val="24"/>
            <w:szCs w:val="24"/>
          </w:rPr>
          <w:tab/>
        </w:r>
        <w:r w:rsidR="00D93069" w:rsidRPr="00D93069">
          <w:rPr>
            <w:rFonts w:cs="Times New Roman"/>
            <w:noProof/>
            <w:webHidden/>
            <w:sz w:val="24"/>
            <w:szCs w:val="24"/>
          </w:rPr>
          <w:fldChar w:fldCharType="begin"/>
        </w:r>
        <w:r w:rsidR="00D93069" w:rsidRPr="00D93069">
          <w:rPr>
            <w:rFonts w:cs="Times New Roman"/>
            <w:noProof/>
            <w:webHidden/>
            <w:sz w:val="24"/>
            <w:szCs w:val="24"/>
          </w:rPr>
          <w:instrText xml:space="preserve"> PAGEREF _Toc120865305 \h </w:instrText>
        </w:r>
        <w:r w:rsidR="00D93069" w:rsidRPr="00D93069">
          <w:rPr>
            <w:rFonts w:cs="Times New Roman"/>
            <w:noProof/>
            <w:webHidden/>
            <w:sz w:val="24"/>
            <w:szCs w:val="24"/>
          </w:rPr>
        </w:r>
        <w:r w:rsidR="00D93069" w:rsidRPr="00D93069">
          <w:rPr>
            <w:rFonts w:cs="Times New Roman"/>
            <w:noProof/>
            <w:webHidden/>
            <w:sz w:val="24"/>
            <w:szCs w:val="24"/>
          </w:rPr>
          <w:fldChar w:fldCharType="separate"/>
        </w:r>
        <w:r w:rsidR="00F906B6">
          <w:rPr>
            <w:rFonts w:cs="Times New Roman"/>
            <w:noProof/>
            <w:webHidden/>
            <w:sz w:val="24"/>
            <w:szCs w:val="24"/>
          </w:rPr>
          <w:t>141</w:t>
        </w:r>
        <w:r w:rsidR="00D93069" w:rsidRPr="00D93069">
          <w:rPr>
            <w:rFonts w:cs="Times New Roman"/>
            <w:noProof/>
            <w:webHidden/>
            <w:sz w:val="24"/>
            <w:szCs w:val="24"/>
          </w:rPr>
          <w:fldChar w:fldCharType="end"/>
        </w:r>
      </w:hyperlink>
    </w:p>
    <w:p w14:paraId="49243BCA" w14:textId="43A2CEF9" w:rsidR="00D93069" w:rsidRPr="00D93069" w:rsidRDefault="00E767EF" w:rsidP="00D93069">
      <w:pPr>
        <w:pStyle w:val="TOC3"/>
        <w:tabs>
          <w:tab w:val="left" w:pos="1200"/>
          <w:tab w:val="right" w:leader="dot" w:pos="9345"/>
        </w:tabs>
        <w:rPr>
          <w:rFonts w:cs="Times New Roman"/>
          <w:noProof/>
          <w:sz w:val="24"/>
          <w:szCs w:val="24"/>
          <w:lang w:eastAsia="ru-RU"/>
        </w:rPr>
      </w:pPr>
      <w:hyperlink w:anchor="_Toc120865306" w:history="1">
        <w:r w:rsidR="00D93069" w:rsidRPr="00D93069">
          <w:rPr>
            <w:rStyle w:val="Hyperlink"/>
            <w:rFonts w:cs="Times New Roman"/>
            <w:noProof/>
            <w:sz w:val="24"/>
            <w:szCs w:val="24"/>
          </w:rPr>
          <w:t>8.6.2</w:t>
        </w:r>
        <w:r w:rsidR="00D93069" w:rsidRPr="00D93069">
          <w:rPr>
            <w:rFonts w:cs="Times New Roman"/>
            <w:noProof/>
            <w:sz w:val="24"/>
            <w:szCs w:val="24"/>
            <w:lang w:eastAsia="ru-RU"/>
          </w:rPr>
          <w:tab/>
        </w:r>
        <w:r w:rsidR="00D93069" w:rsidRPr="00D93069">
          <w:rPr>
            <w:rStyle w:val="Hyperlink"/>
            <w:rFonts w:cs="Times New Roman"/>
            <w:noProof/>
            <w:sz w:val="24"/>
            <w:szCs w:val="24"/>
          </w:rPr>
          <w:t>Заполнение формы отчета о серьезном нежелательном явлении</w:t>
        </w:r>
        <w:r w:rsidR="00D93069" w:rsidRPr="00D93069">
          <w:rPr>
            <w:rFonts w:cs="Times New Roman"/>
            <w:noProof/>
            <w:webHidden/>
            <w:sz w:val="24"/>
            <w:szCs w:val="24"/>
          </w:rPr>
          <w:tab/>
        </w:r>
        <w:r w:rsidR="00D93069" w:rsidRPr="00D93069">
          <w:rPr>
            <w:rFonts w:cs="Times New Roman"/>
            <w:noProof/>
            <w:webHidden/>
            <w:sz w:val="24"/>
            <w:szCs w:val="24"/>
          </w:rPr>
          <w:fldChar w:fldCharType="begin"/>
        </w:r>
        <w:r w:rsidR="00D93069" w:rsidRPr="00D93069">
          <w:rPr>
            <w:rFonts w:cs="Times New Roman"/>
            <w:noProof/>
            <w:webHidden/>
            <w:sz w:val="24"/>
            <w:szCs w:val="24"/>
          </w:rPr>
          <w:instrText xml:space="preserve"> PAGEREF _Toc120865306 \h </w:instrText>
        </w:r>
        <w:r w:rsidR="00D93069" w:rsidRPr="00D93069">
          <w:rPr>
            <w:rFonts w:cs="Times New Roman"/>
            <w:noProof/>
            <w:webHidden/>
            <w:sz w:val="24"/>
            <w:szCs w:val="24"/>
          </w:rPr>
        </w:r>
        <w:r w:rsidR="00D93069" w:rsidRPr="00D93069">
          <w:rPr>
            <w:rFonts w:cs="Times New Roman"/>
            <w:noProof/>
            <w:webHidden/>
            <w:sz w:val="24"/>
            <w:szCs w:val="24"/>
          </w:rPr>
          <w:fldChar w:fldCharType="separate"/>
        </w:r>
        <w:r w:rsidR="00F906B6">
          <w:rPr>
            <w:rFonts w:cs="Times New Roman"/>
            <w:noProof/>
            <w:webHidden/>
            <w:sz w:val="24"/>
            <w:szCs w:val="24"/>
          </w:rPr>
          <w:t>141</w:t>
        </w:r>
        <w:r w:rsidR="00D93069" w:rsidRPr="00D93069">
          <w:rPr>
            <w:rFonts w:cs="Times New Roman"/>
            <w:noProof/>
            <w:webHidden/>
            <w:sz w:val="24"/>
            <w:szCs w:val="24"/>
          </w:rPr>
          <w:fldChar w:fldCharType="end"/>
        </w:r>
      </w:hyperlink>
    </w:p>
    <w:p w14:paraId="0E168A67" w14:textId="07E3563B" w:rsidR="00D93069" w:rsidRPr="00D93069" w:rsidRDefault="00E767EF" w:rsidP="00D93069">
      <w:pPr>
        <w:pStyle w:val="TOC3"/>
        <w:tabs>
          <w:tab w:val="left" w:pos="1200"/>
          <w:tab w:val="right" w:leader="dot" w:pos="9345"/>
        </w:tabs>
        <w:rPr>
          <w:rFonts w:cs="Times New Roman"/>
          <w:noProof/>
          <w:sz w:val="24"/>
          <w:szCs w:val="24"/>
          <w:lang w:eastAsia="ru-RU"/>
        </w:rPr>
      </w:pPr>
      <w:hyperlink w:anchor="_Toc120865307" w:history="1">
        <w:r w:rsidR="00D93069" w:rsidRPr="00D93069">
          <w:rPr>
            <w:rStyle w:val="Hyperlink"/>
            <w:rFonts w:cs="Times New Roman"/>
            <w:noProof/>
            <w:sz w:val="24"/>
            <w:szCs w:val="24"/>
          </w:rPr>
          <w:t>8.6.3</w:t>
        </w:r>
        <w:r w:rsidR="00D93069" w:rsidRPr="00D93069">
          <w:rPr>
            <w:rFonts w:cs="Times New Roman"/>
            <w:noProof/>
            <w:sz w:val="24"/>
            <w:szCs w:val="24"/>
            <w:lang w:eastAsia="ru-RU"/>
          </w:rPr>
          <w:tab/>
        </w:r>
        <w:r w:rsidR="00D93069" w:rsidRPr="00D93069">
          <w:rPr>
            <w:rStyle w:val="Hyperlink"/>
            <w:rFonts w:cs="Times New Roman"/>
            <w:noProof/>
            <w:sz w:val="24"/>
            <w:szCs w:val="24"/>
          </w:rPr>
          <w:t>Подача отчетов о подозреваемых непредвиденных серьезных нежелательных реакциях (SUSAR)</w:t>
        </w:r>
        <w:r w:rsidR="00D93069" w:rsidRPr="00D93069">
          <w:rPr>
            <w:rFonts w:cs="Times New Roman"/>
            <w:noProof/>
            <w:webHidden/>
            <w:sz w:val="24"/>
            <w:szCs w:val="24"/>
          </w:rPr>
          <w:tab/>
        </w:r>
        <w:r w:rsidR="00D93069" w:rsidRPr="00D93069">
          <w:rPr>
            <w:rFonts w:cs="Times New Roman"/>
            <w:noProof/>
            <w:webHidden/>
            <w:sz w:val="24"/>
            <w:szCs w:val="24"/>
          </w:rPr>
          <w:fldChar w:fldCharType="begin"/>
        </w:r>
        <w:r w:rsidR="00D93069" w:rsidRPr="00D93069">
          <w:rPr>
            <w:rFonts w:cs="Times New Roman"/>
            <w:noProof/>
            <w:webHidden/>
            <w:sz w:val="24"/>
            <w:szCs w:val="24"/>
          </w:rPr>
          <w:instrText xml:space="preserve"> PAGEREF _Toc120865307 \h </w:instrText>
        </w:r>
        <w:r w:rsidR="00D93069" w:rsidRPr="00D93069">
          <w:rPr>
            <w:rFonts w:cs="Times New Roman"/>
            <w:noProof/>
            <w:webHidden/>
            <w:sz w:val="24"/>
            <w:szCs w:val="24"/>
          </w:rPr>
        </w:r>
        <w:r w:rsidR="00D93069" w:rsidRPr="00D93069">
          <w:rPr>
            <w:rFonts w:cs="Times New Roman"/>
            <w:noProof/>
            <w:webHidden/>
            <w:sz w:val="24"/>
            <w:szCs w:val="24"/>
          </w:rPr>
          <w:fldChar w:fldCharType="separate"/>
        </w:r>
        <w:r w:rsidR="00F906B6">
          <w:rPr>
            <w:rFonts w:cs="Times New Roman"/>
            <w:noProof/>
            <w:webHidden/>
            <w:sz w:val="24"/>
            <w:szCs w:val="24"/>
          </w:rPr>
          <w:t>141</w:t>
        </w:r>
        <w:r w:rsidR="00D93069" w:rsidRPr="00D93069">
          <w:rPr>
            <w:rFonts w:cs="Times New Roman"/>
            <w:noProof/>
            <w:webHidden/>
            <w:sz w:val="24"/>
            <w:szCs w:val="24"/>
          </w:rPr>
          <w:fldChar w:fldCharType="end"/>
        </w:r>
      </w:hyperlink>
    </w:p>
    <w:p w14:paraId="11C858FA" w14:textId="76A7EF1E" w:rsidR="00D93069" w:rsidRPr="00D93069" w:rsidRDefault="00E767EF" w:rsidP="00D93069">
      <w:pPr>
        <w:pStyle w:val="TOC3"/>
        <w:tabs>
          <w:tab w:val="left" w:pos="1200"/>
          <w:tab w:val="right" w:leader="dot" w:pos="9345"/>
        </w:tabs>
        <w:rPr>
          <w:rFonts w:cs="Times New Roman"/>
          <w:noProof/>
          <w:sz w:val="24"/>
          <w:szCs w:val="24"/>
          <w:lang w:eastAsia="ru-RU"/>
        </w:rPr>
      </w:pPr>
      <w:hyperlink w:anchor="_Toc120865308" w:history="1">
        <w:r w:rsidR="00D93069" w:rsidRPr="00D93069">
          <w:rPr>
            <w:rStyle w:val="Hyperlink"/>
            <w:rFonts w:cs="Times New Roman"/>
            <w:noProof/>
            <w:sz w:val="24"/>
            <w:szCs w:val="24"/>
          </w:rPr>
          <w:t>8.6.4</w:t>
        </w:r>
        <w:r w:rsidR="00D93069" w:rsidRPr="00D93069">
          <w:rPr>
            <w:rFonts w:cs="Times New Roman"/>
            <w:noProof/>
            <w:sz w:val="24"/>
            <w:szCs w:val="24"/>
            <w:lang w:eastAsia="ru-RU"/>
          </w:rPr>
          <w:tab/>
        </w:r>
        <w:r w:rsidR="00D93069" w:rsidRPr="00D93069">
          <w:rPr>
            <w:rStyle w:val="Hyperlink"/>
            <w:rFonts w:cs="Times New Roman"/>
            <w:noProof/>
            <w:sz w:val="24"/>
            <w:szCs w:val="24"/>
          </w:rPr>
          <w:t>Подача других отчетов о безопасности лечения</w:t>
        </w:r>
        <w:r w:rsidR="00D93069" w:rsidRPr="00D93069">
          <w:rPr>
            <w:rFonts w:cs="Times New Roman"/>
            <w:noProof/>
            <w:webHidden/>
            <w:sz w:val="24"/>
            <w:szCs w:val="24"/>
          </w:rPr>
          <w:tab/>
        </w:r>
        <w:r w:rsidR="00D93069" w:rsidRPr="00D93069">
          <w:rPr>
            <w:rFonts w:cs="Times New Roman"/>
            <w:noProof/>
            <w:webHidden/>
            <w:sz w:val="24"/>
            <w:szCs w:val="24"/>
          </w:rPr>
          <w:fldChar w:fldCharType="begin"/>
        </w:r>
        <w:r w:rsidR="00D93069" w:rsidRPr="00D93069">
          <w:rPr>
            <w:rFonts w:cs="Times New Roman"/>
            <w:noProof/>
            <w:webHidden/>
            <w:sz w:val="24"/>
            <w:szCs w:val="24"/>
          </w:rPr>
          <w:instrText xml:space="preserve"> PAGEREF _Toc120865308 \h </w:instrText>
        </w:r>
        <w:r w:rsidR="00D93069" w:rsidRPr="00D93069">
          <w:rPr>
            <w:rFonts w:cs="Times New Roman"/>
            <w:noProof/>
            <w:webHidden/>
            <w:sz w:val="24"/>
            <w:szCs w:val="24"/>
          </w:rPr>
        </w:r>
        <w:r w:rsidR="00D93069" w:rsidRPr="00D93069">
          <w:rPr>
            <w:rFonts w:cs="Times New Roman"/>
            <w:noProof/>
            <w:webHidden/>
            <w:sz w:val="24"/>
            <w:szCs w:val="24"/>
          </w:rPr>
          <w:fldChar w:fldCharType="separate"/>
        </w:r>
        <w:r w:rsidR="00F906B6">
          <w:rPr>
            <w:rFonts w:cs="Times New Roman"/>
            <w:noProof/>
            <w:webHidden/>
            <w:sz w:val="24"/>
            <w:szCs w:val="24"/>
          </w:rPr>
          <w:t>141</w:t>
        </w:r>
        <w:r w:rsidR="00D93069" w:rsidRPr="00D93069">
          <w:rPr>
            <w:rFonts w:cs="Times New Roman"/>
            <w:noProof/>
            <w:webHidden/>
            <w:sz w:val="24"/>
            <w:szCs w:val="24"/>
          </w:rPr>
          <w:fldChar w:fldCharType="end"/>
        </w:r>
      </w:hyperlink>
    </w:p>
    <w:p w14:paraId="4E0A3434" w14:textId="4D44BFCC" w:rsidR="00D93069" w:rsidRPr="00D93069" w:rsidRDefault="00E767EF" w:rsidP="00D93069">
      <w:pPr>
        <w:pStyle w:val="TOC2"/>
        <w:rPr>
          <w:rFonts w:cs="Times New Roman"/>
          <w:b w:val="0"/>
          <w:bCs w:val="0"/>
          <w:noProof/>
          <w:sz w:val="24"/>
          <w:szCs w:val="24"/>
          <w:lang w:eastAsia="ru-RU"/>
        </w:rPr>
      </w:pPr>
      <w:hyperlink w:anchor="_Toc120865309" w:history="1">
        <w:r w:rsidR="00D93069" w:rsidRPr="00D93069">
          <w:rPr>
            <w:rStyle w:val="Hyperlink"/>
            <w:rFonts w:cs="Times New Roman"/>
            <w:b w:val="0"/>
            <w:noProof/>
            <w:sz w:val="24"/>
            <w:szCs w:val="24"/>
          </w:rPr>
          <w:t>8.7</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Беременность</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_Toc120865309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142</w:t>
        </w:r>
        <w:r w:rsidR="00D93069" w:rsidRPr="00D93069">
          <w:rPr>
            <w:rFonts w:cs="Times New Roman"/>
            <w:b w:val="0"/>
            <w:noProof/>
            <w:webHidden/>
            <w:sz w:val="24"/>
            <w:szCs w:val="24"/>
          </w:rPr>
          <w:fldChar w:fldCharType="end"/>
        </w:r>
      </w:hyperlink>
    </w:p>
    <w:p w14:paraId="7881905F" w14:textId="1F636BFC" w:rsidR="00D93069" w:rsidRPr="00D93069" w:rsidRDefault="00E767EF" w:rsidP="00D93069">
      <w:pPr>
        <w:pStyle w:val="TOC2"/>
        <w:rPr>
          <w:rFonts w:cs="Times New Roman"/>
          <w:b w:val="0"/>
          <w:bCs w:val="0"/>
          <w:noProof/>
          <w:sz w:val="24"/>
          <w:szCs w:val="24"/>
          <w:lang w:eastAsia="ru-RU"/>
        </w:rPr>
      </w:pPr>
      <w:hyperlink w:anchor="_Toc120865310" w:history="1">
        <w:r w:rsidR="00D93069" w:rsidRPr="00D93069">
          <w:rPr>
            <w:rStyle w:val="Hyperlink"/>
            <w:rFonts w:cs="Times New Roman"/>
            <w:b w:val="0"/>
            <w:noProof/>
            <w:sz w:val="24"/>
            <w:szCs w:val="24"/>
          </w:rPr>
          <w:t>8.8</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Последующее наблюдение за нежелательными явлениями</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_Toc120865310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143</w:t>
        </w:r>
        <w:r w:rsidR="00D93069" w:rsidRPr="00D93069">
          <w:rPr>
            <w:rFonts w:cs="Times New Roman"/>
            <w:b w:val="0"/>
            <w:noProof/>
            <w:webHidden/>
            <w:sz w:val="24"/>
            <w:szCs w:val="24"/>
          </w:rPr>
          <w:fldChar w:fldCharType="end"/>
        </w:r>
      </w:hyperlink>
    </w:p>
    <w:p w14:paraId="1D8C726B" w14:textId="6A3C511D" w:rsidR="00D93069" w:rsidRPr="00D93069" w:rsidRDefault="00E767EF" w:rsidP="00D93069">
      <w:pPr>
        <w:pStyle w:val="TOC1"/>
        <w:rPr>
          <w:rFonts w:cs="Times New Roman"/>
          <w:b w:val="0"/>
          <w:bCs w:val="0"/>
          <w:noProof/>
          <w:lang w:eastAsia="ru-RU"/>
        </w:rPr>
      </w:pPr>
      <w:hyperlink w:anchor="_Toc120865311" w:history="1">
        <w:r w:rsidR="00D93069" w:rsidRPr="00D93069">
          <w:rPr>
            <w:rStyle w:val="Hyperlink"/>
            <w:rFonts w:cs="Times New Roman"/>
            <w:b w:val="0"/>
            <w:noProof/>
          </w:rPr>
          <w:t>9</w:t>
        </w:r>
        <w:r w:rsidR="00D93069" w:rsidRPr="00D93069">
          <w:rPr>
            <w:rFonts w:cs="Times New Roman"/>
            <w:b w:val="0"/>
            <w:bCs w:val="0"/>
            <w:noProof/>
            <w:lang w:eastAsia="ru-RU"/>
          </w:rPr>
          <w:tab/>
        </w:r>
        <w:r w:rsidR="00D93069" w:rsidRPr="00D93069">
          <w:rPr>
            <w:rStyle w:val="Hyperlink"/>
            <w:rFonts w:cs="Times New Roman"/>
            <w:b w:val="0"/>
            <w:noProof/>
          </w:rPr>
          <w:t>Описание статистических методов</w:t>
        </w:r>
        <w:r w:rsidR="00D93069" w:rsidRPr="00D93069">
          <w:rPr>
            <w:rFonts w:cs="Times New Roman"/>
            <w:b w:val="0"/>
            <w:noProof/>
            <w:webHidden/>
          </w:rPr>
          <w:tab/>
        </w:r>
        <w:r w:rsidR="00D93069" w:rsidRPr="00D93069">
          <w:rPr>
            <w:rFonts w:cs="Times New Roman"/>
            <w:b w:val="0"/>
            <w:noProof/>
            <w:webHidden/>
          </w:rPr>
          <w:fldChar w:fldCharType="begin"/>
        </w:r>
        <w:r w:rsidR="00D93069" w:rsidRPr="00D93069">
          <w:rPr>
            <w:rFonts w:cs="Times New Roman"/>
            <w:b w:val="0"/>
            <w:noProof/>
            <w:webHidden/>
          </w:rPr>
          <w:instrText xml:space="preserve"> PAGEREF _Toc120865311 \h </w:instrText>
        </w:r>
        <w:r w:rsidR="00D93069" w:rsidRPr="00D93069">
          <w:rPr>
            <w:rFonts w:cs="Times New Roman"/>
            <w:b w:val="0"/>
            <w:noProof/>
            <w:webHidden/>
          </w:rPr>
        </w:r>
        <w:r w:rsidR="00D93069" w:rsidRPr="00D93069">
          <w:rPr>
            <w:rFonts w:cs="Times New Roman"/>
            <w:b w:val="0"/>
            <w:noProof/>
            <w:webHidden/>
          </w:rPr>
          <w:fldChar w:fldCharType="separate"/>
        </w:r>
        <w:r w:rsidR="00F906B6">
          <w:rPr>
            <w:rFonts w:cs="Times New Roman"/>
            <w:b w:val="0"/>
            <w:noProof/>
            <w:webHidden/>
          </w:rPr>
          <w:t>144</w:t>
        </w:r>
        <w:r w:rsidR="00D93069" w:rsidRPr="00D93069">
          <w:rPr>
            <w:rFonts w:cs="Times New Roman"/>
            <w:b w:val="0"/>
            <w:noProof/>
            <w:webHidden/>
          </w:rPr>
          <w:fldChar w:fldCharType="end"/>
        </w:r>
      </w:hyperlink>
    </w:p>
    <w:p w14:paraId="300E278C" w14:textId="26FB13CC" w:rsidR="00D93069" w:rsidRPr="00D93069" w:rsidRDefault="00E767EF" w:rsidP="00D93069">
      <w:pPr>
        <w:pStyle w:val="TOC2"/>
        <w:rPr>
          <w:rFonts w:cs="Times New Roman"/>
          <w:b w:val="0"/>
          <w:bCs w:val="0"/>
          <w:noProof/>
          <w:sz w:val="24"/>
          <w:szCs w:val="24"/>
          <w:lang w:eastAsia="ru-RU"/>
        </w:rPr>
      </w:pPr>
      <w:hyperlink w:anchor="_Toc120865312" w:history="1">
        <w:r w:rsidR="00D93069" w:rsidRPr="00D93069">
          <w:rPr>
            <w:rStyle w:val="Hyperlink"/>
            <w:rFonts w:cs="Times New Roman"/>
            <w:b w:val="0"/>
            <w:noProof/>
            <w:sz w:val="24"/>
            <w:szCs w:val="24"/>
          </w:rPr>
          <w:t>9.1</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Описание методов анализа</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_Toc120865312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144</w:t>
        </w:r>
        <w:r w:rsidR="00D93069" w:rsidRPr="00D93069">
          <w:rPr>
            <w:rFonts w:cs="Times New Roman"/>
            <w:b w:val="0"/>
            <w:noProof/>
            <w:webHidden/>
            <w:sz w:val="24"/>
            <w:szCs w:val="24"/>
          </w:rPr>
          <w:fldChar w:fldCharType="end"/>
        </w:r>
      </w:hyperlink>
    </w:p>
    <w:p w14:paraId="2A0FF3F0" w14:textId="5E976E46" w:rsidR="00D93069" w:rsidRPr="00D93069" w:rsidRDefault="00E767EF" w:rsidP="00D93069">
      <w:pPr>
        <w:pStyle w:val="TOC3"/>
        <w:tabs>
          <w:tab w:val="left" w:pos="1200"/>
          <w:tab w:val="right" w:leader="dot" w:pos="9345"/>
        </w:tabs>
        <w:rPr>
          <w:rFonts w:cs="Times New Roman"/>
          <w:noProof/>
          <w:sz w:val="24"/>
          <w:szCs w:val="24"/>
          <w:lang w:eastAsia="ru-RU"/>
        </w:rPr>
      </w:pPr>
      <w:hyperlink w:anchor="_Toc120865313" w:history="1">
        <w:r w:rsidR="00D93069" w:rsidRPr="00D93069">
          <w:rPr>
            <w:rStyle w:val="Hyperlink"/>
            <w:rFonts w:cs="Times New Roman"/>
            <w:noProof/>
            <w:sz w:val="24"/>
            <w:szCs w:val="24"/>
          </w:rPr>
          <w:t>9.1.1</w:t>
        </w:r>
        <w:r w:rsidR="00D93069" w:rsidRPr="00D93069">
          <w:rPr>
            <w:rFonts w:cs="Times New Roman"/>
            <w:noProof/>
            <w:sz w:val="24"/>
            <w:szCs w:val="24"/>
            <w:lang w:eastAsia="ru-RU"/>
          </w:rPr>
          <w:tab/>
        </w:r>
        <w:r w:rsidR="00D93069" w:rsidRPr="00D93069">
          <w:rPr>
            <w:rStyle w:val="Hyperlink"/>
            <w:rFonts w:cs="Times New Roman"/>
            <w:noProof/>
            <w:sz w:val="24"/>
            <w:szCs w:val="24"/>
          </w:rPr>
          <w:t>Демографические и иные исходные данные (сопоставимость групп для анализа)</w:t>
        </w:r>
        <w:r w:rsidR="00D93069" w:rsidRPr="00D93069">
          <w:rPr>
            <w:rFonts w:cs="Times New Roman"/>
            <w:noProof/>
            <w:webHidden/>
            <w:sz w:val="24"/>
            <w:szCs w:val="24"/>
          </w:rPr>
          <w:tab/>
        </w:r>
        <w:r w:rsidR="00D93069" w:rsidRPr="00D93069">
          <w:rPr>
            <w:rFonts w:cs="Times New Roman"/>
            <w:noProof/>
            <w:webHidden/>
            <w:sz w:val="24"/>
            <w:szCs w:val="24"/>
          </w:rPr>
          <w:fldChar w:fldCharType="begin"/>
        </w:r>
        <w:r w:rsidR="00D93069" w:rsidRPr="00D93069">
          <w:rPr>
            <w:rFonts w:cs="Times New Roman"/>
            <w:noProof/>
            <w:webHidden/>
            <w:sz w:val="24"/>
            <w:szCs w:val="24"/>
          </w:rPr>
          <w:instrText xml:space="preserve"> PAGEREF _Toc120865313 \h </w:instrText>
        </w:r>
        <w:r w:rsidR="00D93069" w:rsidRPr="00D93069">
          <w:rPr>
            <w:rFonts w:cs="Times New Roman"/>
            <w:noProof/>
            <w:webHidden/>
            <w:sz w:val="24"/>
            <w:szCs w:val="24"/>
          </w:rPr>
        </w:r>
        <w:r w:rsidR="00D93069" w:rsidRPr="00D93069">
          <w:rPr>
            <w:rFonts w:cs="Times New Roman"/>
            <w:noProof/>
            <w:webHidden/>
            <w:sz w:val="24"/>
            <w:szCs w:val="24"/>
          </w:rPr>
          <w:fldChar w:fldCharType="separate"/>
        </w:r>
        <w:r w:rsidR="00F906B6">
          <w:rPr>
            <w:rFonts w:cs="Times New Roman"/>
            <w:noProof/>
            <w:webHidden/>
            <w:sz w:val="24"/>
            <w:szCs w:val="24"/>
          </w:rPr>
          <w:t>144</w:t>
        </w:r>
        <w:r w:rsidR="00D93069" w:rsidRPr="00D93069">
          <w:rPr>
            <w:rFonts w:cs="Times New Roman"/>
            <w:noProof/>
            <w:webHidden/>
            <w:sz w:val="24"/>
            <w:szCs w:val="24"/>
          </w:rPr>
          <w:fldChar w:fldCharType="end"/>
        </w:r>
      </w:hyperlink>
    </w:p>
    <w:p w14:paraId="410DFC01" w14:textId="51C59435" w:rsidR="00D93069" w:rsidRPr="00D93069" w:rsidRDefault="00E767EF" w:rsidP="00D93069">
      <w:pPr>
        <w:pStyle w:val="TOC3"/>
        <w:tabs>
          <w:tab w:val="left" w:pos="1200"/>
          <w:tab w:val="right" w:leader="dot" w:pos="9345"/>
        </w:tabs>
        <w:rPr>
          <w:rFonts w:cs="Times New Roman"/>
          <w:noProof/>
          <w:sz w:val="24"/>
          <w:szCs w:val="24"/>
          <w:lang w:eastAsia="ru-RU"/>
        </w:rPr>
      </w:pPr>
      <w:hyperlink w:anchor="_Toc120865314" w:history="1">
        <w:r w:rsidR="00D93069" w:rsidRPr="00D93069">
          <w:rPr>
            <w:rStyle w:val="Hyperlink"/>
            <w:rFonts w:cs="Times New Roman"/>
            <w:noProof/>
            <w:sz w:val="24"/>
            <w:szCs w:val="24"/>
          </w:rPr>
          <w:t>9.1.2</w:t>
        </w:r>
        <w:r w:rsidR="00D93069" w:rsidRPr="00D93069">
          <w:rPr>
            <w:rFonts w:cs="Times New Roman"/>
            <w:noProof/>
            <w:sz w:val="24"/>
            <w:szCs w:val="24"/>
            <w:lang w:eastAsia="ru-RU"/>
          </w:rPr>
          <w:tab/>
        </w:r>
        <w:r w:rsidR="00D93069" w:rsidRPr="00D93069">
          <w:rPr>
            <w:rStyle w:val="Hyperlink"/>
            <w:rFonts w:cs="Times New Roman"/>
            <w:noProof/>
            <w:sz w:val="24"/>
            <w:szCs w:val="24"/>
          </w:rPr>
          <w:t>Анализ первичного параметра эффективности</w:t>
        </w:r>
        <w:r w:rsidR="00D93069" w:rsidRPr="00D93069">
          <w:rPr>
            <w:rFonts w:cs="Times New Roman"/>
            <w:noProof/>
            <w:webHidden/>
            <w:sz w:val="24"/>
            <w:szCs w:val="24"/>
          </w:rPr>
          <w:tab/>
        </w:r>
        <w:r w:rsidR="00D93069" w:rsidRPr="00D93069">
          <w:rPr>
            <w:rFonts w:cs="Times New Roman"/>
            <w:noProof/>
            <w:webHidden/>
            <w:sz w:val="24"/>
            <w:szCs w:val="24"/>
          </w:rPr>
          <w:fldChar w:fldCharType="begin"/>
        </w:r>
        <w:r w:rsidR="00D93069" w:rsidRPr="00D93069">
          <w:rPr>
            <w:rFonts w:cs="Times New Roman"/>
            <w:noProof/>
            <w:webHidden/>
            <w:sz w:val="24"/>
            <w:szCs w:val="24"/>
          </w:rPr>
          <w:instrText xml:space="preserve"> PAGEREF _Toc120865314 \h </w:instrText>
        </w:r>
        <w:r w:rsidR="00D93069" w:rsidRPr="00D93069">
          <w:rPr>
            <w:rFonts w:cs="Times New Roman"/>
            <w:noProof/>
            <w:webHidden/>
            <w:sz w:val="24"/>
            <w:szCs w:val="24"/>
          </w:rPr>
        </w:r>
        <w:r w:rsidR="00D93069" w:rsidRPr="00D93069">
          <w:rPr>
            <w:rFonts w:cs="Times New Roman"/>
            <w:noProof/>
            <w:webHidden/>
            <w:sz w:val="24"/>
            <w:szCs w:val="24"/>
          </w:rPr>
          <w:fldChar w:fldCharType="separate"/>
        </w:r>
        <w:r w:rsidR="00F906B6">
          <w:rPr>
            <w:rFonts w:cs="Times New Roman"/>
            <w:noProof/>
            <w:webHidden/>
            <w:sz w:val="24"/>
            <w:szCs w:val="24"/>
          </w:rPr>
          <w:t>144</w:t>
        </w:r>
        <w:r w:rsidR="00D93069" w:rsidRPr="00D93069">
          <w:rPr>
            <w:rFonts w:cs="Times New Roman"/>
            <w:noProof/>
            <w:webHidden/>
            <w:sz w:val="24"/>
            <w:szCs w:val="24"/>
          </w:rPr>
          <w:fldChar w:fldCharType="end"/>
        </w:r>
      </w:hyperlink>
    </w:p>
    <w:p w14:paraId="50898695" w14:textId="2B68F854" w:rsidR="00D93069" w:rsidRPr="00D93069" w:rsidRDefault="00E767EF" w:rsidP="00D93069">
      <w:pPr>
        <w:pStyle w:val="TOC3"/>
        <w:tabs>
          <w:tab w:val="left" w:pos="1200"/>
          <w:tab w:val="right" w:leader="dot" w:pos="9345"/>
        </w:tabs>
        <w:rPr>
          <w:rFonts w:cs="Times New Roman"/>
          <w:noProof/>
          <w:sz w:val="24"/>
          <w:szCs w:val="24"/>
          <w:lang w:eastAsia="ru-RU"/>
        </w:rPr>
      </w:pPr>
      <w:hyperlink w:anchor="_Toc120865315" w:history="1">
        <w:r w:rsidR="00D93069" w:rsidRPr="00D93069">
          <w:rPr>
            <w:rStyle w:val="Hyperlink"/>
            <w:rFonts w:cs="Times New Roman"/>
            <w:noProof/>
            <w:sz w:val="24"/>
            <w:szCs w:val="24"/>
          </w:rPr>
          <w:t>9.1.3</w:t>
        </w:r>
        <w:r w:rsidR="00D93069" w:rsidRPr="00D93069">
          <w:rPr>
            <w:rFonts w:cs="Times New Roman"/>
            <w:noProof/>
            <w:sz w:val="24"/>
            <w:szCs w:val="24"/>
            <w:lang w:eastAsia="ru-RU"/>
          </w:rPr>
          <w:tab/>
        </w:r>
        <w:r w:rsidR="00D93069" w:rsidRPr="00D93069">
          <w:rPr>
            <w:rStyle w:val="Hyperlink"/>
            <w:rFonts w:cs="Times New Roman"/>
            <w:noProof/>
            <w:sz w:val="24"/>
            <w:szCs w:val="24"/>
          </w:rPr>
          <w:t>Анализ вторичных параметров эффективности</w:t>
        </w:r>
        <w:r w:rsidR="00D93069" w:rsidRPr="00D93069">
          <w:rPr>
            <w:rFonts w:cs="Times New Roman"/>
            <w:noProof/>
            <w:webHidden/>
            <w:sz w:val="24"/>
            <w:szCs w:val="24"/>
          </w:rPr>
          <w:tab/>
        </w:r>
        <w:r w:rsidR="00D93069" w:rsidRPr="00D93069">
          <w:rPr>
            <w:rFonts w:cs="Times New Roman"/>
            <w:noProof/>
            <w:webHidden/>
            <w:sz w:val="24"/>
            <w:szCs w:val="24"/>
          </w:rPr>
          <w:fldChar w:fldCharType="begin"/>
        </w:r>
        <w:r w:rsidR="00D93069" w:rsidRPr="00D93069">
          <w:rPr>
            <w:rFonts w:cs="Times New Roman"/>
            <w:noProof/>
            <w:webHidden/>
            <w:sz w:val="24"/>
            <w:szCs w:val="24"/>
          </w:rPr>
          <w:instrText xml:space="preserve"> PAGEREF _Toc120865315 \h </w:instrText>
        </w:r>
        <w:r w:rsidR="00D93069" w:rsidRPr="00D93069">
          <w:rPr>
            <w:rFonts w:cs="Times New Roman"/>
            <w:noProof/>
            <w:webHidden/>
            <w:sz w:val="24"/>
            <w:szCs w:val="24"/>
          </w:rPr>
        </w:r>
        <w:r w:rsidR="00D93069" w:rsidRPr="00D93069">
          <w:rPr>
            <w:rFonts w:cs="Times New Roman"/>
            <w:noProof/>
            <w:webHidden/>
            <w:sz w:val="24"/>
            <w:szCs w:val="24"/>
          </w:rPr>
          <w:fldChar w:fldCharType="separate"/>
        </w:r>
        <w:r w:rsidR="00F906B6">
          <w:rPr>
            <w:rFonts w:cs="Times New Roman"/>
            <w:noProof/>
            <w:webHidden/>
            <w:sz w:val="24"/>
            <w:szCs w:val="24"/>
          </w:rPr>
          <w:t>145</w:t>
        </w:r>
        <w:r w:rsidR="00D93069" w:rsidRPr="00D93069">
          <w:rPr>
            <w:rFonts w:cs="Times New Roman"/>
            <w:noProof/>
            <w:webHidden/>
            <w:sz w:val="24"/>
            <w:szCs w:val="24"/>
          </w:rPr>
          <w:fldChar w:fldCharType="end"/>
        </w:r>
      </w:hyperlink>
    </w:p>
    <w:p w14:paraId="46FCE243" w14:textId="6A6E6E75" w:rsidR="00D93069" w:rsidRPr="00D93069" w:rsidRDefault="00E767EF" w:rsidP="00D93069">
      <w:pPr>
        <w:pStyle w:val="TOC3"/>
        <w:tabs>
          <w:tab w:val="left" w:pos="1200"/>
          <w:tab w:val="right" w:leader="dot" w:pos="9345"/>
        </w:tabs>
        <w:rPr>
          <w:rFonts w:cs="Times New Roman"/>
          <w:noProof/>
          <w:sz w:val="24"/>
          <w:szCs w:val="24"/>
          <w:lang w:eastAsia="ru-RU"/>
        </w:rPr>
      </w:pPr>
      <w:hyperlink w:anchor="_Toc120865316" w:history="1">
        <w:r w:rsidR="00D93069" w:rsidRPr="00D93069">
          <w:rPr>
            <w:rStyle w:val="Hyperlink"/>
            <w:rFonts w:cs="Times New Roman"/>
            <w:noProof/>
            <w:sz w:val="24"/>
            <w:szCs w:val="24"/>
          </w:rPr>
          <w:t>9.1.4</w:t>
        </w:r>
        <w:r w:rsidR="00D93069" w:rsidRPr="00D93069">
          <w:rPr>
            <w:rFonts w:cs="Times New Roman"/>
            <w:noProof/>
            <w:sz w:val="24"/>
            <w:szCs w:val="24"/>
            <w:lang w:eastAsia="ru-RU"/>
          </w:rPr>
          <w:tab/>
        </w:r>
        <w:r w:rsidR="00D93069" w:rsidRPr="00D93069">
          <w:rPr>
            <w:rStyle w:val="Hyperlink"/>
            <w:rFonts w:cs="Times New Roman"/>
            <w:noProof/>
            <w:sz w:val="24"/>
            <w:szCs w:val="24"/>
          </w:rPr>
          <w:t>Анализ параметров безопасности</w:t>
        </w:r>
        <w:r w:rsidR="00D93069" w:rsidRPr="00D93069">
          <w:rPr>
            <w:rFonts w:cs="Times New Roman"/>
            <w:noProof/>
            <w:webHidden/>
            <w:sz w:val="24"/>
            <w:szCs w:val="24"/>
          </w:rPr>
          <w:tab/>
        </w:r>
        <w:r w:rsidR="00D93069" w:rsidRPr="00D93069">
          <w:rPr>
            <w:rFonts w:cs="Times New Roman"/>
            <w:noProof/>
            <w:webHidden/>
            <w:sz w:val="24"/>
            <w:szCs w:val="24"/>
          </w:rPr>
          <w:fldChar w:fldCharType="begin"/>
        </w:r>
        <w:r w:rsidR="00D93069" w:rsidRPr="00D93069">
          <w:rPr>
            <w:rFonts w:cs="Times New Roman"/>
            <w:noProof/>
            <w:webHidden/>
            <w:sz w:val="24"/>
            <w:szCs w:val="24"/>
          </w:rPr>
          <w:instrText xml:space="preserve"> PAGEREF _Toc120865316 \h </w:instrText>
        </w:r>
        <w:r w:rsidR="00D93069" w:rsidRPr="00D93069">
          <w:rPr>
            <w:rFonts w:cs="Times New Roman"/>
            <w:noProof/>
            <w:webHidden/>
            <w:sz w:val="24"/>
            <w:szCs w:val="24"/>
          </w:rPr>
        </w:r>
        <w:r w:rsidR="00D93069" w:rsidRPr="00D93069">
          <w:rPr>
            <w:rFonts w:cs="Times New Roman"/>
            <w:noProof/>
            <w:webHidden/>
            <w:sz w:val="24"/>
            <w:szCs w:val="24"/>
          </w:rPr>
          <w:fldChar w:fldCharType="separate"/>
        </w:r>
        <w:r w:rsidR="00F906B6">
          <w:rPr>
            <w:rFonts w:cs="Times New Roman"/>
            <w:noProof/>
            <w:webHidden/>
            <w:sz w:val="24"/>
            <w:szCs w:val="24"/>
          </w:rPr>
          <w:t>145</w:t>
        </w:r>
        <w:r w:rsidR="00D93069" w:rsidRPr="00D93069">
          <w:rPr>
            <w:rFonts w:cs="Times New Roman"/>
            <w:noProof/>
            <w:webHidden/>
            <w:sz w:val="24"/>
            <w:szCs w:val="24"/>
          </w:rPr>
          <w:fldChar w:fldCharType="end"/>
        </w:r>
      </w:hyperlink>
    </w:p>
    <w:p w14:paraId="6E80FFE6" w14:textId="00CB0399" w:rsidR="00D93069" w:rsidRPr="00D93069" w:rsidRDefault="00E767EF" w:rsidP="00D93069">
      <w:pPr>
        <w:pStyle w:val="TOC2"/>
        <w:rPr>
          <w:rFonts w:cs="Times New Roman"/>
          <w:b w:val="0"/>
          <w:bCs w:val="0"/>
          <w:noProof/>
          <w:sz w:val="24"/>
          <w:szCs w:val="24"/>
          <w:lang w:eastAsia="ru-RU"/>
        </w:rPr>
      </w:pPr>
      <w:hyperlink w:anchor="_Toc120865317" w:history="1">
        <w:r w:rsidR="00D93069" w:rsidRPr="00D93069">
          <w:rPr>
            <w:rStyle w:val="Hyperlink"/>
            <w:rFonts w:cs="Times New Roman"/>
            <w:b w:val="0"/>
            <w:noProof/>
            <w:sz w:val="24"/>
            <w:szCs w:val="24"/>
          </w:rPr>
          <w:t>9.2</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Сроки проведения анализа</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_Toc120865317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146</w:t>
        </w:r>
        <w:r w:rsidR="00D93069" w:rsidRPr="00D93069">
          <w:rPr>
            <w:rFonts w:cs="Times New Roman"/>
            <w:b w:val="0"/>
            <w:noProof/>
            <w:webHidden/>
            <w:sz w:val="24"/>
            <w:szCs w:val="24"/>
          </w:rPr>
          <w:fldChar w:fldCharType="end"/>
        </w:r>
      </w:hyperlink>
    </w:p>
    <w:p w14:paraId="65E61968" w14:textId="34059A29" w:rsidR="00D93069" w:rsidRPr="00D93069" w:rsidRDefault="00E767EF" w:rsidP="00D93069">
      <w:pPr>
        <w:pStyle w:val="TOC2"/>
        <w:rPr>
          <w:rFonts w:cs="Times New Roman"/>
          <w:b w:val="0"/>
          <w:bCs w:val="0"/>
          <w:noProof/>
          <w:sz w:val="24"/>
          <w:szCs w:val="24"/>
          <w:lang w:eastAsia="ru-RU"/>
        </w:rPr>
      </w:pPr>
      <w:hyperlink w:anchor="_Toc120865318" w:history="1">
        <w:r w:rsidR="00D93069" w:rsidRPr="00D93069">
          <w:rPr>
            <w:rStyle w:val="Hyperlink"/>
            <w:rFonts w:cs="Times New Roman"/>
            <w:b w:val="0"/>
            <w:noProof/>
            <w:sz w:val="24"/>
            <w:szCs w:val="24"/>
          </w:rPr>
          <w:t>9.3</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Планируемое количество участников клинического исследования с обоснованием размера выборки</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_Toc120865318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147</w:t>
        </w:r>
        <w:r w:rsidR="00D93069" w:rsidRPr="00D93069">
          <w:rPr>
            <w:rFonts w:cs="Times New Roman"/>
            <w:b w:val="0"/>
            <w:noProof/>
            <w:webHidden/>
            <w:sz w:val="24"/>
            <w:szCs w:val="24"/>
          </w:rPr>
          <w:fldChar w:fldCharType="end"/>
        </w:r>
      </w:hyperlink>
    </w:p>
    <w:p w14:paraId="4769988D" w14:textId="0CC1E034" w:rsidR="00D93069" w:rsidRPr="00D93069" w:rsidRDefault="00E767EF" w:rsidP="00D93069">
      <w:pPr>
        <w:pStyle w:val="TOC2"/>
        <w:rPr>
          <w:rFonts w:cs="Times New Roman"/>
          <w:b w:val="0"/>
          <w:bCs w:val="0"/>
          <w:noProof/>
          <w:sz w:val="24"/>
          <w:szCs w:val="24"/>
          <w:lang w:eastAsia="ru-RU"/>
        </w:rPr>
      </w:pPr>
      <w:hyperlink w:anchor="_Toc120865319" w:history="1">
        <w:r w:rsidR="00D93069" w:rsidRPr="00D93069">
          <w:rPr>
            <w:rStyle w:val="Hyperlink"/>
            <w:rFonts w:cs="Times New Roman"/>
            <w:b w:val="0"/>
            <w:noProof/>
            <w:sz w:val="24"/>
            <w:szCs w:val="24"/>
          </w:rPr>
          <w:t>9.4</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Применяемый уровень значимости клинического исследования</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_Toc120865319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148</w:t>
        </w:r>
        <w:r w:rsidR="00D93069" w:rsidRPr="00D93069">
          <w:rPr>
            <w:rFonts w:cs="Times New Roman"/>
            <w:b w:val="0"/>
            <w:noProof/>
            <w:webHidden/>
            <w:sz w:val="24"/>
            <w:szCs w:val="24"/>
          </w:rPr>
          <w:fldChar w:fldCharType="end"/>
        </w:r>
      </w:hyperlink>
    </w:p>
    <w:p w14:paraId="390E3709" w14:textId="3885E1E4" w:rsidR="00D93069" w:rsidRPr="00D93069" w:rsidRDefault="00E767EF" w:rsidP="00D93069">
      <w:pPr>
        <w:pStyle w:val="TOC2"/>
        <w:rPr>
          <w:rFonts w:cs="Times New Roman"/>
          <w:b w:val="0"/>
          <w:bCs w:val="0"/>
          <w:noProof/>
          <w:sz w:val="24"/>
          <w:szCs w:val="24"/>
          <w:lang w:eastAsia="ru-RU"/>
        </w:rPr>
      </w:pPr>
      <w:hyperlink w:anchor="_Toc120865320" w:history="1">
        <w:r w:rsidR="00D93069" w:rsidRPr="00D93069">
          <w:rPr>
            <w:rStyle w:val="Hyperlink"/>
            <w:rFonts w:cs="Times New Roman"/>
            <w:b w:val="0"/>
            <w:noProof/>
            <w:sz w:val="24"/>
            <w:szCs w:val="24"/>
          </w:rPr>
          <w:t>9.5</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Критерии прекращения клинического исследования</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_Toc120865320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148</w:t>
        </w:r>
        <w:r w:rsidR="00D93069" w:rsidRPr="00D93069">
          <w:rPr>
            <w:rFonts w:cs="Times New Roman"/>
            <w:b w:val="0"/>
            <w:noProof/>
            <w:webHidden/>
            <w:sz w:val="24"/>
            <w:szCs w:val="24"/>
          </w:rPr>
          <w:fldChar w:fldCharType="end"/>
        </w:r>
      </w:hyperlink>
    </w:p>
    <w:p w14:paraId="716217A1" w14:textId="2CD2E21C" w:rsidR="00D93069" w:rsidRPr="00D93069" w:rsidRDefault="00E767EF" w:rsidP="00D93069">
      <w:pPr>
        <w:pStyle w:val="TOC2"/>
        <w:rPr>
          <w:rFonts w:cs="Times New Roman"/>
          <w:b w:val="0"/>
          <w:bCs w:val="0"/>
          <w:noProof/>
          <w:sz w:val="24"/>
          <w:szCs w:val="24"/>
          <w:lang w:eastAsia="ru-RU"/>
        </w:rPr>
      </w:pPr>
      <w:hyperlink w:anchor="_Toc120865321" w:history="1">
        <w:r w:rsidR="00D93069" w:rsidRPr="00D93069">
          <w:rPr>
            <w:rStyle w:val="Hyperlink"/>
            <w:rFonts w:cs="Times New Roman"/>
            <w:b w:val="0"/>
            <w:noProof/>
            <w:sz w:val="24"/>
            <w:szCs w:val="24"/>
          </w:rPr>
          <w:t>9.6</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Процедуры учета отсутствующих, не подлежащих анализу и сомнительных данных</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_Toc120865321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148</w:t>
        </w:r>
        <w:r w:rsidR="00D93069" w:rsidRPr="00D93069">
          <w:rPr>
            <w:rFonts w:cs="Times New Roman"/>
            <w:b w:val="0"/>
            <w:noProof/>
            <w:webHidden/>
            <w:sz w:val="24"/>
            <w:szCs w:val="24"/>
          </w:rPr>
          <w:fldChar w:fldCharType="end"/>
        </w:r>
      </w:hyperlink>
    </w:p>
    <w:p w14:paraId="5B3160A4" w14:textId="183ED672" w:rsidR="00D93069" w:rsidRPr="00D93069" w:rsidRDefault="00E767EF" w:rsidP="00D93069">
      <w:pPr>
        <w:pStyle w:val="TOC2"/>
        <w:rPr>
          <w:rFonts w:cs="Times New Roman"/>
          <w:b w:val="0"/>
          <w:bCs w:val="0"/>
          <w:noProof/>
          <w:sz w:val="24"/>
          <w:szCs w:val="24"/>
          <w:lang w:eastAsia="ru-RU"/>
        </w:rPr>
      </w:pPr>
      <w:hyperlink w:anchor="_Toc120865322" w:history="1">
        <w:r w:rsidR="00D93069" w:rsidRPr="00D93069">
          <w:rPr>
            <w:rStyle w:val="Hyperlink"/>
            <w:rFonts w:cs="Times New Roman"/>
            <w:b w:val="0"/>
            <w:noProof/>
            <w:sz w:val="24"/>
            <w:szCs w:val="24"/>
          </w:rPr>
          <w:t>9.7</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Процедуры сообщения о любых отклонениях от первоначального статистического плана</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_Toc120865322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149</w:t>
        </w:r>
        <w:r w:rsidR="00D93069" w:rsidRPr="00D93069">
          <w:rPr>
            <w:rFonts w:cs="Times New Roman"/>
            <w:b w:val="0"/>
            <w:noProof/>
            <w:webHidden/>
            <w:sz w:val="24"/>
            <w:szCs w:val="24"/>
          </w:rPr>
          <w:fldChar w:fldCharType="end"/>
        </w:r>
      </w:hyperlink>
    </w:p>
    <w:p w14:paraId="105555D0" w14:textId="2A90C9D6" w:rsidR="00D93069" w:rsidRPr="00D93069" w:rsidRDefault="00E767EF" w:rsidP="00D93069">
      <w:pPr>
        <w:pStyle w:val="TOC2"/>
        <w:rPr>
          <w:rFonts w:cs="Times New Roman"/>
          <w:b w:val="0"/>
          <w:bCs w:val="0"/>
          <w:noProof/>
          <w:sz w:val="24"/>
          <w:szCs w:val="24"/>
          <w:lang w:eastAsia="ru-RU"/>
        </w:rPr>
      </w:pPr>
      <w:hyperlink w:anchor="_Toc120865323" w:history="1">
        <w:r w:rsidR="00D93069" w:rsidRPr="00D93069">
          <w:rPr>
            <w:rStyle w:val="Hyperlink"/>
            <w:rFonts w:cs="Times New Roman"/>
            <w:b w:val="0"/>
            <w:noProof/>
            <w:sz w:val="24"/>
            <w:szCs w:val="24"/>
          </w:rPr>
          <w:t>9.8</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Процедуры отбора участников клинического исследования для анализа</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_Toc120865323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149</w:t>
        </w:r>
        <w:r w:rsidR="00D93069" w:rsidRPr="00D93069">
          <w:rPr>
            <w:rFonts w:cs="Times New Roman"/>
            <w:b w:val="0"/>
            <w:noProof/>
            <w:webHidden/>
            <w:sz w:val="24"/>
            <w:szCs w:val="24"/>
          </w:rPr>
          <w:fldChar w:fldCharType="end"/>
        </w:r>
      </w:hyperlink>
    </w:p>
    <w:p w14:paraId="34C9C50F" w14:textId="06992F65" w:rsidR="00D93069" w:rsidRPr="00D93069" w:rsidRDefault="00E767EF" w:rsidP="00D93069">
      <w:pPr>
        <w:pStyle w:val="TOC3"/>
        <w:tabs>
          <w:tab w:val="left" w:pos="1200"/>
          <w:tab w:val="right" w:leader="dot" w:pos="9345"/>
        </w:tabs>
        <w:rPr>
          <w:rFonts w:cs="Times New Roman"/>
          <w:noProof/>
          <w:sz w:val="24"/>
          <w:szCs w:val="24"/>
          <w:lang w:eastAsia="ru-RU"/>
        </w:rPr>
      </w:pPr>
      <w:hyperlink w:anchor="_Toc120865324" w:history="1">
        <w:r w:rsidR="00D93069" w:rsidRPr="00D93069">
          <w:rPr>
            <w:rStyle w:val="Hyperlink"/>
            <w:rFonts w:cs="Times New Roman"/>
            <w:noProof/>
            <w:sz w:val="24"/>
            <w:szCs w:val="24"/>
          </w:rPr>
          <w:t>9.8.1</w:t>
        </w:r>
        <w:r w:rsidR="00D93069" w:rsidRPr="00D93069">
          <w:rPr>
            <w:rFonts w:cs="Times New Roman"/>
            <w:noProof/>
            <w:sz w:val="24"/>
            <w:szCs w:val="24"/>
            <w:lang w:eastAsia="ru-RU"/>
          </w:rPr>
          <w:tab/>
        </w:r>
        <w:r w:rsidR="00D93069" w:rsidRPr="00D93069">
          <w:rPr>
            <w:rStyle w:val="Hyperlink"/>
            <w:rFonts w:cs="Times New Roman"/>
            <w:noProof/>
            <w:sz w:val="24"/>
            <w:szCs w:val="24"/>
          </w:rPr>
          <w:t>Популяция, отбираемая по принципу назначенного лечения (ITT)</w:t>
        </w:r>
        <w:r w:rsidR="00D93069" w:rsidRPr="00D93069">
          <w:rPr>
            <w:rFonts w:cs="Times New Roman"/>
            <w:noProof/>
            <w:webHidden/>
            <w:sz w:val="24"/>
            <w:szCs w:val="24"/>
          </w:rPr>
          <w:tab/>
        </w:r>
        <w:r w:rsidR="00D93069" w:rsidRPr="00D93069">
          <w:rPr>
            <w:rFonts w:cs="Times New Roman"/>
            <w:noProof/>
            <w:webHidden/>
            <w:sz w:val="24"/>
            <w:szCs w:val="24"/>
          </w:rPr>
          <w:fldChar w:fldCharType="begin"/>
        </w:r>
        <w:r w:rsidR="00D93069" w:rsidRPr="00D93069">
          <w:rPr>
            <w:rFonts w:cs="Times New Roman"/>
            <w:noProof/>
            <w:webHidden/>
            <w:sz w:val="24"/>
            <w:szCs w:val="24"/>
          </w:rPr>
          <w:instrText xml:space="preserve"> PAGEREF _Toc120865324 \h </w:instrText>
        </w:r>
        <w:r w:rsidR="00D93069" w:rsidRPr="00D93069">
          <w:rPr>
            <w:rFonts w:cs="Times New Roman"/>
            <w:noProof/>
            <w:webHidden/>
            <w:sz w:val="24"/>
            <w:szCs w:val="24"/>
          </w:rPr>
        </w:r>
        <w:r w:rsidR="00D93069" w:rsidRPr="00D93069">
          <w:rPr>
            <w:rFonts w:cs="Times New Roman"/>
            <w:noProof/>
            <w:webHidden/>
            <w:sz w:val="24"/>
            <w:szCs w:val="24"/>
          </w:rPr>
          <w:fldChar w:fldCharType="separate"/>
        </w:r>
        <w:r w:rsidR="00F906B6">
          <w:rPr>
            <w:rFonts w:cs="Times New Roman"/>
            <w:noProof/>
            <w:webHidden/>
            <w:sz w:val="24"/>
            <w:szCs w:val="24"/>
          </w:rPr>
          <w:t>149</w:t>
        </w:r>
        <w:r w:rsidR="00D93069" w:rsidRPr="00D93069">
          <w:rPr>
            <w:rFonts w:cs="Times New Roman"/>
            <w:noProof/>
            <w:webHidden/>
            <w:sz w:val="24"/>
            <w:szCs w:val="24"/>
          </w:rPr>
          <w:fldChar w:fldCharType="end"/>
        </w:r>
      </w:hyperlink>
    </w:p>
    <w:p w14:paraId="3B99A8A4" w14:textId="0ECB2223" w:rsidR="00D93069" w:rsidRPr="00D93069" w:rsidRDefault="00E767EF" w:rsidP="00D93069">
      <w:pPr>
        <w:pStyle w:val="TOC3"/>
        <w:tabs>
          <w:tab w:val="left" w:pos="1200"/>
          <w:tab w:val="right" w:leader="dot" w:pos="9345"/>
        </w:tabs>
        <w:rPr>
          <w:rFonts w:cs="Times New Roman"/>
          <w:noProof/>
          <w:sz w:val="24"/>
          <w:szCs w:val="24"/>
          <w:lang w:eastAsia="ru-RU"/>
        </w:rPr>
      </w:pPr>
      <w:hyperlink w:anchor="_Toc120865325" w:history="1">
        <w:r w:rsidR="00D93069" w:rsidRPr="00D93069">
          <w:rPr>
            <w:rStyle w:val="Hyperlink"/>
            <w:rFonts w:cs="Times New Roman"/>
            <w:noProof/>
            <w:sz w:val="24"/>
            <w:szCs w:val="24"/>
          </w:rPr>
          <w:t>9.8.2</w:t>
        </w:r>
        <w:r w:rsidR="00D93069" w:rsidRPr="00D93069">
          <w:rPr>
            <w:rFonts w:cs="Times New Roman"/>
            <w:noProof/>
            <w:sz w:val="24"/>
            <w:szCs w:val="24"/>
            <w:lang w:eastAsia="ru-RU"/>
          </w:rPr>
          <w:tab/>
        </w:r>
        <w:r w:rsidR="00D93069" w:rsidRPr="00D93069">
          <w:rPr>
            <w:rStyle w:val="Hyperlink"/>
            <w:rFonts w:cs="Times New Roman"/>
            <w:noProof/>
            <w:sz w:val="24"/>
            <w:szCs w:val="24"/>
          </w:rPr>
          <w:t>Популяция, отбираемая по принципу соответствия протоколу (PP)</w:t>
        </w:r>
        <w:r w:rsidR="00D93069" w:rsidRPr="00D93069">
          <w:rPr>
            <w:rFonts w:cs="Times New Roman"/>
            <w:noProof/>
            <w:webHidden/>
            <w:sz w:val="24"/>
            <w:szCs w:val="24"/>
          </w:rPr>
          <w:tab/>
        </w:r>
        <w:r w:rsidR="00D93069" w:rsidRPr="00D93069">
          <w:rPr>
            <w:rFonts w:cs="Times New Roman"/>
            <w:noProof/>
            <w:webHidden/>
            <w:sz w:val="24"/>
            <w:szCs w:val="24"/>
          </w:rPr>
          <w:fldChar w:fldCharType="begin"/>
        </w:r>
        <w:r w:rsidR="00D93069" w:rsidRPr="00D93069">
          <w:rPr>
            <w:rFonts w:cs="Times New Roman"/>
            <w:noProof/>
            <w:webHidden/>
            <w:sz w:val="24"/>
            <w:szCs w:val="24"/>
          </w:rPr>
          <w:instrText xml:space="preserve"> PAGEREF _Toc120865325 \h </w:instrText>
        </w:r>
        <w:r w:rsidR="00D93069" w:rsidRPr="00D93069">
          <w:rPr>
            <w:rFonts w:cs="Times New Roman"/>
            <w:noProof/>
            <w:webHidden/>
            <w:sz w:val="24"/>
            <w:szCs w:val="24"/>
          </w:rPr>
        </w:r>
        <w:r w:rsidR="00D93069" w:rsidRPr="00D93069">
          <w:rPr>
            <w:rFonts w:cs="Times New Roman"/>
            <w:noProof/>
            <w:webHidden/>
            <w:sz w:val="24"/>
            <w:szCs w:val="24"/>
          </w:rPr>
          <w:fldChar w:fldCharType="separate"/>
        </w:r>
        <w:r w:rsidR="00F906B6">
          <w:rPr>
            <w:rFonts w:cs="Times New Roman"/>
            <w:noProof/>
            <w:webHidden/>
            <w:sz w:val="24"/>
            <w:szCs w:val="24"/>
          </w:rPr>
          <w:t>149</w:t>
        </w:r>
        <w:r w:rsidR="00D93069" w:rsidRPr="00D93069">
          <w:rPr>
            <w:rFonts w:cs="Times New Roman"/>
            <w:noProof/>
            <w:webHidden/>
            <w:sz w:val="24"/>
            <w:szCs w:val="24"/>
          </w:rPr>
          <w:fldChar w:fldCharType="end"/>
        </w:r>
      </w:hyperlink>
    </w:p>
    <w:p w14:paraId="10E76D67" w14:textId="4B4672B3" w:rsidR="00D93069" w:rsidRPr="00D93069" w:rsidRDefault="00E767EF" w:rsidP="00D93069">
      <w:pPr>
        <w:pStyle w:val="TOC3"/>
        <w:tabs>
          <w:tab w:val="left" w:pos="1200"/>
          <w:tab w:val="right" w:leader="dot" w:pos="9345"/>
        </w:tabs>
        <w:rPr>
          <w:rFonts w:cs="Times New Roman"/>
          <w:noProof/>
          <w:sz w:val="24"/>
          <w:szCs w:val="24"/>
          <w:lang w:eastAsia="ru-RU"/>
        </w:rPr>
      </w:pPr>
      <w:hyperlink w:anchor="_Toc120865326" w:history="1">
        <w:r w:rsidR="00D93069" w:rsidRPr="00D93069">
          <w:rPr>
            <w:rStyle w:val="Hyperlink"/>
            <w:rFonts w:cs="Times New Roman"/>
            <w:noProof/>
            <w:sz w:val="24"/>
            <w:szCs w:val="24"/>
          </w:rPr>
          <w:t>9.8.3</w:t>
        </w:r>
        <w:r w:rsidR="00D93069" w:rsidRPr="00D93069">
          <w:rPr>
            <w:rFonts w:cs="Times New Roman"/>
            <w:noProof/>
            <w:sz w:val="24"/>
            <w:szCs w:val="24"/>
            <w:lang w:eastAsia="ru-RU"/>
          </w:rPr>
          <w:tab/>
        </w:r>
        <w:r w:rsidR="00D93069" w:rsidRPr="00D93069">
          <w:rPr>
            <w:rStyle w:val="Hyperlink"/>
            <w:rFonts w:cs="Times New Roman"/>
            <w:noProof/>
            <w:sz w:val="24"/>
            <w:szCs w:val="24"/>
          </w:rPr>
          <w:t>Популяция для анализа безопасности</w:t>
        </w:r>
        <w:r w:rsidR="00D93069" w:rsidRPr="00D93069">
          <w:rPr>
            <w:rFonts w:cs="Times New Roman"/>
            <w:noProof/>
            <w:webHidden/>
            <w:sz w:val="24"/>
            <w:szCs w:val="24"/>
          </w:rPr>
          <w:tab/>
        </w:r>
        <w:r w:rsidR="00D93069" w:rsidRPr="00D93069">
          <w:rPr>
            <w:rFonts w:cs="Times New Roman"/>
            <w:noProof/>
            <w:webHidden/>
            <w:sz w:val="24"/>
            <w:szCs w:val="24"/>
          </w:rPr>
          <w:fldChar w:fldCharType="begin"/>
        </w:r>
        <w:r w:rsidR="00D93069" w:rsidRPr="00D93069">
          <w:rPr>
            <w:rFonts w:cs="Times New Roman"/>
            <w:noProof/>
            <w:webHidden/>
            <w:sz w:val="24"/>
            <w:szCs w:val="24"/>
          </w:rPr>
          <w:instrText xml:space="preserve"> PAGEREF _Toc120865326 \h </w:instrText>
        </w:r>
        <w:r w:rsidR="00D93069" w:rsidRPr="00D93069">
          <w:rPr>
            <w:rFonts w:cs="Times New Roman"/>
            <w:noProof/>
            <w:webHidden/>
            <w:sz w:val="24"/>
            <w:szCs w:val="24"/>
          </w:rPr>
        </w:r>
        <w:r w:rsidR="00D93069" w:rsidRPr="00D93069">
          <w:rPr>
            <w:rFonts w:cs="Times New Roman"/>
            <w:noProof/>
            <w:webHidden/>
            <w:sz w:val="24"/>
            <w:szCs w:val="24"/>
          </w:rPr>
          <w:fldChar w:fldCharType="separate"/>
        </w:r>
        <w:r w:rsidR="00F906B6">
          <w:rPr>
            <w:rFonts w:cs="Times New Roman"/>
            <w:noProof/>
            <w:webHidden/>
            <w:sz w:val="24"/>
            <w:szCs w:val="24"/>
          </w:rPr>
          <w:t>149</w:t>
        </w:r>
        <w:r w:rsidR="00D93069" w:rsidRPr="00D93069">
          <w:rPr>
            <w:rFonts w:cs="Times New Roman"/>
            <w:noProof/>
            <w:webHidden/>
            <w:sz w:val="24"/>
            <w:szCs w:val="24"/>
          </w:rPr>
          <w:fldChar w:fldCharType="end"/>
        </w:r>
      </w:hyperlink>
    </w:p>
    <w:p w14:paraId="195CC962" w14:textId="4FB139D8" w:rsidR="00D93069" w:rsidRPr="00D93069" w:rsidRDefault="00E767EF" w:rsidP="00D93069">
      <w:pPr>
        <w:pStyle w:val="TOC1"/>
        <w:rPr>
          <w:rFonts w:cs="Times New Roman"/>
          <w:b w:val="0"/>
          <w:bCs w:val="0"/>
          <w:noProof/>
          <w:lang w:eastAsia="ru-RU"/>
        </w:rPr>
      </w:pPr>
      <w:hyperlink w:anchor="_Toc120865327" w:history="1">
        <w:r w:rsidR="00D93069" w:rsidRPr="00D93069">
          <w:rPr>
            <w:rStyle w:val="Hyperlink"/>
            <w:rFonts w:cs="Times New Roman"/>
            <w:b w:val="0"/>
            <w:noProof/>
          </w:rPr>
          <w:t>10</w:t>
        </w:r>
        <w:r w:rsidR="00D93069" w:rsidRPr="00D93069">
          <w:rPr>
            <w:rFonts w:cs="Times New Roman"/>
            <w:b w:val="0"/>
            <w:bCs w:val="0"/>
            <w:noProof/>
            <w:lang w:eastAsia="ru-RU"/>
          </w:rPr>
          <w:tab/>
        </w:r>
        <w:r w:rsidR="00D93069" w:rsidRPr="00D93069">
          <w:rPr>
            <w:rStyle w:val="Hyperlink"/>
            <w:rFonts w:cs="Times New Roman"/>
            <w:b w:val="0"/>
            <w:noProof/>
          </w:rPr>
          <w:t>Описание действий по контролю качества и обеспечению качества</w:t>
        </w:r>
        <w:r w:rsidR="00D93069" w:rsidRPr="00D93069">
          <w:rPr>
            <w:rFonts w:cs="Times New Roman"/>
            <w:b w:val="0"/>
            <w:noProof/>
            <w:webHidden/>
          </w:rPr>
          <w:tab/>
        </w:r>
        <w:r w:rsidR="00D93069" w:rsidRPr="00D93069">
          <w:rPr>
            <w:rFonts w:cs="Times New Roman"/>
            <w:b w:val="0"/>
            <w:noProof/>
            <w:webHidden/>
          </w:rPr>
          <w:fldChar w:fldCharType="begin"/>
        </w:r>
        <w:r w:rsidR="00D93069" w:rsidRPr="00D93069">
          <w:rPr>
            <w:rFonts w:cs="Times New Roman"/>
            <w:b w:val="0"/>
            <w:noProof/>
            <w:webHidden/>
          </w:rPr>
          <w:instrText xml:space="preserve"> PAGEREF _Toc120865327 \h </w:instrText>
        </w:r>
        <w:r w:rsidR="00D93069" w:rsidRPr="00D93069">
          <w:rPr>
            <w:rFonts w:cs="Times New Roman"/>
            <w:b w:val="0"/>
            <w:noProof/>
            <w:webHidden/>
          </w:rPr>
        </w:r>
        <w:r w:rsidR="00D93069" w:rsidRPr="00D93069">
          <w:rPr>
            <w:rFonts w:cs="Times New Roman"/>
            <w:b w:val="0"/>
            <w:noProof/>
            <w:webHidden/>
          </w:rPr>
          <w:fldChar w:fldCharType="separate"/>
        </w:r>
        <w:r w:rsidR="00F906B6">
          <w:rPr>
            <w:rFonts w:cs="Times New Roman"/>
            <w:b w:val="0"/>
            <w:noProof/>
            <w:webHidden/>
          </w:rPr>
          <w:t>150</w:t>
        </w:r>
        <w:r w:rsidR="00D93069" w:rsidRPr="00D93069">
          <w:rPr>
            <w:rFonts w:cs="Times New Roman"/>
            <w:b w:val="0"/>
            <w:noProof/>
            <w:webHidden/>
          </w:rPr>
          <w:fldChar w:fldCharType="end"/>
        </w:r>
      </w:hyperlink>
    </w:p>
    <w:p w14:paraId="17A67A96" w14:textId="5DEFC336" w:rsidR="00D93069" w:rsidRPr="00D93069" w:rsidRDefault="00E767EF" w:rsidP="00D93069">
      <w:pPr>
        <w:pStyle w:val="TOC2"/>
        <w:rPr>
          <w:rFonts w:cs="Times New Roman"/>
          <w:b w:val="0"/>
          <w:bCs w:val="0"/>
          <w:noProof/>
          <w:sz w:val="24"/>
          <w:szCs w:val="24"/>
          <w:lang w:eastAsia="ru-RU"/>
        </w:rPr>
      </w:pPr>
      <w:hyperlink w:anchor="_Toc120865328" w:history="1">
        <w:r w:rsidR="00D93069" w:rsidRPr="00D93069">
          <w:rPr>
            <w:rStyle w:val="Hyperlink"/>
            <w:rFonts w:cs="Times New Roman"/>
            <w:b w:val="0"/>
            <w:noProof/>
            <w:sz w:val="24"/>
            <w:szCs w:val="24"/>
          </w:rPr>
          <w:t>10.1</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Мониторинг исследования и контроль качества</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_Toc120865328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150</w:t>
        </w:r>
        <w:r w:rsidR="00D93069" w:rsidRPr="00D93069">
          <w:rPr>
            <w:rFonts w:cs="Times New Roman"/>
            <w:b w:val="0"/>
            <w:noProof/>
            <w:webHidden/>
            <w:sz w:val="24"/>
            <w:szCs w:val="24"/>
          </w:rPr>
          <w:fldChar w:fldCharType="end"/>
        </w:r>
      </w:hyperlink>
    </w:p>
    <w:p w14:paraId="68B998FE" w14:textId="7587CE40" w:rsidR="00D93069" w:rsidRPr="00D93069" w:rsidRDefault="00E767EF" w:rsidP="00D93069">
      <w:pPr>
        <w:pStyle w:val="TOC2"/>
        <w:rPr>
          <w:rFonts w:cs="Times New Roman"/>
          <w:b w:val="0"/>
          <w:bCs w:val="0"/>
          <w:noProof/>
          <w:sz w:val="24"/>
          <w:szCs w:val="24"/>
          <w:lang w:eastAsia="ru-RU"/>
        </w:rPr>
      </w:pPr>
      <w:hyperlink w:anchor="_Toc120865329" w:history="1">
        <w:r w:rsidR="00D93069" w:rsidRPr="00D93069">
          <w:rPr>
            <w:rStyle w:val="Hyperlink"/>
            <w:rFonts w:cs="Times New Roman"/>
            <w:b w:val="0"/>
            <w:noProof/>
            <w:sz w:val="24"/>
            <w:szCs w:val="24"/>
          </w:rPr>
          <w:t>10.2</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Поправки к протоколу</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_Toc120865329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151</w:t>
        </w:r>
        <w:r w:rsidR="00D93069" w:rsidRPr="00D93069">
          <w:rPr>
            <w:rFonts w:cs="Times New Roman"/>
            <w:b w:val="0"/>
            <w:noProof/>
            <w:webHidden/>
            <w:sz w:val="24"/>
            <w:szCs w:val="24"/>
          </w:rPr>
          <w:fldChar w:fldCharType="end"/>
        </w:r>
      </w:hyperlink>
    </w:p>
    <w:p w14:paraId="332F3392" w14:textId="6C44526B" w:rsidR="00D93069" w:rsidRPr="00D93069" w:rsidRDefault="00E767EF" w:rsidP="00D93069">
      <w:pPr>
        <w:pStyle w:val="TOC2"/>
        <w:rPr>
          <w:rFonts w:cs="Times New Roman"/>
          <w:b w:val="0"/>
          <w:bCs w:val="0"/>
          <w:noProof/>
          <w:sz w:val="24"/>
          <w:szCs w:val="24"/>
          <w:lang w:eastAsia="ru-RU"/>
        </w:rPr>
      </w:pPr>
      <w:hyperlink w:anchor="_Toc120865330" w:history="1">
        <w:r w:rsidR="00D93069" w:rsidRPr="00D93069">
          <w:rPr>
            <w:rStyle w:val="Hyperlink"/>
            <w:rFonts w:cs="Times New Roman"/>
            <w:b w:val="0"/>
            <w:noProof/>
            <w:sz w:val="24"/>
            <w:szCs w:val="24"/>
          </w:rPr>
          <w:t>10.3</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Отклонения от протокола</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_Toc120865330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151</w:t>
        </w:r>
        <w:r w:rsidR="00D93069" w:rsidRPr="00D93069">
          <w:rPr>
            <w:rFonts w:cs="Times New Roman"/>
            <w:b w:val="0"/>
            <w:noProof/>
            <w:webHidden/>
            <w:sz w:val="24"/>
            <w:szCs w:val="24"/>
          </w:rPr>
          <w:fldChar w:fldCharType="end"/>
        </w:r>
      </w:hyperlink>
    </w:p>
    <w:p w14:paraId="34DA4613" w14:textId="730D103A" w:rsidR="00D93069" w:rsidRPr="00D93069" w:rsidRDefault="00E767EF" w:rsidP="00D93069">
      <w:pPr>
        <w:pStyle w:val="TOC1"/>
        <w:rPr>
          <w:rFonts w:cs="Times New Roman"/>
          <w:b w:val="0"/>
          <w:bCs w:val="0"/>
          <w:noProof/>
          <w:lang w:eastAsia="ru-RU"/>
        </w:rPr>
      </w:pPr>
      <w:hyperlink w:anchor="_Toc120865331" w:history="1">
        <w:r w:rsidR="00D93069" w:rsidRPr="00D93069">
          <w:rPr>
            <w:rStyle w:val="Hyperlink"/>
            <w:rFonts w:cs="Times New Roman"/>
            <w:b w:val="0"/>
            <w:noProof/>
          </w:rPr>
          <w:t>11</w:t>
        </w:r>
        <w:r w:rsidR="00D93069" w:rsidRPr="00D93069">
          <w:rPr>
            <w:rFonts w:cs="Times New Roman"/>
            <w:b w:val="0"/>
            <w:bCs w:val="0"/>
            <w:noProof/>
            <w:lang w:eastAsia="ru-RU"/>
          </w:rPr>
          <w:tab/>
        </w:r>
        <w:r w:rsidR="00D93069" w:rsidRPr="00D93069">
          <w:rPr>
            <w:rStyle w:val="Hyperlink"/>
            <w:rFonts w:cs="Times New Roman"/>
            <w:b w:val="0"/>
            <w:noProof/>
          </w:rPr>
          <w:t>Описание этических аспектов клинического исследования</w:t>
        </w:r>
        <w:r w:rsidR="00D93069" w:rsidRPr="00D93069">
          <w:rPr>
            <w:rFonts w:cs="Times New Roman"/>
            <w:b w:val="0"/>
            <w:noProof/>
            <w:webHidden/>
          </w:rPr>
          <w:tab/>
        </w:r>
        <w:r w:rsidR="00D93069" w:rsidRPr="00D93069">
          <w:rPr>
            <w:rFonts w:cs="Times New Roman"/>
            <w:b w:val="0"/>
            <w:noProof/>
            <w:webHidden/>
          </w:rPr>
          <w:fldChar w:fldCharType="begin"/>
        </w:r>
        <w:r w:rsidR="00D93069" w:rsidRPr="00D93069">
          <w:rPr>
            <w:rFonts w:cs="Times New Roman"/>
            <w:b w:val="0"/>
            <w:noProof/>
            <w:webHidden/>
          </w:rPr>
          <w:instrText xml:space="preserve"> PAGEREF _Toc120865331 \h </w:instrText>
        </w:r>
        <w:r w:rsidR="00D93069" w:rsidRPr="00D93069">
          <w:rPr>
            <w:rFonts w:cs="Times New Roman"/>
            <w:b w:val="0"/>
            <w:noProof/>
            <w:webHidden/>
          </w:rPr>
        </w:r>
        <w:r w:rsidR="00D93069" w:rsidRPr="00D93069">
          <w:rPr>
            <w:rFonts w:cs="Times New Roman"/>
            <w:b w:val="0"/>
            <w:noProof/>
            <w:webHidden/>
          </w:rPr>
          <w:fldChar w:fldCharType="separate"/>
        </w:r>
        <w:r w:rsidR="00F906B6">
          <w:rPr>
            <w:rFonts w:cs="Times New Roman"/>
            <w:b w:val="0"/>
            <w:noProof/>
            <w:webHidden/>
          </w:rPr>
          <w:t>153</w:t>
        </w:r>
        <w:r w:rsidR="00D93069" w:rsidRPr="00D93069">
          <w:rPr>
            <w:rFonts w:cs="Times New Roman"/>
            <w:b w:val="0"/>
            <w:noProof/>
            <w:webHidden/>
          </w:rPr>
          <w:fldChar w:fldCharType="end"/>
        </w:r>
      </w:hyperlink>
    </w:p>
    <w:p w14:paraId="34BF1F2B" w14:textId="2E2A69EA" w:rsidR="00D93069" w:rsidRPr="00D93069" w:rsidRDefault="00E767EF" w:rsidP="00D93069">
      <w:pPr>
        <w:pStyle w:val="TOC2"/>
        <w:rPr>
          <w:rFonts w:cs="Times New Roman"/>
          <w:b w:val="0"/>
          <w:bCs w:val="0"/>
          <w:noProof/>
          <w:sz w:val="24"/>
          <w:szCs w:val="24"/>
          <w:lang w:eastAsia="ru-RU"/>
        </w:rPr>
      </w:pPr>
      <w:hyperlink w:anchor="_Toc120865332" w:history="1">
        <w:r w:rsidR="00D93069" w:rsidRPr="00D93069">
          <w:rPr>
            <w:rStyle w:val="Hyperlink"/>
            <w:rFonts w:cs="Times New Roman"/>
            <w:b w:val="0"/>
            <w:noProof/>
            <w:sz w:val="24"/>
            <w:szCs w:val="24"/>
          </w:rPr>
          <w:t>11.1</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Общие положения</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_Toc120865332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153</w:t>
        </w:r>
        <w:r w:rsidR="00D93069" w:rsidRPr="00D93069">
          <w:rPr>
            <w:rFonts w:cs="Times New Roman"/>
            <w:b w:val="0"/>
            <w:noProof/>
            <w:webHidden/>
            <w:sz w:val="24"/>
            <w:szCs w:val="24"/>
          </w:rPr>
          <w:fldChar w:fldCharType="end"/>
        </w:r>
      </w:hyperlink>
    </w:p>
    <w:p w14:paraId="231B8D6A" w14:textId="417BBA4E" w:rsidR="00D93069" w:rsidRPr="00D93069" w:rsidRDefault="00E767EF" w:rsidP="00D93069">
      <w:pPr>
        <w:pStyle w:val="TOC2"/>
        <w:rPr>
          <w:rFonts w:cs="Times New Roman"/>
          <w:b w:val="0"/>
          <w:bCs w:val="0"/>
          <w:noProof/>
          <w:sz w:val="24"/>
          <w:szCs w:val="24"/>
          <w:lang w:eastAsia="ru-RU"/>
        </w:rPr>
      </w:pPr>
      <w:hyperlink w:anchor="_Toc120865333" w:history="1">
        <w:r w:rsidR="00D93069" w:rsidRPr="00D93069">
          <w:rPr>
            <w:rStyle w:val="Hyperlink"/>
            <w:rFonts w:cs="Times New Roman"/>
            <w:b w:val="0"/>
            <w:noProof/>
            <w:sz w:val="24"/>
            <w:szCs w:val="24"/>
          </w:rPr>
          <w:t>11.2</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Процедура получения информированного согласия</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_Toc120865333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153</w:t>
        </w:r>
        <w:r w:rsidR="00D93069" w:rsidRPr="00D93069">
          <w:rPr>
            <w:rFonts w:cs="Times New Roman"/>
            <w:b w:val="0"/>
            <w:noProof/>
            <w:webHidden/>
            <w:sz w:val="24"/>
            <w:szCs w:val="24"/>
          </w:rPr>
          <w:fldChar w:fldCharType="end"/>
        </w:r>
      </w:hyperlink>
    </w:p>
    <w:p w14:paraId="730CD859" w14:textId="12F62D5D" w:rsidR="00D93069" w:rsidRPr="00D93069" w:rsidRDefault="00E767EF" w:rsidP="00D93069">
      <w:pPr>
        <w:pStyle w:val="TOC2"/>
        <w:rPr>
          <w:rFonts w:cs="Times New Roman"/>
          <w:b w:val="0"/>
          <w:bCs w:val="0"/>
          <w:noProof/>
          <w:sz w:val="24"/>
          <w:szCs w:val="24"/>
          <w:lang w:eastAsia="ru-RU"/>
        </w:rPr>
      </w:pPr>
      <w:hyperlink w:anchor="_Toc120865334" w:history="1">
        <w:r w:rsidR="00D93069" w:rsidRPr="00D93069">
          <w:rPr>
            <w:rStyle w:val="Hyperlink"/>
            <w:rFonts w:cs="Times New Roman"/>
            <w:b w:val="0"/>
            <w:noProof/>
            <w:sz w:val="24"/>
            <w:szCs w:val="24"/>
          </w:rPr>
          <w:t>11.3</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Конфиденциальность и идентификация субъектов исследования</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_Toc120865334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153</w:t>
        </w:r>
        <w:r w:rsidR="00D93069" w:rsidRPr="00D93069">
          <w:rPr>
            <w:rFonts w:cs="Times New Roman"/>
            <w:b w:val="0"/>
            <w:noProof/>
            <w:webHidden/>
            <w:sz w:val="24"/>
            <w:szCs w:val="24"/>
          </w:rPr>
          <w:fldChar w:fldCharType="end"/>
        </w:r>
      </w:hyperlink>
    </w:p>
    <w:p w14:paraId="4ED4BB0D" w14:textId="1F2A2839" w:rsidR="00D93069" w:rsidRPr="00D93069" w:rsidRDefault="00E767EF" w:rsidP="00D93069">
      <w:pPr>
        <w:pStyle w:val="TOC2"/>
        <w:rPr>
          <w:rFonts w:cs="Times New Roman"/>
          <w:b w:val="0"/>
          <w:bCs w:val="0"/>
          <w:noProof/>
          <w:sz w:val="24"/>
          <w:szCs w:val="24"/>
          <w:lang w:eastAsia="ru-RU"/>
        </w:rPr>
      </w:pPr>
      <w:hyperlink w:anchor="_Toc120865335" w:history="1">
        <w:r w:rsidR="00D93069" w:rsidRPr="00D93069">
          <w:rPr>
            <w:rStyle w:val="Hyperlink"/>
            <w:rFonts w:cs="Times New Roman"/>
            <w:b w:val="0"/>
            <w:noProof/>
            <w:sz w:val="24"/>
            <w:szCs w:val="24"/>
          </w:rPr>
          <w:t>11.4</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Набор субъектов из уязвимых и особых групп</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_Toc120865335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154</w:t>
        </w:r>
        <w:r w:rsidR="00D93069" w:rsidRPr="00D93069">
          <w:rPr>
            <w:rFonts w:cs="Times New Roman"/>
            <w:b w:val="0"/>
            <w:noProof/>
            <w:webHidden/>
            <w:sz w:val="24"/>
            <w:szCs w:val="24"/>
          </w:rPr>
          <w:fldChar w:fldCharType="end"/>
        </w:r>
      </w:hyperlink>
    </w:p>
    <w:p w14:paraId="5218D124" w14:textId="79C45868" w:rsidR="00D93069" w:rsidRPr="00D93069" w:rsidRDefault="00E767EF" w:rsidP="00D93069">
      <w:pPr>
        <w:pStyle w:val="TOC1"/>
        <w:rPr>
          <w:rFonts w:cs="Times New Roman"/>
          <w:b w:val="0"/>
          <w:bCs w:val="0"/>
          <w:noProof/>
          <w:lang w:eastAsia="ru-RU"/>
        </w:rPr>
      </w:pPr>
      <w:hyperlink w:anchor="_Toc120865336" w:history="1">
        <w:r w:rsidR="00D93069" w:rsidRPr="00D93069">
          <w:rPr>
            <w:rStyle w:val="Hyperlink"/>
            <w:rFonts w:cs="Times New Roman"/>
            <w:b w:val="0"/>
            <w:noProof/>
          </w:rPr>
          <w:t>12</w:t>
        </w:r>
        <w:r w:rsidR="00D93069" w:rsidRPr="00D93069">
          <w:rPr>
            <w:rFonts w:cs="Times New Roman"/>
            <w:b w:val="0"/>
            <w:bCs w:val="0"/>
            <w:noProof/>
            <w:lang w:eastAsia="ru-RU"/>
          </w:rPr>
          <w:tab/>
        </w:r>
        <w:r w:rsidR="00D93069" w:rsidRPr="00D93069">
          <w:rPr>
            <w:rStyle w:val="Hyperlink"/>
            <w:rFonts w:cs="Times New Roman"/>
            <w:b w:val="0"/>
            <w:noProof/>
          </w:rPr>
          <w:t>Описание работы с данными и ведению записей</w:t>
        </w:r>
        <w:r w:rsidR="00D93069" w:rsidRPr="00D93069">
          <w:rPr>
            <w:rFonts w:cs="Times New Roman"/>
            <w:b w:val="0"/>
            <w:noProof/>
            <w:webHidden/>
          </w:rPr>
          <w:tab/>
        </w:r>
        <w:r w:rsidR="00D93069" w:rsidRPr="00D93069">
          <w:rPr>
            <w:rFonts w:cs="Times New Roman"/>
            <w:b w:val="0"/>
            <w:noProof/>
            <w:webHidden/>
          </w:rPr>
          <w:fldChar w:fldCharType="begin"/>
        </w:r>
        <w:r w:rsidR="00D93069" w:rsidRPr="00D93069">
          <w:rPr>
            <w:rFonts w:cs="Times New Roman"/>
            <w:b w:val="0"/>
            <w:noProof/>
            <w:webHidden/>
          </w:rPr>
          <w:instrText xml:space="preserve"> PAGEREF _Toc120865336 \h </w:instrText>
        </w:r>
        <w:r w:rsidR="00D93069" w:rsidRPr="00D93069">
          <w:rPr>
            <w:rFonts w:cs="Times New Roman"/>
            <w:b w:val="0"/>
            <w:noProof/>
            <w:webHidden/>
          </w:rPr>
        </w:r>
        <w:r w:rsidR="00D93069" w:rsidRPr="00D93069">
          <w:rPr>
            <w:rFonts w:cs="Times New Roman"/>
            <w:b w:val="0"/>
            <w:noProof/>
            <w:webHidden/>
          </w:rPr>
          <w:fldChar w:fldCharType="separate"/>
        </w:r>
        <w:r w:rsidR="00F906B6">
          <w:rPr>
            <w:rFonts w:cs="Times New Roman"/>
            <w:b w:val="0"/>
            <w:noProof/>
            <w:webHidden/>
          </w:rPr>
          <w:t>155</w:t>
        </w:r>
        <w:r w:rsidR="00D93069" w:rsidRPr="00D93069">
          <w:rPr>
            <w:rFonts w:cs="Times New Roman"/>
            <w:b w:val="0"/>
            <w:noProof/>
            <w:webHidden/>
          </w:rPr>
          <w:fldChar w:fldCharType="end"/>
        </w:r>
      </w:hyperlink>
    </w:p>
    <w:p w14:paraId="1D1C2FBE" w14:textId="535CDADF" w:rsidR="00D93069" w:rsidRPr="00D93069" w:rsidRDefault="00E767EF" w:rsidP="00D93069">
      <w:pPr>
        <w:pStyle w:val="TOC2"/>
        <w:rPr>
          <w:rFonts w:cs="Times New Roman"/>
          <w:b w:val="0"/>
          <w:bCs w:val="0"/>
          <w:noProof/>
          <w:sz w:val="24"/>
          <w:szCs w:val="24"/>
          <w:lang w:eastAsia="ru-RU"/>
        </w:rPr>
      </w:pPr>
      <w:hyperlink w:anchor="_Toc120865337" w:history="1">
        <w:r w:rsidR="00D93069" w:rsidRPr="00D93069">
          <w:rPr>
            <w:rStyle w:val="Hyperlink"/>
            <w:rFonts w:cs="Times New Roman"/>
            <w:b w:val="0"/>
            <w:noProof/>
            <w:sz w:val="24"/>
            <w:szCs w:val="24"/>
          </w:rPr>
          <w:t>12.1</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Прямой доступ к первичным данным/документации</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_Toc120865337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156</w:t>
        </w:r>
        <w:r w:rsidR="00D93069" w:rsidRPr="00D93069">
          <w:rPr>
            <w:rFonts w:cs="Times New Roman"/>
            <w:b w:val="0"/>
            <w:noProof/>
            <w:webHidden/>
            <w:sz w:val="24"/>
            <w:szCs w:val="24"/>
          </w:rPr>
          <w:fldChar w:fldCharType="end"/>
        </w:r>
      </w:hyperlink>
    </w:p>
    <w:p w14:paraId="5D604172" w14:textId="29CE2E39" w:rsidR="00D93069" w:rsidRPr="00D93069" w:rsidRDefault="00E767EF" w:rsidP="00D93069">
      <w:pPr>
        <w:pStyle w:val="TOC1"/>
        <w:rPr>
          <w:rFonts w:cs="Times New Roman"/>
          <w:b w:val="0"/>
          <w:bCs w:val="0"/>
          <w:noProof/>
          <w:lang w:eastAsia="ru-RU"/>
        </w:rPr>
      </w:pPr>
      <w:hyperlink w:anchor="_Toc120865338" w:history="1">
        <w:r w:rsidR="00D93069" w:rsidRPr="00D93069">
          <w:rPr>
            <w:rStyle w:val="Hyperlink"/>
            <w:rFonts w:cs="Times New Roman"/>
            <w:b w:val="0"/>
            <w:noProof/>
          </w:rPr>
          <w:t>13</w:t>
        </w:r>
        <w:r w:rsidR="00D93069" w:rsidRPr="00D93069">
          <w:rPr>
            <w:rFonts w:cs="Times New Roman"/>
            <w:b w:val="0"/>
            <w:bCs w:val="0"/>
            <w:noProof/>
            <w:lang w:eastAsia="ru-RU"/>
          </w:rPr>
          <w:tab/>
        </w:r>
        <w:r w:rsidR="00D93069" w:rsidRPr="00D93069">
          <w:rPr>
            <w:rStyle w:val="Hyperlink"/>
            <w:rFonts w:cs="Times New Roman"/>
            <w:b w:val="0"/>
            <w:noProof/>
          </w:rPr>
          <w:t>Финансирование и страхование</w:t>
        </w:r>
        <w:r w:rsidR="00D93069" w:rsidRPr="00D93069">
          <w:rPr>
            <w:rFonts w:cs="Times New Roman"/>
            <w:b w:val="0"/>
            <w:noProof/>
            <w:webHidden/>
          </w:rPr>
          <w:tab/>
        </w:r>
        <w:r w:rsidR="00D93069" w:rsidRPr="00D93069">
          <w:rPr>
            <w:rFonts w:cs="Times New Roman"/>
            <w:b w:val="0"/>
            <w:noProof/>
            <w:webHidden/>
          </w:rPr>
          <w:fldChar w:fldCharType="begin"/>
        </w:r>
        <w:r w:rsidR="00D93069" w:rsidRPr="00D93069">
          <w:rPr>
            <w:rFonts w:cs="Times New Roman"/>
            <w:b w:val="0"/>
            <w:noProof/>
            <w:webHidden/>
          </w:rPr>
          <w:instrText xml:space="preserve"> PAGEREF _Toc120865338 \h </w:instrText>
        </w:r>
        <w:r w:rsidR="00D93069" w:rsidRPr="00D93069">
          <w:rPr>
            <w:rFonts w:cs="Times New Roman"/>
            <w:b w:val="0"/>
            <w:noProof/>
            <w:webHidden/>
          </w:rPr>
        </w:r>
        <w:r w:rsidR="00D93069" w:rsidRPr="00D93069">
          <w:rPr>
            <w:rFonts w:cs="Times New Roman"/>
            <w:b w:val="0"/>
            <w:noProof/>
            <w:webHidden/>
          </w:rPr>
          <w:fldChar w:fldCharType="separate"/>
        </w:r>
        <w:r w:rsidR="00F906B6">
          <w:rPr>
            <w:rFonts w:cs="Times New Roman"/>
            <w:b w:val="0"/>
            <w:noProof/>
            <w:webHidden/>
          </w:rPr>
          <w:t>157</w:t>
        </w:r>
        <w:r w:rsidR="00D93069" w:rsidRPr="00D93069">
          <w:rPr>
            <w:rFonts w:cs="Times New Roman"/>
            <w:b w:val="0"/>
            <w:noProof/>
            <w:webHidden/>
          </w:rPr>
          <w:fldChar w:fldCharType="end"/>
        </w:r>
      </w:hyperlink>
    </w:p>
    <w:p w14:paraId="50BB9FCF" w14:textId="4ECF9AE5" w:rsidR="00D93069" w:rsidRPr="00D93069" w:rsidRDefault="00E767EF" w:rsidP="00D93069">
      <w:pPr>
        <w:pStyle w:val="TOC2"/>
        <w:rPr>
          <w:rFonts w:cs="Times New Roman"/>
          <w:b w:val="0"/>
          <w:bCs w:val="0"/>
          <w:noProof/>
          <w:sz w:val="24"/>
          <w:szCs w:val="24"/>
          <w:lang w:eastAsia="ru-RU"/>
        </w:rPr>
      </w:pPr>
      <w:hyperlink w:anchor="_Toc120865339" w:history="1">
        <w:r w:rsidR="00D93069" w:rsidRPr="00D93069">
          <w:rPr>
            <w:rStyle w:val="Hyperlink"/>
            <w:rFonts w:cs="Times New Roman"/>
            <w:b w:val="0"/>
            <w:noProof/>
            <w:sz w:val="24"/>
            <w:szCs w:val="24"/>
          </w:rPr>
          <w:t>13.1</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Финансирование</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_Toc120865339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157</w:t>
        </w:r>
        <w:r w:rsidR="00D93069" w:rsidRPr="00D93069">
          <w:rPr>
            <w:rFonts w:cs="Times New Roman"/>
            <w:b w:val="0"/>
            <w:noProof/>
            <w:webHidden/>
            <w:sz w:val="24"/>
            <w:szCs w:val="24"/>
          </w:rPr>
          <w:fldChar w:fldCharType="end"/>
        </w:r>
      </w:hyperlink>
    </w:p>
    <w:p w14:paraId="48EEA988" w14:textId="3E47F0FA" w:rsidR="00D93069" w:rsidRPr="00D93069" w:rsidRDefault="00E767EF" w:rsidP="00D93069">
      <w:pPr>
        <w:pStyle w:val="TOC2"/>
        <w:rPr>
          <w:rFonts w:cs="Times New Roman"/>
          <w:b w:val="0"/>
          <w:bCs w:val="0"/>
          <w:noProof/>
          <w:sz w:val="24"/>
          <w:szCs w:val="24"/>
          <w:lang w:eastAsia="ru-RU"/>
        </w:rPr>
      </w:pPr>
      <w:hyperlink w:anchor="_Toc120865340" w:history="1">
        <w:r w:rsidR="00D93069" w:rsidRPr="00D93069">
          <w:rPr>
            <w:rStyle w:val="Hyperlink"/>
            <w:rFonts w:cs="Times New Roman"/>
            <w:b w:val="0"/>
            <w:noProof/>
            <w:sz w:val="24"/>
            <w:szCs w:val="24"/>
          </w:rPr>
          <w:t>13.2</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Страхование</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_Toc120865340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157</w:t>
        </w:r>
        <w:r w:rsidR="00D93069" w:rsidRPr="00D93069">
          <w:rPr>
            <w:rFonts w:cs="Times New Roman"/>
            <w:b w:val="0"/>
            <w:noProof/>
            <w:webHidden/>
            <w:sz w:val="24"/>
            <w:szCs w:val="24"/>
          </w:rPr>
          <w:fldChar w:fldCharType="end"/>
        </w:r>
      </w:hyperlink>
    </w:p>
    <w:p w14:paraId="06EA9E60" w14:textId="49261D93" w:rsidR="00D93069" w:rsidRPr="00D93069" w:rsidRDefault="00E767EF" w:rsidP="00D93069">
      <w:pPr>
        <w:pStyle w:val="TOC1"/>
        <w:rPr>
          <w:rFonts w:cs="Times New Roman"/>
          <w:b w:val="0"/>
          <w:bCs w:val="0"/>
          <w:noProof/>
          <w:lang w:eastAsia="ru-RU"/>
        </w:rPr>
      </w:pPr>
      <w:hyperlink w:anchor="_Toc120865341" w:history="1">
        <w:r w:rsidR="00D93069" w:rsidRPr="00D93069">
          <w:rPr>
            <w:rStyle w:val="Hyperlink"/>
            <w:rFonts w:cs="Times New Roman"/>
            <w:b w:val="0"/>
            <w:noProof/>
          </w:rPr>
          <w:t>14</w:t>
        </w:r>
        <w:r w:rsidR="00D93069" w:rsidRPr="00D93069">
          <w:rPr>
            <w:rFonts w:cs="Times New Roman"/>
            <w:b w:val="0"/>
            <w:bCs w:val="0"/>
            <w:noProof/>
            <w:lang w:eastAsia="ru-RU"/>
          </w:rPr>
          <w:tab/>
        </w:r>
        <w:r w:rsidR="00D93069" w:rsidRPr="00D93069">
          <w:rPr>
            <w:rStyle w:val="Hyperlink"/>
            <w:rFonts w:cs="Times New Roman"/>
            <w:b w:val="0"/>
            <w:noProof/>
          </w:rPr>
          <w:t>Публикации</w:t>
        </w:r>
        <w:r w:rsidR="00D93069" w:rsidRPr="00D93069">
          <w:rPr>
            <w:rFonts w:cs="Times New Roman"/>
            <w:b w:val="0"/>
            <w:noProof/>
            <w:webHidden/>
          </w:rPr>
          <w:tab/>
        </w:r>
        <w:r w:rsidR="00D93069" w:rsidRPr="00D93069">
          <w:rPr>
            <w:rFonts w:cs="Times New Roman"/>
            <w:b w:val="0"/>
            <w:noProof/>
            <w:webHidden/>
          </w:rPr>
          <w:fldChar w:fldCharType="begin"/>
        </w:r>
        <w:r w:rsidR="00D93069" w:rsidRPr="00D93069">
          <w:rPr>
            <w:rFonts w:cs="Times New Roman"/>
            <w:b w:val="0"/>
            <w:noProof/>
            <w:webHidden/>
          </w:rPr>
          <w:instrText xml:space="preserve"> PAGEREF _Toc120865341 \h </w:instrText>
        </w:r>
        <w:r w:rsidR="00D93069" w:rsidRPr="00D93069">
          <w:rPr>
            <w:rFonts w:cs="Times New Roman"/>
            <w:b w:val="0"/>
            <w:noProof/>
            <w:webHidden/>
          </w:rPr>
        </w:r>
        <w:r w:rsidR="00D93069" w:rsidRPr="00D93069">
          <w:rPr>
            <w:rFonts w:cs="Times New Roman"/>
            <w:b w:val="0"/>
            <w:noProof/>
            <w:webHidden/>
          </w:rPr>
          <w:fldChar w:fldCharType="separate"/>
        </w:r>
        <w:r w:rsidR="00F906B6">
          <w:rPr>
            <w:rFonts w:cs="Times New Roman"/>
            <w:b w:val="0"/>
            <w:noProof/>
            <w:webHidden/>
          </w:rPr>
          <w:t>159</w:t>
        </w:r>
        <w:r w:rsidR="00D93069" w:rsidRPr="00D93069">
          <w:rPr>
            <w:rFonts w:cs="Times New Roman"/>
            <w:b w:val="0"/>
            <w:noProof/>
            <w:webHidden/>
          </w:rPr>
          <w:fldChar w:fldCharType="end"/>
        </w:r>
      </w:hyperlink>
    </w:p>
    <w:p w14:paraId="71CA85CA" w14:textId="4A881398" w:rsidR="00D93069" w:rsidRPr="00D93069" w:rsidRDefault="00E767EF" w:rsidP="00D93069">
      <w:pPr>
        <w:pStyle w:val="TOC1"/>
        <w:rPr>
          <w:rFonts w:cs="Times New Roman"/>
          <w:b w:val="0"/>
          <w:bCs w:val="0"/>
          <w:noProof/>
          <w:lang w:eastAsia="ru-RU"/>
        </w:rPr>
      </w:pPr>
      <w:hyperlink w:anchor="_Toc120865342" w:history="1">
        <w:r w:rsidR="00D93069" w:rsidRPr="00D93069">
          <w:rPr>
            <w:rStyle w:val="Hyperlink"/>
            <w:rFonts w:cs="Times New Roman"/>
            <w:b w:val="0"/>
            <w:noProof/>
            <w:lang w:eastAsia="ru-RU"/>
          </w:rPr>
          <w:t>15</w:t>
        </w:r>
        <w:r w:rsidR="00D93069" w:rsidRPr="00D93069">
          <w:rPr>
            <w:rFonts w:cs="Times New Roman"/>
            <w:b w:val="0"/>
            <w:bCs w:val="0"/>
            <w:noProof/>
            <w:lang w:eastAsia="ru-RU"/>
          </w:rPr>
          <w:tab/>
        </w:r>
        <w:r w:rsidR="00D93069" w:rsidRPr="00D93069">
          <w:rPr>
            <w:rStyle w:val="Hyperlink"/>
            <w:rFonts w:cs="Times New Roman"/>
            <w:b w:val="0"/>
            <w:noProof/>
            <w:lang w:eastAsia="ru-RU"/>
          </w:rPr>
          <w:t>Приложения</w:t>
        </w:r>
        <w:r w:rsidR="00D93069" w:rsidRPr="00D93069">
          <w:rPr>
            <w:rFonts w:cs="Times New Roman"/>
            <w:b w:val="0"/>
            <w:noProof/>
            <w:webHidden/>
          </w:rPr>
          <w:tab/>
        </w:r>
        <w:r w:rsidR="00D93069" w:rsidRPr="00D93069">
          <w:rPr>
            <w:rFonts w:cs="Times New Roman"/>
            <w:b w:val="0"/>
            <w:noProof/>
            <w:webHidden/>
          </w:rPr>
          <w:fldChar w:fldCharType="begin"/>
        </w:r>
        <w:r w:rsidR="00D93069" w:rsidRPr="00D93069">
          <w:rPr>
            <w:rFonts w:cs="Times New Roman"/>
            <w:b w:val="0"/>
            <w:noProof/>
            <w:webHidden/>
          </w:rPr>
          <w:instrText xml:space="preserve"> PAGEREF _Toc120865342 \h </w:instrText>
        </w:r>
        <w:r w:rsidR="00D93069" w:rsidRPr="00D93069">
          <w:rPr>
            <w:rFonts w:cs="Times New Roman"/>
            <w:b w:val="0"/>
            <w:noProof/>
            <w:webHidden/>
          </w:rPr>
        </w:r>
        <w:r w:rsidR="00D93069" w:rsidRPr="00D93069">
          <w:rPr>
            <w:rFonts w:cs="Times New Roman"/>
            <w:b w:val="0"/>
            <w:noProof/>
            <w:webHidden/>
          </w:rPr>
          <w:fldChar w:fldCharType="separate"/>
        </w:r>
        <w:r w:rsidR="00F906B6">
          <w:rPr>
            <w:rFonts w:cs="Times New Roman"/>
            <w:b w:val="0"/>
            <w:noProof/>
            <w:webHidden/>
          </w:rPr>
          <w:t>160</w:t>
        </w:r>
        <w:r w:rsidR="00D93069" w:rsidRPr="00D93069">
          <w:rPr>
            <w:rFonts w:cs="Times New Roman"/>
            <w:b w:val="0"/>
            <w:noProof/>
            <w:webHidden/>
          </w:rPr>
          <w:fldChar w:fldCharType="end"/>
        </w:r>
      </w:hyperlink>
    </w:p>
    <w:p w14:paraId="017B8A14" w14:textId="1AF074C5" w:rsidR="00D93069" w:rsidRPr="00D93069" w:rsidRDefault="00E767EF" w:rsidP="00D93069">
      <w:pPr>
        <w:pStyle w:val="TOC2"/>
        <w:rPr>
          <w:rFonts w:cs="Times New Roman"/>
          <w:b w:val="0"/>
          <w:bCs w:val="0"/>
          <w:noProof/>
          <w:sz w:val="24"/>
          <w:szCs w:val="24"/>
          <w:lang w:eastAsia="ru-RU"/>
        </w:rPr>
      </w:pPr>
      <w:hyperlink w:anchor="_Toc120865343" w:history="1">
        <w:r w:rsidR="00D93069" w:rsidRPr="00D93069">
          <w:rPr>
            <w:rStyle w:val="Hyperlink"/>
            <w:rFonts w:cs="Times New Roman"/>
            <w:b w:val="0"/>
            <w:noProof/>
            <w:sz w:val="24"/>
            <w:szCs w:val="24"/>
          </w:rPr>
          <w:t>15.1</w:t>
        </w:r>
        <w:r w:rsidR="00D93069" w:rsidRPr="00D93069">
          <w:rPr>
            <w:rFonts w:cs="Times New Roman"/>
            <w:b w:val="0"/>
            <w:bCs w:val="0"/>
            <w:noProof/>
            <w:sz w:val="24"/>
            <w:szCs w:val="24"/>
            <w:lang w:eastAsia="ru-RU"/>
          </w:rPr>
          <w:tab/>
        </w:r>
        <w:r w:rsidR="00D93069" w:rsidRPr="00D93069">
          <w:rPr>
            <w:rStyle w:val="Hyperlink"/>
            <w:rFonts w:cs="Times New Roman"/>
            <w:b w:val="0"/>
            <w:noProof/>
            <w:sz w:val="24"/>
            <w:szCs w:val="24"/>
          </w:rPr>
          <w:t xml:space="preserve">Приложение 1 – классификация </w:t>
        </w:r>
        <w:r w:rsidR="00D93069" w:rsidRPr="00D93069">
          <w:rPr>
            <w:rStyle w:val="Hyperlink"/>
            <w:rFonts w:cs="Times New Roman"/>
            <w:b w:val="0"/>
            <w:noProof/>
            <w:sz w:val="24"/>
            <w:szCs w:val="24"/>
            <w:lang w:val="en-US"/>
          </w:rPr>
          <w:t>TNM</w:t>
        </w:r>
        <w:r w:rsidR="00D93069" w:rsidRPr="00D93069">
          <w:rPr>
            <w:rStyle w:val="Hyperlink"/>
            <w:rFonts w:cs="Times New Roman"/>
            <w:b w:val="0"/>
            <w:noProof/>
            <w:sz w:val="24"/>
            <w:szCs w:val="24"/>
          </w:rPr>
          <w:t xml:space="preserve"> 7-го пересмотра немелкоклеточного рака легкого</w:t>
        </w:r>
        <w:r w:rsidR="00D93069" w:rsidRPr="00D93069">
          <w:rPr>
            <w:rFonts w:cs="Times New Roman"/>
            <w:b w:val="0"/>
            <w:noProof/>
            <w:webHidden/>
            <w:sz w:val="24"/>
            <w:szCs w:val="24"/>
          </w:rPr>
          <w:tab/>
        </w:r>
        <w:r w:rsidR="00D93069" w:rsidRPr="00D93069">
          <w:rPr>
            <w:rFonts w:cs="Times New Roman"/>
            <w:b w:val="0"/>
            <w:noProof/>
            <w:webHidden/>
            <w:sz w:val="24"/>
            <w:szCs w:val="24"/>
          </w:rPr>
          <w:fldChar w:fldCharType="begin"/>
        </w:r>
        <w:r w:rsidR="00D93069" w:rsidRPr="00D93069">
          <w:rPr>
            <w:rFonts w:cs="Times New Roman"/>
            <w:b w:val="0"/>
            <w:noProof/>
            <w:webHidden/>
            <w:sz w:val="24"/>
            <w:szCs w:val="24"/>
          </w:rPr>
          <w:instrText xml:space="preserve"> PAGEREF _Toc120865343 \h </w:instrText>
        </w:r>
        <w:r w:rsidR="00D93069" w:rsidRPr="00D93069">
          <w:rPr>
            <w:rFonts w:cs="Times New Roman"/>
            <w:b w:val="0"/>
            <w:noProof/>
            <w:webHidden/>
            <w:sz w:val="24"/>
            <w:szCs w:val="24"/>
          </w:rPr>
        </w:r>
        <w:r w:rsidR="00D93069" w:rsidRPr="00D93069">
          <w:rPr>
            <w:rFonts w:cs="Times New Roman"/>
            <w:b w:val="0"/>
            <w:noProof/>
            <w:webHidden/>
            <w:sz w:val="24"/>
            <w:szCs w:val="24"/>
          </w:rPr>
          <w:fldChar w:fldCharType="separate"/>
        </w:r>
        <w:r w:rsidR="00F906B6">
          <w:rPr>
            <w:rFonts w:cs="Times New Roman"/>
            <w:b w:val="0"/>
            <w:noProof/>
            <w:webHidden/>
            <w:sz w:val="24"/>
            <w:szCs w:val="24"/>
          </w:rPr>
          <w:t>160</w:t>
        </w:r>
        <w:r w:rsidR="00D93069" w:rsidRPr="00D93069">
          <w:rPr>
            <w:rFonts w:cs="Times New Roman"/>
            <w:b w:val="0"/>
            <w:noProof/>
            <w:webHidden/>
            <w:sz w:val="24"/>
            <w:szCs w:val="24"/>
          </w:rPr>
          <w:fldChar w:fldCharType="end"/>
        </w:r>
      </w:hyperlink>
    </w:p>
    <w:p w14:paraId="7B6CBFC2" w14:textId="28D6DA06" w:rsidR="00D93069" w:rsidRPr="00D93069" w:rsidRDefault="00E767EF" w:rsidP="00D93069">
      <w:pPr>
        <w:pStyle w:val="TOC1"/>
        <w:rPr>
          <w:rFonts w:cs="Times New Roman"/>
          <w:b w:val="0"/>
          <w:bCs w:val="0"/>
          <w:noProof/>
          <w:lang w:eastAsia="ru-RU"/>
        </w:rPr>
      </w:pPr>
      <w:hyperlink w:anchor="_Toc120865344" w:history="1">
        <w:r w:rsidR="00D93069" w:rsidRPr="00D93069">
          <w:rPr>
            <w:rStyle w:val="Hyperlink"/>
            <w:rFonts w:cs="Times New Roman"/>
            <w:b w:val="0"/>
            <w:noProof/>
            <w:lang w:eastAsia="ru-RU"/>
          </w:rPr>
          <w:t>16</w:t>
        </w:r>
        <w:r w:rsidR="00D93069" w:rsidRPr="00D93069">
          <w:rPr>
            <w:rFonts w:cs="Times New Roman"/>
            <w:b w:val="0"/>
            <w:bCs w:val="0"/>
            <w:noProof/>
            <w:lang w:eastAsia="ru-RU"/>
          </w:rPr>
          <w:tab/>
        </w:r>
        <w:r w:rsidR="00D93069" w:rsidRPr="00D93069">
          <w:rPr>
            <w:rStyle w:val="Hyperlink"/>
            <w:rFonts w:cs="Times New Roman"/>
            <w:b w:val="0"/>
            <w:noProof/>
            <w:lang w:eastAsia="ru-RU"/>
          </w:rPr>
          <w:t>Список литературы</w:t>
        </w:r>
        <w:r w:rsidR="00D93069" w:rsidRPr="00D93069">
          <w:rPr>
            <w:rFonts w:cs="Times New Roman"/>
            <w:b w:val="0"/>
            <w:noProof/>
            <w:webHidden/>
          </w:rPr>
          <w:tab/>
        </w:r>
        <w:r w:rsidR="00D93069" w:rsidRPr="00D93069">
          <w:rPr>
            <w:rFonts w:cs="Times New Roman"/>
            <w:b w:val="0"/>
            <w:noProof/>
            <w:webHidden/>
          </w:rPr>
          <w:fldChar w:fldCharType="begin"/>
        </w:r>
        <w:r w:rsidR="00D93069" w:rsidRPr="00D93069">
          <w:rPr>
            <w:rFonts w:cs="Times New Roman"/>
            <w:b w:val="0"/>
            <w:noProof/>
            <w:webHidden/>
          </w:rPr>
          <w:instrText xml:space="preserve"> PAGEREF _Toc120865344 \h </w:instrText>
        </w:r>
        <w:r w:rsidR="00D93069" w:rsidRPr="00D93069">
          <w:rPr>
            <w:rFonts w:cs="Times New Roman"/>
            <w:b w:val="0"/>
            <w:noProof/>
            <w:webHidden/>
          </w:rPr>
        </w:r>
        <w:r w:rsidR="00D93069" w:rsidRPr="00D93069">
          <w:rPr>
            <w:rFonts w:cs="Times New Roman"/>
            <w:b w:val="0"/>
            <w:noProof/>
            <w:webHidden/>
          </w:rPr>
          <w:fldChar w:fldCharType="separate"/>
        </w:r>
        <w:r w:rsidR="00F906B6">
          <w:rPr>
            <w:rFonts w:cs="Times New Roman"/>
            <w:b w:val="0"/>
            <w:noProof/>
            <w:webHidden/>
          </w:rPr>
          <w:t>162</w:t>
        </w:r>
        <w:r w:rsidR="00D93069" w:rsidRPr="00D93069">
          <w:rPr>
            <w:rFonts w:cs="Times New Roman"/>
            <w:b w:val="0"/>
            <w:noProof/>
            <w:webHidden/>
          </w:rPr>
          <w:fldChar w:fldCharType="end"/>
        </w:r>
      </w:hyperlink>
    </w:p>
    <w:p w14:paraId="002CEA48" w14:textId="18A1E949" w:rsidR="00EF25E9" w:rsidRPr="00D93069" w:rsidRDefault="001D1A4D" w:rsidP="00D93069">
      <w:pPr>
        <w:pStyle w:val="SDText"/>
        <w:jc w:val="both"/>
        <w:rPr>
          <w:rFonts w:cs="Times New Roman"/>
          <w:szCs w:val="24"/>
          <w:lang w:eastAsia="ru-RU"/>
        </w:rPr>
      </w:pPr>
      <w:r w:rsidRPr="00D93069">
        <w:rPr>
          <w:rFonts w:cs="Times New Roman"/>
          <w:bCs/>
          <w:szCs w:val="24"/>
          <w:lang w:eastAsia="ru-RU"/>
        </w:rPr>
        <w:fldChar w:fldCharType="end"/>
      </w:r>
      <w:r w:rsidR="00EF25E9" w:rsidRPr="00D93069">
        <w:rPr>
          <w:rFonts w:cs="Times New Roman"/>
          <w:szCs w:val="24"/>
          <w:lang w:eastAsia="ru-RU"/>
        </w:rPr>
        <w:br w:type="page"/>
      </w:r>
    </w:p>
    <w:p w14:paraId="562482A1" w14:textId="2504CAAF" w:rsidR="00F93CD5" w:rsidRDefault="00F93CD5" w:rsidP="007B46F5">
      <w:pPr>
        <w:pStyle w:val="Heading1"/>
        <w:numPr>
          <w:ilvl w:val="0"/>
          <w:numId w:val="0"/>
        </w:numPr>
        <w:spacing w:before="0" w:after="0" w:line="240" w:lineRule="auto"/>
        <w:ind w:left="431" w:hanging="431"/>
        <w:jc w:val="both"/>
        <w:rPr>
          <w:color w:val="auto"/>
          <w:sz w:val="28"/>
          <w:szCs w:val="28"/>
          <w:lang w:eastAsia="ru-RU"/>
        </w:rPr>
      </w:pPr>
      <w:bookmarkStart w:id="13" w:name="_Toc464212824"/>
      <w:bookmarkStart w:id="14" w:name="_Toc120865217"/>
      <w:r w:rsidRPr="007B46F5">
        <w:rPr>
          <w:color w:val="auto"/>
          <w:sz w:val="28"/>
          <w:szCs w:val="28"/>
          <w:lang w:eastAsia="ru-RU"/>
        </w:rPr>
        <w:lastRenderedPageBreak/>
        <w:t>Список сокращений</w:t>
      </w:r>
      <w:bookmarkEnd w:id="13"/>
      <w:bookmarkEnd w:id="14"/>
    </w:p>
    <w:p w14:paraId="43E059D7" w14:textId="77777777" w:rsidR="007B46F5" w:rsidRPr="007B46F5" w:rsidRDefault="007B46F5" w:rsidP="007B46F5"/>
    <w:p w14:paraId="511B334D" w14:textId="77777777" w:rsidR="009626D8" w:rsidRPr="009E6200" w:rsidRDefault="009626D8" w:rsidP="007B46F5">
      <w:pPr>
        <w:jc w:val="both"/>
      </w:pPr>
    </w:p>
    <w:tbl>
      <w:tblPr>
        <w:tblStyle w:val="20"/>
        <w:tblW w:w="9339" w:type="dxa"/>
        <w:tblLook w:val="04A0" w:firstRow="1" w:lastRow="0" w:firstColumn="1" w:lastColumn="0" w:noHBand="0" w:noVBand="1"/>
      </w:tblPr>
      <w:tblGrid>
        <w:gridCol w:w="2544"/>
        <w:gridCol w:w="6795"/>
      </w:tblGrid>
      <w:tr w:rsidR="00391D4B" w:rsidRPr="009E6200" w14:paraId="5B797F5B" w14:textId="77777777" w:rsidTr="00C90851">
        <w:trPr>
          <w:trHeight w:val="20"/>
        </w:trPr>
        <w:tc>
          <w:tcPr>
            <w:tcW w:w="2544" w:type="dxa"/>
            <w:vAlign w:val="center"/>
          </w:tcPr>
          <w:p w14:paraId="238BE3DE" w14:textId="77777777" w:rsidR="00391D4B" w:rsidRPr="009E6200" w:rsidRDefault="00391D4B" w:rsidP="00C90851">
            <w:pPr>
              <w:pStyle w:val="SDText"/>
              <w:jc w:val="both"/>
              <w:rPr>
                <w:b/>
              </w:rPr>
            </w:pPr>
            <w:r w:rsidRPr="009E6200">
              <w:rPr>
                <w:b/>
              </w:rPr>
              <w:t>Аббревиатура</w:t>
            </w:r>
          </w:p>
        </w:tc>
        <w:tc>
          <w:tcPr>
            <w:tcW w:w="6795" w:type="dxa"/>
          </w:tcPr>
          <w:p w14:paraId="48B178F1" w14:textId="77777777" w:rsidR="00391D4B" w:rsidRPr="009E6200" w:rsidRDefault="00391D4B" w:rsidP="00C90851">
            <w:pPr>
              <w:pStyle w:val="SDText"/>
              <w:jc w:val="both"/>
              <w:rPr>
                <w:b/>
              </w:rPr>
            </w:pPr>
            <w:r w:rsidRPr="009E6200">
              <w:rPr>
                <w:b/>
              </w:rPr>
              <w:t>Расшифровка</w:t>
            </w:r>
          </w:p>
        </w:tc>
      </w:tr>
      <w:tr w:rsidR="00391D4B" w:rsidRPr="009E6200" w14:paraId="35341D2A" w14:textId="77777777" w:rsidTr="00C90851">
        <w:trPr>
          <w:trHeight w:val="20"/>
        </w:trPr>
        <w:tc>
          <w:tcPr>
            <w:tcW w:w="2544" w:type="dxa"/>
            <w:shd w:val="clear" w:color="auto" w:fill="C45911" w:themeFill="accent2" w:themeFillShade="BF"/>
            <w:vAlign w:val="center"/>
          </w:tcPr>
          <w:p w14:paraId="5F179CAD" w14:textId="77777777" w:rsidR="00391D4B" w:rsidRPr="009E6200" w:rsidRDefault="00391D4B" w:rsidP="00C90851">
            <w:pPr>
              <w:pStyle w:val="SDText"/>
              <w:jc w:val="both"/>
              <w:rPr>
                <w:b/>
              </w:rPr>
            </w:pPr>
            <w:r w:rsidRPr="009E6200">
              <w:rPr>
                <w:vertAlign w:val="superscript"/>
              </w:rPr>
              <w:t>125</w:t>
            </w:r>
            <w:r w:rsidRPr="009E6200">
              <w:rPr>
                <w:lang w:val="en-US"/>
              </w:rPr>
              <w:t>I</w:t>
            </w:r>
            <w:r w:rsidRPr="009E6200">
              <w:t>-бевацизумаб</w:t>
            </w:r>
          </w:p>
        </w:tc>
        <w:tc>
          <w:tcPr>
            <w:tcW w:w="6795" w:type="dxa"/>
            <w:shd w:val="clear" w:color="auto" w:fill="C45911" w:themeFill="accent2" w:themeFillShade="BF"/>
          </w:tcPr>
          <w:p w14:paraId="27E271CA" w14:textId="77777777" w:rsidR="00391D4B" w:rsidRPr="009E6200" w:rsidRDefault="00391D4B" w:rsidP="00C90851">
            <w:pPr>
              <w:pStyle w:val="SDText"/>
              <w:jc w:val="both"/>
            </w:pPr>
            <w:r w:rsidRPr="009E6200">
              <w:t>Бевацизумаб, меченный радиоактивным изотопом йода</w:t>
            </w:r>
          </w:p>
        </w:tc>
      </w:tr>
      <w:tr w:rsidR="00391D4B" w:rsidRPr="009E6200" w14:paraId="2ACEA7F6" w14:textId="77777777" w:rsidTr="00C90851">
        <w:trPr>
          <w:trHeight w:val="20"/>
        </w:trPr>
        <w:tc>
          <w:tcPr>
            <w:tcW w:w="2544" w:type="dxa"/>
            <w:shd w:val="clear" w:color="auto" w:fill="auto"/>
            <w:vAlign w:val="center"/>
          </w:tcPr>
          <w:p w14:paraId="2B4F9260" w14:textId="77777777" w:rsidR="00391D4B" w:rsidRPr="009E6200" w:rsidRDefault="00391D4B" w:rsidP="00C90851">
            <w:pPr>
              <w:pStyle w:val="SDText"/>
              <w:jc w:val="both"/>
            </w:pPr>
            <w:r w:rsidRPr="009E6200">
              <w:rPr>
                <w:rFonts w:cs="Times New Roman"/>
              </w:rPr>
              <w:t>β</w:t>
            </w:r>
            <w:r w:rsidRPr="009E6200">
              <w:t>-ХГЧ</w:t>
            </w:r>
          </w:p>
        </w:tc>
        <w:tc>
          <w:tcPr>
            <w:tcW w:w="6795" w:type="dxa"/>
            <w:shd w:val="clear" w:color="auto" w:fill="auto"/>
          </w:tcPr>
          <w:p w14:paraId="26AF369B" w14:textId="77777777" w:rsidR="00391D4B" w:rsidRPr="009E6200" w:rsidRDefault="00391D4B" w:rsidP="00C90851">
            <w:pPr>
              <w:pStyle w:val="SDText"/>
              <w:jc w:val="both"/>
            </w:pPr>
            <w:r w:rsidRPr="009E6200">
              <w:t>Бета хорионический гонадотропин человека</w:t>
            </w:r>
          </w:p>
        </w:tc>
      </w:tr>
      <w:tr w:rsidR="00391D4B" w:rsidRPr="009E6200" w14:paraId="042BCAC5" w14:textId="77777777" w:rsidTr="00C90851">
        <w:trPr>
          <w:trHeight w:val="20"/>
        </w:trPr>
        <w:tc>
          <w:tcPr>
            <w:tcW w:w="2544" w:type="dxa"/>
            <w:vAlign w:val="center"/>
          </w:tcPr>
          <w:p w14:paraId="550E3F10" w14:textId="77777777" w:rsidR="00391D4B" w:rsidRPr="009E6200" w:rsidRDefault="00391D4B" w:rsidP="00C90851">
            <w:pPr>
              <w:pStyle w:val="SDText"/>
              <w:jc w:val="both"/>
            </w:pPr>
            <w:r w:rsidRPr="009E6200">
              <w:t>АД</w:t>
            </w:r>
          </w:p>
        </w:tc>
        <w:tc>
          <w:tcPr>
            <w:tcW w:w="6795" w:type="dxa"/>
          </w:tcPr>
          <w:p w14:paraId="1E963995" w14:textId="77777777" w:rsidR="00391D4B" w:rsidRPr="009E6200" w:rsidRDefault="00391D4B" w:rsidP="00C90851">
            <w:pPr>
              <w:pStyle w:val="SDText"/>
              <w:jc w:val="both"/>
            </w:pPr>
            <w:r w:rsidRPr="009E6200">
              <w:t>Артериальное давление</w:t>
            </w:r>
          </w:p>
        </w:tc>
      </w:tr>
      <w:tr w:rsidR="00391D4B" w:rsidRPr="009E6200" w14:paraId="3D7938F3" w14:textId="77777777" w:rsidTr="00C90851">
        <w:trPr>
          <w:trHeight w:val="20"/>
        </w:trPr>
        <w:tc>
          <w:tcPr>
            <w:tcW w:w="2544" w:type="dxa"/>
            <w:vAlign w:val="center"/>
          </w:tcPr>
          <w:p w14:paraId="1F0E9F8A" w14:textId="77777777" w:rsidR="00391D4B" w:rsidRPr="009E6200" w:rsidRDefault="00391D4B" w:rsidP="00C90851">
            <w:pPr>
              <w:pStyle w:val="SDText"/>
              <w:jc w:val="both"/>
            </w:pPr>
            <w:r w:rsidRPr="009E6200">
              <w:t>АЛТ</w:t>
            </w:r>
          </w:p>
        </w:tc>
        <w:tc>
          <w:tcPr>
            <w:tcW w:w="6795" w:type="dxa"/>
          </w:tcPr>
          <w:p w14:paraId="0F0B3EE9" w14:textId="77777777" w:rsidR="00391D4B" w:rsidRPr="009E6200" w:rsidRDefault="00391D4B" w:rsidP="00C90851">
            <w:pPr>
              <w:pStyle w:val="SDText"/>
              <w:jc w:val="both"/>
            </w:pPr>
            <w:r w:rsidRPr="009E6200">
              <w:t>Аланинаминотрансфераза</w:t>
            </w:r>
          </w:p>
        </w:tc>
      </w:tr>
      <w:tr w:rsidR="00391D4B" w:rsidRPr="009E6200" w14:paraId="7C2F40A5" w14:textId="77777777" w:rsidTr="00C90851">
        <w:trPr>
          <w:trHeight w:val="20"/>
        </w:trPr>
        <w:tc>
          <w:tcPr>
            <w:tcW w:w="2544" w:type="dxa"/>
            <w:shd w:val="clear" w:color="auto" w:fill="auto"/>
            <w:vAlign w:val="center"/>
          </w:tcPr>
          <w:p w14:paraId="6E8AA6FA" w14:textId="77777777" w:rsidR="00391D4B" w:rsidRPr="009E6200" w:rsidRDefault="00391D4B" w:rsidP="00C90851">
            <w:pPr>
              <w:pStyle w:val="SDText"/>
              <w:jc w:val="both"/>
            </w:pPr>
            <w:r w:rsidRPr="009E6200">
              <w:t>анти-ВИЧ</w:t>
            </w:r>
          </w:p>
        </w:tc>
        <w:tc>
          <w:tcPr>
            <w:tcW w:w="6795" w:type="dxa"/>
            <w:shd w:val="clear" w:color="auto" w:fill="auto"/>
          </w:tcPr>
          <w:p w14:paraId="5834C9D1" w14:textId="77777777" w:rsidR="00391D4B" w:rsidRPr="009E6200" w:rsidRDefault="00391D4B" w:rsidP="00C90851">
            <w:pPr>
              <w:pStyle w:val="SDText"/>
              <w:jc w:val="both"/>
            </w:pPr>
            <w:r w:rsidRPr="009E6200">
              <w:t>Антитела к антигенам вируса иммунодефицита человека</w:t>
            </w:r>
          </w:p>
        </w:tc>
      </w:tr>
      <w:tr w:rsidR="00391D4B" w:rsidRPr="009E6200" w14:paraId="3DF67A28" w14:textId="77777777" w:rsidTr="00C90851">
        <w:trPr>
          <w:trHeight w:val="20"/>
        </w:trPr>
        <w:tc>
          <w:tcPr>
            <w:tcW w:w="2544" w:type="dxa"/>
            <w:shd w:val="clear" w:color="auto" w:fill="auto"/>
          </w:tcPr>
          <w:p w14:paraId="3BD00575" w14:textId="77777777" w:rsidR="00391D4B" w:rsidRPr="009E6200" w:rsidRDefault="00391D4B" w:rsidP="00C90851">
            <w:pPr>
              <w:pStyle w:val="SDText"/>
              <w:jc w:val="both"/>
              <w:rPr>
                <w:rFonts w:cs="Times New Roman"/>
                <w:lang w:val="en-US"/>
              </w:rPr>
            </w:pPr>
            <w:r w:rsidRPr="009E6200">
              <w:t>анти-</w:t>
            </w:r>
            <w:r w:rsidRPr="009E6200">
              <w:rPr>
                <w:lang w:val="en-US"/>
              </w:rPr>
              <w:t>HCV</w:t>
            </w:r>
          </w:p>
        </w:tc>
        <w:tc>
          <w:tcPr>
            <w:tcW w:w="6795" w:type="dxa"/>
            <w:shd w:val="clear" w:color="auto" w:fill="auto"/>
          </w:tcPr>
          <w:p w14:paraId="366E3BBC" w14:textId="77777777" w:rsidR="00391D4B" w:rsidRPr="009E6200" w:rsidRDefault="00391D4B" w:rsidP="00C90851">
            <w:pPr>
              <w:pStyle w:val="SDText"/>
              <w:jc w:val="both"/>
            </w:pPr>
            <w:r w:rsidRPr="009E6200">
              <w:t xml:space="preserve">Антитела к антигенам вируса гепатита </w:t>
            </w:r>
            <w:r w:rsidRPr="009E6200">
              <w:rPr>
                <w:lang w:val="en-US"/>
              </w:rPr>
              <w:t>C</w:t>
            </w:r>
            <w:r w:rsidRPr="009E6200">
              <w:t xml:space="preserve"> (антитела к hepаtitis C virus)</w:t>
            </w:r>
          </w:p>
        </w:tc>
      </w:tr>
      <w:tr w:rsidR="00391D4B" w:rsidRPr="009E6200" w14:paraId="2452DADF" w14:textId="77777777" w:rsidTr="00C90851">
        <w:trPr>
          <w:trHeight w:val="20"/>
        </w:trPr>
        <w:tc>
          <w:tcPr>
            <w:tcW w:w="2544" w:type="dxa"/>
            <w:shd w:val="clear" w:color="auto" w:fill="auto"/>
            <w:vAlign w:val="center"/>
          </w:tcPr>
          <w:p w14:paraId="33B928B9" w14:textId="77777777" w:rsidR="00391D4B" w:rsidRPr="009E6200" w:rsidRDefault="00391D4B" w:rsidP="00C90851">
            <w:pPr>
              <w:pStyle w:val="SDText"/>
              <w:jc w:val="both"/>
              <w:rPr>
                <w:b/>
              </w:rPr>
            </w:pPr>
            <w:r w:rsidRPr="009E6200">
              <w:t>АПФ</w:t>
            </w:r>
          </w:p>
        </w:tc>
        <w:tc>
          <w:tcPr>
            <w:tcW w:w="6795" w:type="dxa"/>
            <w:shd w:val="clear" w:color="auto" w:fill="auto"/>
          </w:tcPr>
          <w:p w14:paraId="615C1307" w14:textId="77777777" w:rsidR="00391D4B" w:rsidRPr="009E6200" w:rsidRDefault="00391D4B" w:rsidP="00C90851">
            <w:pPr>
              <w:pStyle w:val="SDText"/>
              <w:jc w:val="both"/>
            </w:pPr>
            <w:r w:rsidRPr="009E6200">
              <w:t>Ангиотензинпревращающий фермент</w:t>
            </w:r>
          </w:p>
        </w:tc>
      </w:tr>
      <w:tr w:rsidR="00391D4B" w:rsidRPr="009E6200" w14:paraId="6DAE3302" w14:textId="77777777" w:rsidTr="00C90851">
        <w:trPr>
          <w:trHeight w:val="20"/>
        </w:trPr>
        <w:tc>
          <w:tcPr>
            <w:tcW w:w="2544" w:type="dxa"/>
            <w:vAlign w:val="center"/>
          </w:tcPr>
          <w:p w14:paraId="19A362FF" w14:textId="77777777" w:rsidR="00391D4B" w:rsidRPr="009E6200" w:rsidRDefault="00391D4B" w:rsidP="00C90851">
            <w:pPr>
              <w:pStyle w:val="SDText"/>
              <w:jc w:val="both"/>
            </w:pPr>
            <w:r w:rsidRPr="009E6200">
              <w:t>АСТ</w:t>
            </w:r>
          </w:p>
        </w:tc>
        <w:tc>
          <w:tcPr>
            <w:tcW w:w="6795" w:type="dxa"/>
          </w:tcPr>
          <w:p w14:paraId="2C199D24" w14:textId="77777777" w:rsidR="00391D4B" w:rsidRPr="009E6200" w:rsidRDefault="00391D4B" w:rsidP="00C90851">
            <w:pPr>
              <w:pStyle w:val="SDText"/>
              <w:jc w:val="both"/>
            </w:pPr>
            <w:r w:rsidRPr="009E6200">
              <w:t>Аспартатаминотрансфераза</w:t>
            </w:r>
          </w:p>
        </w:tc>
      </w:tr>
      <w:tr w:rsidR="00391D4B" w:rsidRPr="009E6200" w14:paraId="554CB27D" w14:textId="77777777" w:rsidTr="00C90851">
        <w:trPr>
          <w:trHeight w:val="20"/>
        </w:trPr>
        <w:tc>
          <w:tcPr>
            <w:tcW w:w="2544" w:type="dxa"/>
            <w:vAlign w:val="center"/>
          </w:tcPr>
          <w:p w14:paraId="4EE7D820" w14:textId="77777777" w:rsidR="00391D4B" w:rsidRPr="009E6200" w:rsidRDefault="00391D4B" w:rsidP="00C90851">
            <w:pPr>
              <w:pStyle w:val="SDText"/>
              <w:jc w:val="both"/>
            </w:pPr>
            <w:r w:rsidRPr="009E6200">
              <w:t>АТХ</w:t>
            </w:r>
          </w:p>
        </w:tc>
        <w:tc>
          <w:tcPr>
            <w:tcW w:w="6795" w:type="dxa"/>
          </w:tcPr>
          <w:p w14:paraId="2F5B1BF8" w14:textId="77777777" w:rsidR="00391D4B" w:rsidRPr="009E6200" w:rsidRDefault="00391D4B" w:rsidP="00C90851">
            <w:pPr>
              <w:pStyle w:val="SDText"/>
              <w:jc w:val="both"/>
            </w:pPr>
            <w:r w:rsidRPr="009E6200">
              <w:t>Анатомо-терапевтическо-химическая классификация</w:t>
            </w:r>
          </w:p>
        </w:tc>
      </w:tr>
      <w:tr w:rsidR="00391D4B" w:rsidRPr="009E6200" w14:paraId="00616A79" w14:textId="77777777" w:rsidTr="00C90851">
        <w:trPr>
          <w:trHeight w:val="20"/>
        </w:trPr>
        <w:tc>
          <w:tcPr>
            <w:tcW w:w="2544" w:type="dxa"/>
            <w:shd w:val="clear" w:color="auto" w:fill="auto"/>
            <w:vAlign w:val="center"/>
          </w:tcPr>
          <w:p w14:paraId="7A68447E" w14:textId="77777777" w:rsidR="00391D4B" w:rsidRPr="009E6200" w:rsidRDefault="00391D4B" w:rsidP="00C90851">
            <w:pPr>
              <w:pStyle w:val="SDText"/>
              <w:jc w:val="both"/>
            </w:pPr>
            <w:r w:rsidRPr="009E6200">
              <w:t>АЧТВ</w:t>
            </w:r>
          </w:p>
        </w:tc>
        <w:tc>
          <w:tcPr>
            <w:tcW w:w="6795" w:type="dxa"/>
            <w:shd w:val="clear" w:color="auto" w:fill="auto"/>
          </w:tcPr>
          <w:p w14:paraId="0D1882DF" w14:textId="77777777" w:rsidR="00391D4B" w:rsidRPr="009E6200" w:rsidRDefault="00391D4B" w:rsidP="00C90851">
            <w:pPr>
              <w:pStyle w:val="SDText"/>
              <w:jc w:val="both"/>
            </w:pPr>
            <w:r w:rsidRPr="009E6200">
              <w:t>Активированное частичное тромбопластиновое время</w:t>
            </w:r>
          </w:p>
        </w:tc>
      </w:tr>
      <w:tr w:rsidR="00391D4B" w:rsidRPr="009E6200" w14:paraId="47C7DD17" w14:textId="77777777" w:rsidTr="00C90851">
        <w:trPr>
          <w:trHeight w:val="20"/>
        </w:trPr>
        <w:tc>
          <w:tcPr>
            <w:tcW w:w="2544" w:type="dxa"/>
            <w:vAlign w:val="center"/>
          </w:tcPr>
          <w:p w14:paraId="343E660B" w14:textId="77777777" w:rsidR="00391D4B" w:rsidRPr="009E6200" w:rsidRDefault="00391D4B" w:rsidP="00C90851">
            <w:pPr>
              <w:pStyle w:val="SDText"/>
              <w:jc w:val="both"/>
            </w:pPr>
            <w:r w:rsidRPr="009E6200">
              <w:t>ВМА</w:t>
            </w:r>
          </w:p>
        </w:tc>
        <w:tc>
          <w:tcPr>
            <w:tcW w:w="6795" w:type="dxa"/>
          </w:tcPr>
          <w:p w14:paraId="58DD95C7" w14:textId="77777777" w:rsidR="00391D4B" w:rsidRPr="009E6200" w:rsidRDefault="00391D4B" w:rsidP="00C90851">
            <w:pPr>
              <w:pStyle w:val="SDText"/>
              <w:jc w:val="both"/>
            </w:pPr>
            <w:r w:rsidRPr="009E6200">
              <w:t>Всемирная Медицинская Ассоциация</w:t>
            </w:r>
          </w:p>
        </w:tc>
      </w:tr>
      <w:tr w:rsidR="00391D4B" w:rsidRPr="009E6200" w14:paraId="3EDB8874" w14:textId="77777777" w:rsidTr="00C90851">
        <w:trPr>
          <w:trHeight w:val="20"/>
        </w:trPr>
        <w:tc>
          <w:tcPr>
            <w:tcW w:w="2544" w:type="dxa"/>
            <w:vAlign w:val="center"/>
          </w:tcPr>
          <w:p w14:paraId="5979A77A" w14:textId="77777777" w:rsidR="00391D4B" w:rsidRPr="009E6200" w:rsidRDefault="00391D4B" w:rsidP="00C90851">
            <w:pPr>
              <w:pStyle w:val="SDText"/>
              <w:jc w:val="both"/>
            </w:pPr>
            <w:r w:rsidRPr="009E6200">
              <w:t>ВОЗ</w:t>
            </w:r>
          </w:p>
        </w:tc>
        <w:tc>
          <w:tcPr>
            <w:tcW w:w="6795" w:type="dxa"/>
          </w:tcPr>
          <w:p w14:paraId="2B1AD148" w14:textId="77777777" w:rsidR="00391D4B" w:rsidRPr="009E6200" w:rsidRDefault="00391D4B" w:rsidP="00C90851">
            <w:pPr>
              <w:pStyle w:val="SDText"/>
              <w:jc w:val="both"/>
            </w:pPr>
            <w:r w:rsidRPr="009E6200">
              <w:t>Всемирная организация здравоохранения</w:t>
            </w:r>
          </w:p>
        </w:tc>
      </w:tr>
      <w:tr w:rsidR="00391D4B" w:rsidRPr="009E6200" w14:paraId="17EF9178" w14:textId="77777777" w:rsidTr="00C90851">
        <w:trPr>
          <w:trHeight w:val="20"/>
        </w:trPr>
        <w:tc>
          <w:tcPr>
            <w:tcW w:w="2544" w:type="dxa"/>
            <w:vAlign w:val="center"/>
          </w:tcPr>
          <w:p w14:paraId="070EA70E" w14:textId="77777777" w:rsidR="00391D4B" w:rsidRPr="009E6200" w:rsidRDefault="00391D4B" w:rsidP="00C90851">
            <w:pPr>
              <w:pStyle w:val="SDText"/>
              <w:jc w:val="both"/>
            </w:pPr>
            <w:r w:rsidRPr="009E6200">
              <w:t>ДИ</w:t>
            </w:r>
          </w:p>
        </w:tc>
        <w:tc>
          <w:tcPr>
            <w:tcW w:w="6795" w:type="dxa"/>
          </w:tcPr>
          <w:p w14:paraId="582B808D" w14:textId="77777777" w:rsidR="00391D4B" w:rsidRPr="009E6200" w:rsidRDefault="00391D4B" w:rsidP="00C90851">
            <w:pPr>
              <w:pStyle w:val="SDText"/>
              <w:jc w:val="both"/>
            </w:pPr>
            <w:r w:rsidRPr="009E6200">
              <w:t>Доверительный интервал</w:t>
            </w:r>
          </w:p>
        </w:tc>
      </w:tr>
      <w:tr w:rsidR="00391D4B" w:rsidRPr="009E6200" w14:paraId="6E50CF8A" w14:textId="77777777" w:rsidTr="00C90851">
        <w:trPr>
          <w:trHeight w:val="20"/>
        </w:trPr>
        <w:tc>
          <w:tcPr>
            <w:tcW w:w="2544" w:type="dxa"/>
            <w:vAlign w:val="center"/>
          </w:tcPr>
          <w:p w14:paraId="5CAC5FD1" w14:textId="77777777" w:rsidR="00391D4B" w:rsidRPr="009E6200" w:rsidRDefault="00391D4B" w:rsidP="00C90851">
            <w:pPr>
              <w:pStyle w:val="SDText"/>
              <w:jc w:val="both"/>
            </w:pPr>
            <w:r w:rsidRPr="009E6200">
              <w:t>ДНК</w:t>
            </w:r>
          </w:p>
        </w:tc>
        <w:tc>
          <w:tcPr>
            <w:tcW w:w="6795" w:type="dxa"/>
          </w:tcPr>
          <w:p w14:paraId="5BE4A9BE" w14:textId="77777777" w:rsidR="00391D4B" w:rsidRPr="009E6200" w:rsidRDefault="00391D4B" w:rsidP="00C90851">
            <w:pPr>
              <w:pStyle w:val="SDText"/>
              <w:jc w:val="both"/>
            </w:pPr>
            <w:r w:rsidRPr="009E6200">
              <w:t>Дезоксирибонуклеиновая кислота</w:t>
            </w:r>
          </w:p>
        </w:tc>
      </w:tr>
      <w:tr w:rsidR="00391D4B" w:rsidRPr="009E6200" w14:paraId="06C53ABC" w14:textId="77777777" w:rsidTr="00C90851">
        <w:trPr>
          <w:trHeight w:val="20"/>
        </w:trPr>
        <w:tc>
          <w:tcPr>
            <w:tcW w:w="2544" w:type="dxa"/>
            <w:vAlign w:val="center"/>
          </w:tcPr>
          <w:p w14:paraId="2D36C217" w14:textId="77777777" w:rsidR="00391D4B" w:rsidRPr="009E6200" w:rsidRDefault="00391D4B" w:rsidP="00C90851">
            <w:pPr>
              <w:pStyle w:val="SDText"/>
              <w:jc w:val="both"/>
            </w:pPr>
            <w:r w:rsidRPr="009E6200">
              <w:t>ЕАЭС</w:t>
            </w:r>
          </w:p>
        </w:tc>
        <w:tc>
          <w:tcPr>
            <w:tcW w:w="6795" w:type="dxa"/>
          </w:tcPr>
          <w:p w14:paraId="28C0C7FF" w14:textId="77777777" w:rsidR="00391D4B" w:rsidRPr="009E6200" w:rsidRDefault="00391D4B" w:rsidP="00C90851">
            <w:pPr>
              <w:pStyle w:val="SDText"/>
              <w:jc w:val="both"/>
            </w:pPr>
            <w:r w:rsidRPr="009E6200">
              <w:t xml:space="preserve">Евразийский экономический союз </w:t>
            </w:r>
          </w:p>
        </w:tc>
      </w:tr>
      <w:tr w:rsidR="00391D4B" w:rsidRPr="009E6200" w14:paraId="23C86C60" w14:textId="77777777" w:rsidTr="00C90851">
        <w:trPr>
          <w:trHeight w:val="20"/>
        </w:trPr>
        <w:tc>
          <w:tcPr>
            <w:tcW w:w="2544" w:type="dxa"/>
            <w:vAlign w:val="center"/>
          </w:tcPr>
          <w:p w14:paraId="576B0182" w14:textId="77777777" w:rsidR="00391D4B" w:rsidRPr="009E6200" w:rsidRDefault="00391D4B" w:rsidP="00C90851">
            <w:pPr>
              <w:pStyle w:val="SDText"/>
              <w:jc w:val="both"/>
            </w:pPr>
            <w:r w:rsidRPr="009E6200">
              <w:t>ЖКТ</w:t>
            </w:r>
          </w:p>
        </w:tc>
        <w:tc>
          <w:tcPr>
            <w:tcW w:w="6795" w:type="dxa"/>
          </w:tcPr>
          <w:p w14:paraId="3F25AF72" w14:textId="77777777" w:rsidR="00391D4B" w:rsidRPr="009E6200" w:rsidRDefault="00391D4B" w:rsidP="00C90851">
            <w:pPr>
              <w:pStyle w:val="SDText"/>
              <w:jc w:val="both"/>
            </w:pPr>
            <w:r w:rsidRPr="009E6200">
              <w:t>Желудочно-кишечный тракт</w:t>
            </w:r>
          </w:p>
        </w:tc>
      </w:tr>
      <w:tr w:rsidR="00391D4B" w:rsidRPr="009E6200" w14:paraId="536213A9" w14:textId="77777777" w:rsidTr="00C90851">
        <w:trPr>
          <w:trHeight w:val="20"/>
        </w:trPr>
        <w:tc>
          <w:tcPr>
            <w:tcW w:w="2544" w:type="dxa"/>
            <w:vAlign w:val="center"/>
          </w:tcPr>
          <w:p w14:paraId="5AF26F0C" w14:textId="77777777" w:rsidR="00391D4B" w:rsidRPr="009E6200" w:rsidRDefault="00391D4B" w:rsidP="00C90851">
            <w:pPr>
              <w:pStyle w:val="SDText"/>
              <w:jc w:val="both"/>
            </w:pPr>
            <w:r w:rsidRPr="009E6200">
              <w:t>КТ</w:t>
            </w:r>
          </w:p>
        </w:tc>
        <w:tc>
          <w:tcPr>
            <w:tcW w:w="6795" w:type="dxa"/>
          </w:tcPr>
          <w:p w14:paraId="219B06D6" w14:textId="77777777" w:rsidR="00391D4B" w:rsidRPr="009E6200" w:rsidRDefault="00391D4B" w:rsidP="00C90851">
            <w:pPr>
              <w:pStyle w:val="SDText"/>
              <w:jc w:val="both"/>
            </w:pPr>
            <w:r w:rsidRPr="009E6200">
              <w:t>Компьютерная томография</w:t>
            </w:r>
          </w:p>
        </w:tc>
      </w:tr>
      <w:tr w:rsidR="00391D4B" w:rsidRPr="009E6200" w14:paraId="285663A5" w14:textId="77777777" w:rsidTr="00C90851">
        <w:trPr>
          <w:trHeight w:val="20"/>
        </w:trPr>
        <w:tc>
          <w:tcPr>
            <w:tcW w:w="2544" w:type="dxa"/>
            <w:shd w:val="clear" w:color="auto" w:fill="auto"/>
            <w:vAlign w:val="center"/>
          </w:tcPr>
          <w:p w14:paraId="74992504" w14:textId="77777777" w:rsidR="00391D4B" w:rsidRPr="009E6200" w:rsidRDefault="00391D4B" w:rsidP="00C90851">
            <w:pPr>
              <w:pStyle w:val="SDText"/>
              <w:jc w:val="both"/>
            </w:pPr>
            <w:r w:rsidRPr="009E6200">
              <w:t>КФК</w:t>
            </w:r>
          </w:p>
        </w:tc>
        <w:tc>
          <w:tcPr>
            <w:tcW w:w="6795" w:type="dxa"/>
            <w:shd w:val="clear" w:color="auto" w:fill="auto"/>
          </w:tcPr>
          <w:p w14:paraId="322DF680" w14:textId="77777777" w:rsidR="00391D4B" w:rsidRPr="009E6200" w:rsidRDefault="00391D4B" w:rsidP="00C90851">
            <w:pPr>
              <w:pStyle w:val="SDText"/>
              <w:jc w:val="both"/>
            </w:pPr>
            <w:r w:rsidRPr="009E6200">
              <w:t>Креатинфосфокиназа</w:t>
            </w:r>
          </w:p>
        </w:tc>
      </w:tr>
      <w:tr w:rsidR="00391D4B" w:rsidRPr="009E6200" w14:paraId="16CAEC01" w14:textId="77777777" w:rsidTr="00C90851">
        <w:trPr>
          <w:trHeight w:val="20"/>
        </w:trPr>
        <w:tc>
          <w:tcPr>
            <w:tcW w:w="2544" w:type="dxa"/>
            <w:shd w:val="clear" w:color="auto" w:fill="auto"/>
            <w:vAlign w:val="center"/>
          </w:tcPr>
          <w:p w14:paraId="15396DF0" w14:textId="77777777" w:rsidR="00391D4B" w:rsidRPr="009E6200" w:rsidRDefault="00391D4B" w:rsidP="00C90851">
            <w:pPr>
              <w:pStyle w:val="SDText"/>
              <w:jc w:val="both"/>
            </w:pPr>
            <w:r w:rsidRPr="009E6200">
              <w:t>ЛД</w:t>
            </w:r>
            <w:r w:rsidRPr="009E6200">
              <w:rPr>
                <w:vertAlign w:val="subscript"/>
              </w:rPr>
              <w:t>50</w:t>
            </w:r>
          </w:p>
        </w:tc>
        <w:tc>
          <w:tcPr>
            <w:tcW w:w="6795" w:type="dxa"/>
            <w:shd w:val="clear" w:color="auto" w:fill="auto"/>
          </w:tcPr>
          <w:p w14:paraId="573B3E1E" w14:textId="77777777" w:rsidR="00391D4B" w:rsidRPr="009E6200" w:rsidRDefault="00391D4B" w:rsidP="00C90851">
            <w:pPr>
              <w:pStyle w:val="SDText"/>
              <w:jc w:val="both"/>
            </w:pPr>
            <w:r w:rsidRPr="009E6200">
              <w:t>Среднелетальная доза</w:t>
            </w:r>
          </w:p>
        </w:tc>
      </w:tr>
      <w:tr w:rsidR="00391D4B" w:rsidRPr="009E6200" w14:paraId="7FB1B12E" w14:textId="77777777" w:rsidTr="00C90851">
        <w:trPr>
          <w:trHeight w:val="20"/>
        </w:trPr>
        <w:tc>
          <w:tcPr>
            <w:tcW w:w="2544" w:type="dxa"/>
            <w:vAlign w:val="center"/>
          </w:tcPr>
          <w:p w14:paraId="01CC9372" w14:textId="77777777" w:rsidR="00391D4B" w:rsidRPr="009E6200" w:rsidRDefault="00391D4B" w:rsidP="00C90851">
            <w:pPr>
              <w:pStyle w:val="SDText"/>
              <w:jc w:val="both"/>
            </w:pPr>
            <w:r w:rsidRPr="009E6200">
              <w:t>МАГА</w:t>
            </w:r>
          </w:p>
        </w:tc>
        <w:tc>
          <w:tcPr>
            <w:tcW w:w="6795" w:type="dxa"/>
          </w:tcPr>
          <w:p w14:paraId="20412EEB" w14:textId="77777777" w:rsidR="00391D4B" w:rsidRPr="009E6200" w:rsidRDefault="00391D4B" w:rsidP="00C90851">
            <w:pPr>
              <w:pStyle w:val="SDText"/>
              <w:jc w:val="both"/>
            </w:pPr>
            <w:r w:rsidRPr="009E6200">
              <w:t>Микроангиопатическая гемолитическая анемия</w:t>
            </w:r>
          </w:p>
        </w:tc>
      </w:tr>
      <w:tr w:rsidR="00391D4B" w:rsidRPr="009E6200" w14:paraId="669A1058" w14:textId="77777777" w:rsidTr="00C90851">
        <w:trPr>
          <w:trHeight w:val="20"/>
        </w:trPr>
        <w:tc>
          <w:tcPr>
            <w:tcW w:w="2544" w:type="dxa"/>
            <w:vAlign w:val="center"/>
          </w:tcPr>
          <w:p w14:paraId="5EE73150" w14:textId="77777777" w:rsidR="00391D4B" w:rsidRPr="009E6200" w:rsidRDefault="00391D4B" w:rsidP="00C90851">
            <w:pPr>
              <w:pStyle w:val="SDText"/>
              <w:jc w:val="both"/>
            </w:pPr>
            <w:r w:rsidRPr="009E6200">
              <w:t>МЗ</w:t>
            </w:r>
          </w:p>
        </w:tc>
        <w:tc>
          <w:tcPr>
            <w:tcW w:w="6795" w:type="dxa"/>
          </w:tcPr>
          <w:p w14:paraId="665BB0CA" w14:textId="77777777" w:rsidR="00391D4B" w:rsidRPr="009E6200" w:rsidRDefault="00391D4B" w:rsidP="00C90851">
            <w:pPr>
              <w:pStyle w:val="SDText"/>
              <w:jc w:val="both"/>
            </w:pPr>
            <w:r w:rsidRPr="009E6200">
              <w:t xml:space="preserve">Министерство Здравоохранения </w:t>
            </w:r>
          </w:p>
        </w:tc>
      </w:tr>
      <w:tr w:rsidR="00391D4B" w:rsidRPr="009E6200" w14:paraId="1C87C2C2" w14:textId="77777777" w:rsidTr="00C90851">
        <w:trPr>
          <w:trHeight w:val="20"/>
        </w:trPr>
        <w:tc>
          <w:tcPr>
            <w:tcW w:w="2544" w:type="dxa"/>
            <w:vAlign w:val="center"/>
          </w:tcPr>
          <w:p w14:paraId="3F71ED70" w14:textId="77777777" w:rsidR="00391D4B" w:rsidRPr="009E6200" w:rsidRDefault="00391D4B" w:rsidP="00C90851">
            <w:pPr>
              <w:pStyle w:val="SDText"/>
              <w:jc w:val="both"/>
            </w:pPr>
            <w:r w:rsidRPr="009E6200">
              <w:t>МНН</w:t>
            </w:r>
          </w:p>
        </w:tc>
        <w:tc>
          <w:tcPr>
            <w:tcW w:w="6795" w:type="dxa"/>
          </w:tcPr>
          <w:p w14:paraId="10AEC9FE" w14:textId="77777777" w:rsidR="00391D4B" w:rsidRPr="009E6200" w:rsidRDefault="00391D4B" w:rsidP="00C90851">
            <w:pPr>
              <w:pStyle w:val="SDText"/>
              <w:jc w:val="both"/>
            </w:pPr>
            <w:r w:rsidRPr="009E6200">
              <w:t>Международное непатентованное наименование</w:t>
            </w:r>
          </w:p>
        </w:tc>
      </w:tr>
      <w:tr w:rsidR="00391D4B" w:rsidRPr="009E6200" w14:paraId="68111720" w14:textId="77777777" w:rsidTr="00C90851">
        <w:trPr>
          <w:trHeight w:val="20"/>
        </w:trPr>
        <w:tc>
          <w:tcPr>
            <w:tcW w:w="2544" w:type="dxa"/>
            <w:vAlign w:val="center"/>
          </w:tcPr>
          <w:p w14:paraId="1F4749C5" w14:textId="77777777" w:rsidR="00391D4B" w:rsidRPr="009E6200" w:rsidRDefault="00391D4B" w:rsidP="00C90851">
            <w:pPr>
              <w:pStyle w:val="SDText"/>
              <w:jc w:val="both"/>
            </w:pPr>
            <w:r w:rsidRPr="009E6200">
              <w:t>МНО</w:t>
            </w:r>
          </w:p>
        </w:tc>
        <w:tc>
          <w:tcPr>
            <w:tcW w:w="6795" w:type="dxa"/>
          </w:tcPr>
          <w:p w14:paraId="0CE5D460" w14:textId="77777777" w:rsidR="00391D4B" w:rsidRPr="009E6200" w:rsidRDefault="00391D4B" w:rsidP="00C90851">
            <w:pPr>
              <w:pStyle w:val="SDText"/>
              <w:jc w:val="both"/>
            </w:pPr>
            <w:r w:rsidRPr="009E6200">
              <w:t>Международное нормализованное отношение</w:t>
            </w:r>
          </w:p>
        </w:tc>
      </w:tr>
      <w:tr w:rsidR="00391D4B" w:rsidRPr="009E6200" w14:paraId="1D7596CB" w14:textId="77777777" w:rsidTr="00C90851">
        <w:trPr>
          <w:trHeight w:val="20"/>
        </w:trPr>
        <w:tc>
          <w:tcPr>
            <w:tcW w:w="2544" w:type="dxa"/>
            <w:vAlign w:val="center"/>
          </w:tcPr>
          <w:p w14:paraId="72B125ED" w14:textId="77777777" w:rsidR="00391D4B" w:rsidRPr="009E6200" w:rsidRDefault="00391D4B" w:rsidP="00C90851">
            <w:pPr>
              <w:pStyle w:val="SDText"/>
              <w:jc w:val="both"/>
            </w:pPr>
            <w:r w:rsidRPr="009E6200">
              <w:t>МРТ</w:t>
            </w:r>
          </w:p>
        </w:tc>
        <w:tc>
          <w:tcPr>
            <w:tcW w:w="6795" w:type="dxa"/>
          </w:tcPr>
          <w:p w14:paraId="1108E63E" w14:textId="77777777" w:rsidR="00391D4B" w:rsidRPr="009E6200" w:rsidRDefault="00391D4B" w:rsidP="00C90851">
            <w:pPr>
              <w:pStyle w:val="SDText"/>
              <w:jc w:val="both"/>
            </w:pPr>
            <w:r w:rsidRPr="009E6200">
              <w:t>Магнитно-резонансная томография</w:t>
            </w:r>
          </w:p>
        </w:tc>
      </w:tr>
      <w:tr w:rsidR="00391D4B" w:rsidRPr="009E6200" w14:paraId="7DC614CC" w14:textId="77777777" w:rsidTr="00C90851">
        <w:trPr>
          <w:trHeight w:val="20"/>
        </w:trPr>
        <w:tc>
          <w:tcPr>
            <w:tcW w:w="2544" w:type="dxa"/>
            <w:vAlign w:val="center"/>
          </w:tcPr>
          <w:p w14:paraId="43269B0D" w14:textId="77777777" w:rsidR="00391D4B" w:rsidRPr="009E6200" w:rsidRDefault="00391D4B" w:rsidP="00C90851">
            <w:pPr>
              <w:pStyle w:val="SDText"/>
              <w:jc w:val="both"/>
            </w:pPr>
            <w:r w:rsidRPr="009E6200">
              <w:t>НКП</w:t>
            </w:r>
          </w:p>
        </w:tc>
        <w:tc>
          <w:tcPr>
            <w:tcW w:w="6795" w:type="dxa"/>
          </w:tcPr>
          <w:p w14:paraId="3B170921" w14:textId="77777777" w:rsidR="00391D4B" w:rsidRPr="009E6200" w:rsidRDefault="00391D4B" w:rsidP="00C90851">
            <w:pPr>
              <w:pStyle w:val="SDText"/>
              <w:jc w:val="both"/>
            </w:pPr>
            <w:r w:rsidRPr="009E6200">
              <w:t>Надлежащая Клиническая Практика</w:t>
            </w:r>
          </w:p>
        </w:tc>
      </w:tr>
      <w:tr w:rsidR="00391D4B" w:rsidRPr="009E6200" w14:paraId="05BCAA5D" w14:textId="77777777" w:rsidTr="00C90851">
        <w:trPr>
          <w:trHeight w:val="20"/>
        </w:trPr>
        <w:tc>
          <w:tcPr>
            <w:tcW w:w="2544" w:type="dxa"/>
            <w:vAlign w:val="center"/>
          </w:tcPr>
          <w:p w14:paraId="3318BFD6" w14:textId="77777777" w:rsidR="00391D4B" w:rsidRPr="009E6200" w:rsidRDefault="00391D4B" w:rsidP="00C90851">
            <w:pPr>
              <w:pStyle w:val="SDText"/>
              <w:jc w:val="both"/>
            </w:pPr>
            <w:r w:rsidRPr="009E6200">
              <w:rPr>
                <w:lang w:eastAsia="ru-RU"/>
              </w:rPr>
              <w:t>НМРЛ</w:t>
            </w:r>
          </w:p>
        </w:tc>
        <w:tc>
          <w:tcPr>
            <w:tcW w:w="6795" w:type="dxa"/>
          </w:tcPr>
          <w:p w14:paraId="5784339B" w14:textId="77777777" w:rsidR="00391D4B" w:rsidRPr="009E6200" w:rsidRDefault="00391D4B" w:rsidP="00C90851">
            <w:pPr>
              <w:pStyle w:val="SDText"/>
              <w:jc w:val="both"/>
            </w:pPr>
            <w:r w:rsidRPr="009E6200">
              <w:rPr>
                <w:lang w:eastAsia="ru-RU"/>
              </w:rPr>
              <w:t>Немелкоклеточный рак легкого</w:t>
            </w:r>
          </w:p>
        </w:tc>
      </w:tr>
      <w:tr w:rsidR="00391D4B" w:rsidRPr="009E6200" w14:paraId="11E78C82" w14:textId="77777777" w:rsidTr="00C90851">
        <w:trPr>
          <w:trHeight w:val="20"/>
        </w:trPr>
        <w:tc>
          <w:tcPr>
            <w:tcW w:w="2544" w:type="dxa"/>
            <w:vAlign w:val="center"/>
          </w:tcPr>
          <w:p w14:paraId="31E05839" w14:textId="77777777" w:rsidR="00391D4B" w:rsidRPr="009E6200" w:rsidRDefault="00391D4B" w:rsidP="00C90851">
            <w:pPr>
              <w:pStyle w:val="SDText"/>
              <w:jc w:val="both"/>
            </w:pPr>
            <w:r w:rsidRPr="009E6200">
              <w:t>НЭК</w:t>
            </w:r>
          </w:p>
        </w:tc>
        <w:tc>
          <w:tcPr>
            <w:tcW w:w="6795" w:type="dxa"/>
          </w:tcPr>
          <w:p w14:paraId="06A56385" w14:textId="77777777" w:rsidR="00391D4B" w:rsidRPr="009E6200" w:rsidRDefault="00391D4B" w:rsidP="00C90851">
            <w:pPr>
              <w:pStyle w:val="SDText"/>
              <w:jc w:val="both"/>
            </w:pPr>
            <w:r w:rsidRPr="009E6200">
              <w:t>Независимый этический комитет</w:t>
            </w:r>
          </w:p>
        </w:tc>
      </w:tr>
      <w:tr w:rsidR="00391D4B" w:rsidRPr="009E6200" w14:paraId="757F6E62" w14:textId="77777777" w:rsidTr="00C90851">
        <w:trPr>
          <w:trHeight w:val="20"/>
        </w:trPr>
        <w:tc>
          <w:tcPr>
            <w:tcW w:w="2544" w:type="dxa"/>
            <w:vAlign w:val="center"/>
          </w:tcPr>
          <w:p w14:paraId="7B060AA0" w14:textId="77777777" w:rsidR="00391D4B" w:rsidRPr="009E6200" w:rsidRDefault="00391D4B" w:rsidP="00C90851">
            <w:pPr>
              <w:pStyle w:val="SDText"/>
              <w:jc w:val="both"/>
            </w:pPr>
            <w:r w:rsidRPr="009E6200">
              <w:t>НЯ</w:t>
            </w:r>
          </w:p>
        </w:tc>
        <w:tc>
          <w:tcPr>
            <w:tcW w:w="6795" w:type="dxa"/>
          </w:tcPr>
          <w:p w14:paraId="31D28D31" w14:textId="77777777" w:rsidR="00391D4B" w:rsidRPr="009E6200" w:rsidRDefault="00391D4B" w:rsidP="00C90851">
            <w:pPr>
              <w:pStyle w:val="SDText"/>
              <w:jc w:val="both"/>
            </w:pPr>
            <w:r w:rsidRPr="009E6200">
              <w:t>Нежелательное явление</w:t>
            </w:r>
          </w:p>
        </w:tc>
      </w:tr>
      <w:tr w:rsidR="00391D4B" w:rsidRPr="009E6200" w14:paraId="670E1AF1" w14:textId="77777777" w:rsidTr="00C90851">
        <w:trPr>
          <w:trHeight w:val="20"/>
        </w:trPr>
        <w:tc>
          <w:tcPr>
            <w:tcW w:w="2544" w:type="dxa"/>
            <w:shd w:val="clear" w:color="auto" w:fill="auto"/>
            <w:vAlign w:val="center"/>
          </w:tcPr>
          <w:p w14:paraId="34BAA0C9" w14:textId="77777777" w:rsidR="00391D4B" w:rsidRPr="009E6200" w:rsidRDefault="00391D4B" w:rsidP="00C90851">
            <w:pPr>
              <w:pStyle w:val="SDText"/>
              <w:jc w:val="both"/>
            </w:pPr>
            <w:r w:rsidRPr="009E6200">
              <w:t>РМЖ</w:t>
            </w:r>
          </w:p>
        </w:tc>
        <w:tc>
          <w:tcPr>
            <w:tcW w:w="6795" w:type="dxa"/>
            <w:shd w:val="clear" w:color="auto" w:fill="auto"/>
          </w:tcPr>
          <w:p w14:paraId="76B70A2B" w14:textId="77777777" w:rsidR="00391D4B" w:rsidRPr="009E6200" w:rsidRDefault="00391D4B" w:rsidP="00C90851">
            <w:pPr>
              <w:pStyle w:val="SDText"/>
              <w:jc w:val="both"/>
            </w:pPr>
            <w:r w:rsidRPr="009E6200">
              <w:t>Рак молочной железы</w:t>
            </w:r>
          </w:p>
        </w:tc>
      </w:tr>
      <w:tr w:rsidR="00391D4B" w:rsidRPr="009E6200" w14:paraId="29B80DC4" w14:textId="77777777" w:rsidTr="00C90851">
        <w:trPr>
          <w:trHeight w:val="20"/>
        </w:trPr>
        <w:tc>
          <w:tcPr>
            <w:tcW w:w="2544" w:type="dxa"/>
            <w:vAlign w:val="center"/>
          </w:tcPr>
          <w:p w14:paraId="232C6B31" w14:textId="77777777" w:rsidR="00391D4B" w:rsidRPr="009E6200" w:rsidRDefault="00391D4B" w:rsidP="00C90851">
            <w:pPr>
              <w:pStyle w:val="SDText"/>
              <w:jc w:val="both"/>
            </w:pPr>
            <w:r w:rsidRPr="009E6200">
              <w:t>СЗОЭ</w:t>
            </w:r>
          </w:p>
        </w:tc>
        <w:tc>
          <w:tcPr>
            <w:tcW w:w="6795" w:type="dxa"/>
          </w:tcPr>
          <w:p w14:paraId="7A18EFE5" w14:textId="77777777" w:rsidR="00391D4B" w:rsidRPr="009E6200" w:rsidRDefault="00391D4B" w:rsidP="00C90851">
            <w:pPr>
              <w:pStyle w:val="SDText"/>
              <w:jc w:val="both"/>
            </w:pPr>
            <w:r w:rsidRPr="009E6200">
              <w:t>Синдром задней обратимой энцефалопатии</w:t>
            </w:r>
          </w:p>
        </w:tc>
      </w:tr>
      <w:tr w:rsidR="00391D4B" w:rsidRPr="009E6200" w14:paraId="48B3A63A" w14:textId="77777777" w:rsidTr="00C90851">
        <w:trPr>
          <w:trHeight w:val="20"/>
        </w:trPr>
        <w:tc>
          <w:tcPr>
            <w:tcW w:w="2544" w:type="dxa"/>
            <w:vAlign w:val="center"/>
          </w:tcPr>
          <w:p w14:paraId="14F4EF7F" w14:textId="77777777" w:rsidR="00391D4B" w:rsidRPr="009E6200" w:rsidRDefault="00391D4B" w:rsidP="00C90851">
            <w:pPr>
              <w:pStyle w:val="SDText"/>
              <w:jc w:val="both"/>
            </w:pPr>
            <w:r w:rsidRPr="009E6200">
              <w:t>СКФ</w:t>
            </w:r>
          </w:p>
        </w:tc>
        <w:tc>
          <w:tcPr>
            <w:tcW w:w="6795" w:type="dxa"/>
          </w:tcPr>
          <w:p w14:paraId="1394A611" w14:textId="77777777" w:rsidR="00391D4B" w:rsidRPr="009E6200" w:rsidRDefault="00391D4B" w:rsidP="00C90851">
            <w:pPr>
              <w:pStyle w:val="SDText"/>
              <w:jc w:val="both"/>
            </w:pPr>
            <w:r w:rsidRPr="009E6200">
              <w:t>Скорость клубочковой фильтрации</w:t>
            </w:r>
          </w:p>
        </w:tc>
      </w:tr>
      <w:tr w:rsidR="00391D4B" w:rsidRPr="009E6200" w14:paraId="56C53A5E" w14:textId="77777777" w:rsidTr="00C90851">
        <w:trPr>
          <w:trHeight w:val="20"/>
        </w:trPr>
        <w:tc>
          <w:tcPr>
            <w:tcW w:w="2544" w:type="dxa"/>
            <w:vAlign w:val="center"/>
          </w:tcPr>
          <w:p w14:paraId="2EFCE6EC" w14:textId="77777777" w:rsidR="00391D4B" w:rsidRPr="009E6200" w:rsidRDefault="00391D4B" w:rsidP="00C90851">
            <w:pPr>
              <w:pStyle w:val="SDText"/>
              <w:jc w:val="both"/>
            </w:pPr>
            <w:r w:rsidRPr="009E6200">
              <w:t>СНЯ</w:t>
            </w:r>
          </w:p>
        </w:tc>
        <w:tc>
          <w:tcPr>
            <w:tcW w:w="6795" w:type="dxa"/>
          </w:tcPr>
          <w:p w14:paraId="3733BC22" w14:textId="77777777" w:rsidR="00391D4B" w:rsidRPr="009E6200" w:rsidRDefault="00391D4B" w:rsidP="00C90851">
            <w:pPr>
              <w:pStyle w:val="SDText"/>
              <w:jc w:val="both"/>
            </w:pPr>
            <w:r w:rsidRPr="009E6200">
              <w:t>Серьезное нежелательное явление</w:t>
            </w:r>
          </w:p>
        </w:tc>
      </w:tr>
      <w:tr w:rsidR="00391D4B" w:rsidRPr="009E6200" w14:paraId="06CCC038" w14:textId="77777777" w:rsidTr="00C90851">
        <w:trPr>
          <w:trHeight w:val="20"/>
        </w:trPr>
        <w:tc>
          <w:tcPr>
            <w:tcW w:w="2544" w:type="dxa"/>
            <w:vAlign w:val="center"/>
          </w:tcPr>
          <w:p w14:paraId="675D1611" w14:textId="77777777" w:rsidR="00391D4B" w:rsidRPr="009E6200" w:rsidRDefault="00391D4B" w:rsidP="00C90851">
            <w:pPr>
              <w:pStyle w:val="SDText"/>
              <w:jc w:val="both"/>
            </w:pPr>
            <w:r w:rsidRPr="009E6200">
              <w:t>СОП</w:t>
            </w:r>
          </w:p>
        </w:tc>
        <w:tc>
          <w:tcPr>
            <w:tcW w:w="6795" w:type="dxa"/>
          </w:tcPr>
          <w:p w14:paraId="792475EB" w14:textId="77777777" w:rsidR="00391D4B" w:rsidRPr="009E6200" w:rsidRDefault="00391D4B" w:rsidP="00C90851">
            <w:pPr>
              <w:pStyle w:val="SDText"/>
              <w:jc w:val="both"/>
            </w:pPr>
            <w:r w:rsidRPr="009E6200">
              <w:t xml:space="preserve">Стандартная операционная процедура </w:t>
            </w:r>
          </w:p>
        </w:tc>
      </w:tr>
      <w:tr w:rsidR="00391D4B" w:rsidRPr="009E6200" w14:paraId="2C370D0C" w14:textId="77777777" w:rsidTr="00C90851">
        <w:trPr>
          <w:trHeight w:val="20"/>
        </w:trPr>
        <w:tc>
          <w:tcPr>
            <w:tcW w:w="2544" w:type="dxa"/>
            <w:vAlign w:val="center"/>
          </w:tcPr>
          <w:p w14:paraId="77F6E3F4" w14:textId="77777777" w:rsidR="00391D4B" w:rsidRPr="009E6200" w:rsidRDefault="00391D4B" w:rsidP="00C90851">
            <w:pPr>
              <w:pStyle w:val="SDText"/>
              <w:jc w:val="both"/>
            </w:pPr>
            <w:r w:rsidRPr="009E6200">
              <w:t>ТЭЛА</w:t>
            </w:r>
          </w:p>
        </w:tc>
        <w:tc>
          <w:tcPr>
            <w:tcW w:w="6795" w:type="dxa"/>
          </w:tcPr>
          <w:p w14:paraId="55941002" w14:textId="77777777" w:rsidR="00391D4B" w:rsidRPr="009E6200" w:rsidRDefault="00391D4B" w:rsidP="00C90851">
            <w:pPr>
              <w:pStyle w:val="SDText"/>
              <w:jc w:val="both"/>
            </w:pPr>
            <w:r w:rsidRPr="009E6200">
              <w:t>Тромбоэмболия легочной артерии</w:t>
            </w:r>
          </w:p>
        </w:tc>
      </w:tr>
      <w:tr w:rsidR="00391D4B" w:rsidRPr="009E6200" w14:paraId="06D25144" w14:textId="77777777" w:rsidTr="00C90851">
        <w:trPr>
          <w:trHeight w:val="20"/>
        </w:trPr>
        <w:tc>
          <w:tcPr>
            <w:tcW w:w="2544" w:type="dxa"/>
            <w:shd w:val="clear" w:color="auto" w:fill="C45911" w:themeFill="accent2" w:themeFillShade="BF"/>
            <w:vAlign w:val="center"/>
          </w:tcPr>
          <w:p w14:paraId="56FC438C" w14:textId="77777777" w:rsidR="00391D4B" w:rsidRPr="009E6200" w:rsidRDefault="00391D4B" w:rsidP="00C90851">
            <w:pPr>
              <w:pStyle w:val="SDText"/>
              <w:jc w:val="both"/>
            </w:pPr>
            <w:r w:rsidRPr="009E6200">
              <w:t>ФК-исследование</w:t>
            </w:r>
          </w:p>
        </w:tc>
        <w:tc>
          <w:tcPr>
            <w:tcW w:w="6795" w:type="dxa"/>
            <w:shd w:val="clear" w:color="auto" w:fill="C45911" w:themeFill="accent2" w:themeFillShade="BF"/>
          </w:tcPr>
          <w:p w14:paraId="26B848EC" w14:textId="77777777" w:rsidR="00391D4B" w:rsidRPr="009E6200" w:rsidRDefault="00391D4B" w:rsidP="00C90851">
            <w:pPr>
              <w:pStyle w:val="SDText"/>
              <w:jc w:val="both"/>
            </w:pPr>
            <w:r w:rsidRPr="009E6200">
              <w:t>Фармакокинетическое исследование</w:t>
            </w:r>
          </w:p>
        </w:tc>
      </w:tr>
      <w:tr w:rsidR="00391D4B" w:rsidRPr="009E6200" w14:paraId="072D1ABF" w14:textId="77777777" w:rsidTr="00C90851">
        <w:trPr>
          <w:trHeight w:val="20"/>
        </w:trPr>
        <w:tc>
          <w:tcPr>
            <w:tcW w:w="2544" w:type="dxa"/>
            <w:shd w:val="clear" w:color="auto" w:fill="auto"/>
            <w:vAlign w:val="center"/>
          </w:tcPr>
          <w:p w14:paraId="4D8454C6" w14:textId="77777777" w:rsidR="00391D4B" w:rsidRPr="009E6200" w:rsidRDefault="00391D4B" w:rsidP="00C90851">
            <w:pPr>
              <w:pStyle w:val="SDText"/>
              <w:jc w:val="both"/>
            </w:pPr>
            <w:r w:rsidRPr="009E6200">
              <w:t>ФСГ</w:t>
            </w:r>
          </w:p>
        </w:tc>
        <w:tc>
          <w:tcPr>
            <w:tcW w:w="6795" w:type="dxa"/>
            <w:shd w:val="clear" w:color="auto" w:fill="auto"/>
          </w:tcPr>
          <w:p w14:paraId="68B51D2C" w14:textId="77777777" w:rsidR="00391D4B" w:rsidRPr="009E6200" w:rsidRDefault="00391D4B" w:rsidP="00C90851">
            <w:pPr>
              <w:pStyle w:val="SDText"/>
              <w:jc w:val="both"/>
            </w:pPr>
            <w:r w:rsidRPr="009E6200">
              <w:t>Фолликулостимулирующий гормон</w:t>
            </w:r>
          </w:p>
        </w:tc>
      </w:tr>
      <w:tr w:rsidR="00391D4B" w:rsidRPr="009E6200" w14:paraId="3AE9701A" w14:textId="77777777" w:rsidTr="00C90851">
        <w:trPr>
          <w:trHeight w:val="20"/>
        </w:trPr>
        <w:tc>
          <w:tcPr>
            <w:tcW w:w="2544" w:type="dxa"/>
            <w:vAlign w:val="center"/>
          </w:tcPr>
          <w:p w14:paraId="6867CB3B" w14:textId="77777777" w:rsidR="00391D4B" w:rsidRPr="009E6200" w:rsidRDefault="00391D4B" w:rsidP="00C90851">
            <w:pPr>
              <w:pStyle w:val="SDText"/>
              <w:jc w:val="both"/>
            </w:pPr>
            <w:r w:rsidRPr="009E6200">
              <w:t>ХСН</w:t>
            </w:r>
          </w:p>
        </w:tc>
        <w:tc>
          <w:tcPr>
            <w:tcW w:w="6795" w:type="dxa"/>
          </w:tcPr>
          <w:p w14:paraId="70EC78F6" w14:textId="77777777" w:rsidR="00391D4B" w:rsidRPr="009E6200" w:rsidRDefault="00391D4B" w:rsidP="00C90851">
            <w:pPr>
              <w:pStyle w:val="SDText"/>
              <w:jc w:val="both"/>
            </w:pPr>
            <w:r w:rsidRPr="009E6200">
              <w:t>Хроническая сердечная недостаточность</w:t>
            </w:r>
          </w:p>
        </w:tc>
      </w:tr>
      <w:tr w:rsidR="00391D4B" w:rsidRPr="009E6200" w14:paraId="0BB68C6F" w14:textId="77777777" w:rsidTr="00C90851">
        <w:trPr>
          <w:trHeight w:val="20"/>
        </w:trPr>
        <w:tc>
          <w:tcPr>
            <w:tcW w:w="2544" w:type="dxa"/>
            <w:vAlign w:val="center"/>
          </w:tcPr>
          <w:p w14:paraId="287E5D4E" w14:textId="77777777" w:rsidR="00391D4B" w:rsidRPr="009E6200" w:rsidRDefault="00391D4B" w:rsidP="00C90851">
            <w:pPr>
              <w:pStyle w:val="SDText"/>
              <w:jc w:val="both"/>
            </w:pPr>
            <w:r>
              <w:t>ЦНК</w:t>
            </w:r>
          </w:p>
        </w:tc>
        <w:tc>
          <w:tcPr>
            <w:tcW w:w="6795" w:type="dxa"/>
          </w:tcPr>
          <w:p w14:paraId="12CE343C" w14:textId="77777777" w:rsidR="00391D4B" w:rsidRPr="009E6200" w:rsidRDefault="00391D4B" w:rsidP="00C90851">
            <w:pPr>
              <w:pStyle w:val="SDText"/>
              <w:jc w:val="both"/>
            </w:pPr>
            <w:r w:rsidRPr="00437BFE">
              <w:t xml:space="preserve">Центральный </w:t>
            </w:r>
            <w:r>
              <w:t xml:space="preserve">независимый </w:t>
            </w:r>
            <w:r w:rsidRPr="00437BFE">
              <w:t>комитет по пересмотру КТ/МРТ изображений</w:t>
            </w:r>
            <w:r w:rsidRPr="009E6200" w:rsidDel="00437BFE">
              <w:t xml:space="preserve"> </w:t>
            </w:r>
          </w:p>
        </w:tc>
      </w:tr>
      <w:tr w:rsidR="00391D4B" w:rsidRPr="009E6200" w14:paraId="00E1DE1F" w14:textId="77777777" w:rsidTr="00C90851">
        <w:trPr>
          <w:trHeight w:val="20"/>
        </w:trPr>
        <w:tc>
          <w:tcPr>
            <w:tcW w:w="2544" w:type="dxa"/>
            <w:shd w:val="clear" w:color="auto" w:fill="auto"/>
            <w:vAlign w:val="center"/>
          </w:tcPr>
          <w:p w14:paraId="75363F5C" w14:textId="77777777" w:rsidR="00391D4B" w:rsidRPr="009E6200" w:rsidRDefault="00391D4B" w:rsidP="00C90851">
            <w:pPr>
              <w:pStyle w:val="SDText"/>
              <w:jc w:val="both"/>
            </w:pPr>
            <w:r w:rsidRPr="009E6200">
              <w:t>ЦНС</w:t>
            </w:r>
          </w:p>
        </w:tc>
        <w:tc>
          <w:tcPr>
            <w:tcW w:w="6795" w:type="dxa"/>
            <w:shd w:val="clear" w:color="auto" w:fill="auto"/>
          </w:tcPr>
          <w:p w14:paraId="3D299FBD" w14:textId="77777777" w:rsidR="00391D4B" w:rsidRPr="009E6200" w:rsidRDefault="00391D4B" w:rsidP="00C90851">
            <w:pPr>
              <w:pStyle w:val="SDText"/>
              <w:jc w:val="both"/>
            </w:pPr>
            <w:r w:rsidRPr="009E6200">
              <w:t>Центральная нервная система</w:t>
            </w:r>
            <w:r w:rsidRPr="00437BFE">
              <w:t xml:space="preserve"> </w:t>
            </w:r>
          </w:p>
        </w:tc>
      </w:tr>
      <w:tr w:rsidR="00391D4B" w:rsidRPr="009E6200" w14:paraId="470A45AC" w14:textId="77777777" w:rsidTr="00C90851">
        <w:trPr>
          <w:trHeight w:val="20"/>
        </w:trPr>
        <w:tc>
          <w:tcPr>
            <w:tcW w:w="2544" w:type="dxa"/>
            <w:vAlign w:val="center"/>
          </w:tcPr>
          <w:p w14:paraId="7412F12C" w14:textId="77777777" w:rsidR="00391D4B" w:rsidRPr="009E6200" w:rsidRDefault="00391D4B" w:rsidP="00C90851">
            <w:pPr>
              <w:pStyle w:val="SDText"/>
              <w:jc w:val="both"/>
            </w:pPr>
            <w:r w:rsidRPr="009E6200">
              <w:t>ЧДД</w:t>
            </w:r>
          </w:p>
        </w:tc>
        <w:tc>
          <w:tcPr>
            <w:tcW w:w="6795" w:type="dxa"/>
          </w:tcPr>
          <w:p w14:paraId="15BB21BE" w14:textId="77777777" w:rsidR="00391D4B" w:rsidRPr="009E6200" w:rsidRDefault="00391D4B" w:rsidP="00C90851">
            <w:pPr>
              <w:pStyle w:val="SDText"/>
              <w:jc w:val="both"/>
            </w:pPr>
            <w:r w:rsidRPr="009E6200">
              <w:t>Частота дыхательных движений</w:t>
            </w:r>
          </w:p>
        </w:tc>
      </w:tr>
      <w:tr w:rsidR="00391D4B" w:rsidRPr="009E6200" w14:paraId="3661D76B" w14:textId="77777777" w:rsidTr="00C90851">
        <w:trPr>
          <w:trHeight w:val="20"/>
        </w:trPr>
        <w:tc>
          <w:tcPr>
            <w:tcW w:w="2544" w:type="dxa"/>
            <w:vAlign w:val="center"/>
          </w:tcPr>
          <w:p w14:paraId="701FB48B" w14:textId="77777777" w:rsidR="00391D4B" w:rsidRPr="009E6200" w:rsidRDefault="00391D4B" w:rsidP="00C90851">
            <w:pPr>
              <w:pStyle w:val="SDText"/>
              <w:jc w:val="both"/>
            </w:pPr>
            <w:r w:rsidRPr="009E6200">
              <w:t>ЧСС</w:t>
            </w:r>
          </w:p>
        </w:tc>
        <w:tc>
          <w:tcPr>
            <w:tcW w:w="6795" w:type="dxa"/>
          </w:tcPr>
          <w:p w14:paraId="0B5E2944" w14:textId="77777777" w:rsidR="00391D4B" w:rsidRPr="009E6200" w:rsidRDefault="00391D4B" w:rsidP="00C90851">
            <w:pPr>
              <w:pStyle w:val="SDText"/>
              <w:jc w:val="both"/>
            </w:pPr>
            <w:r w:rsidRPr="009E6200">
              <w:t>Частота сердечных сокращений</w:t>
            </w:r>
          </w:p>
        </w:tc>
      </w:tr>
      <w:tr w:rsidR="00391D4B" w:rsidRPr="009E6200" w14:paraId="36CFA006" w14:textId="77777777" w:rsidTr="00C90851">
        <w:trPr>
          <w:trHeight w:val="20"/>
        </w:trPr>
        <w:tc>
          <w:tcPr>
            <w:tcW w:w="2544" w:type="dxa"/>
            <w:vAlign w:val="center"/>
          </w:tcPr>
          <w:p w14:paraId="6291E2CF" w14:textId="77777777" w:rsidR="00391D4B" w:rsidRPr="009E6200" w:rsidRDefault="00391D4B" w:rsidP="00C90851">
            <w:pPr>
              <w:pStyle w:val="SDText"/>
              <w:jc w:val="both"/>
            </w:pPr>
            <w:r w:rsidRPr="009E6200">
              <w:lastRenderedPageBreak/>
              <w:t>ЩФ</w:t>
            </w:r>
          </w:p>
        </w:tc>
        <w:tc>
          <w:tcPr>
            <w:tcW w:w="6795" w:type="dxa"/>
          </w:tcPr>
          <w:p w14:paraId="11B70F38" w14:textId="77777777" w:rsidR="00391D4B" w:rsidRPr="009E6200" w:rsidRDefault="00391D4B" w:rsidP="00C90851">
            <w:pPr>
              <w:pStyle w:val="SDText"/>
              <w:jc w:val="both"/>
            </w:pPr>
            <w:r w:rsidRPr="009E6200">
              <w:t>Щелочная фосфатаза</w:t>
            </w:r>
          </w:p>
        </w:tc>
      </w:tr>
      <w:tr w:rsidR="00391D4B" w:rsidRPr="009E6200" w14:paraId="7521AB15" w14:textId="77777777" w:rsidTr="00C90851">
        <w:trPr>
          <w:trHeight w:val="20"/>
        </w:trPr>
        <w:tc>
          <w:tcPr>
            <w:tcW w:w="2544" w:type="dxa"/>
            <w:vAlign w:val="center"/>
          </w:tcPr>
          <w:p w14:paraId="563AE75C" w14:textId="77777777" w:rsidR="00391D4B" w:rsidRPr="009E6200" w:rsidRDefault="00391D4B" w:rsidP="00C90851">
            <w:pPr>
              <w:pStyle w:val="SDText"/>
              <w:jc w:val="both"/>
            </w:pPr>
            <w:r w:rsidRPr="009E6200">
              <w:t>ЭГДС</w:t>
            </w:r>
          </w:p>
        </w:tc>
        <w:tc>
          <w:tcPr>
            <w:tcW w:w="6795" w:type="dxa"/>
          </w:tcPr>
          <w:p w14:paraId="2CCAA4D1" w14:textId="77777777" w:rsidR="00391D4B" w:rsidRPr="009E6200" w:rsidRDefault="00391D4B" w:rsidP="00C90851">
            <w:pPr>
              <w:pStyle w:val="SDText"/>
              <w:jc w:val="both"/>
            </w:pPr>
            <w:r w:rsidRPr="009E6200">
              <w:t>Эзофагогастродуоденоскопия</w:t>
            </w:r>
          </w:p>
        </w:tc>
      </w:tr>
      <w:tr w:rsidR="00391D4B" w:rsidRPr="009E6200" w14:paraId="2DF26235" w14:textId="77777777" w:rsidTr="00C90851">
        <w:trPr>
          <w:trHeight w:val="20"/>
        </w:trPr>
        <w:tc>
          <w:tcPr>
            <w:tcW w:w="2544" w:type="dxa"/>
            <w:shd w:val="clear" w:color="auto" w:fill="auto"/>
            <w:vAlign w:val="center"/>
          </w:tcPr>
          <w:p w14:paraId="27AD3792" w14:textId="77777777" w:rsidR="00391D4B" w:rsidRPr="009E6200" w:rsidRDefault="00391D4B" w:rsidP="00C90851">
            <w:pPr>
              <w:pStyle w:val="SDText"/>
              <w:jc w:val="both"/>
            </w:pPr>
            <w:r w:rsidRPr="009E6200">
              <w:t>эИРК</w:t>
            </w:r>
          </w:p>
        </w:tc>
        <w:tc>
          <w:tcPr>
            <w:tcW w:w="6795" w:type="dxa"/>
            <w:shd w:val="clear" w:color="auto" w:fill="auto"/>
          </w:tcPr>
          <w:p w14:paraId="3B39A818" w14:textId="77777777" w:rsidR="00391D4B" w:rsidRPr="009E6200" w:rsidRDefault="00391D4B" w:rsidP="00C90851">
            <w:pPr>
              <w:pStyle w:val="SDText"/>
              <w:jc w:val="both"/>
            </w:pPr>
            <w:r w:rsidRPr="009E6200">
              <w:t>Электронная индивидуальная регистрационная карта</w:t>
            </w:r>
          </w:p>
        </w:tc>
      </w:tr>
      <w:tr w:rsidR="00391D4B" w:rsidRPr="009E6200" w14:paraId="33A4867F" w14:textId="77777777" w:rsidTr="00C90851">
        <w:trPr>
          <w:trHeight w:val="20"/>
        </w:trPr>
        <w:tc>
          <w:tcPr>
            <w:tcW w:w="2544" w:type="dxa"/>
            <w:vAlign w:val="center"/>
          </w:tcPr>
          <w:p w14:paraId="46AE5BA7" w14:textId="77777777" w:rsidR="00391D4B" w:rsidRPr="009E6200" w:rsidRDefault="00391D4B" w:rsidP="00C90851">
            <w:pPr>
              <w:pStyle w:val="SDText"/>
              <w:jc w:val="both"/>
              <w:rPr>
                <w:rFonts w:cs="Times New Roman"/>
              </w:rPr>
            </w:pPr>
            <w:r w:rsidRPr="009E6200">
              <w:t>AUC</w:t>
            </w:r>
          </w:p>
        </w:tc>
        <w:tc>
          <w:tcPr>
            <w:tcW w:w="6795" w:type="dxa"/>
          </w:tcPr>
          <w:p w14:paraId="29FEEBB0" w14:textId="77777777" w:rsidR="00391D4B" w:rsidRPr="009E6200" w:rsidRDefault="00391D4B" w:rsidP="00C90851">
            <w:pPr>
              <w:pStyle w:val="SDText"/>
              <w:jc w:val="both"/>
            </w:pPr>
            <w:r w:rsidRPr="009E6200">
              <w:t xml:space="preserve">Площадь под фармакокинетической кривой «концентрация-время» </w:t>
            </w:r>
          </w:p>
        </w:tc>
      </w:tr>
      <w:tr w:rsidR="00391D4B" w:rsidRPr="009E6200" w14:paraId="0B083E04" w14:textId="77777777" w:rsidTr="00C90851">
        <w:trPr>
          <w:trHeight w:val="20"/>
        </w:trPr>
        <w:tc>
          <w:tcPr>
            <w:tcW w:w="2544" w:type="dxa"/>
            <w:vAlign w:val="center"/>
          </w:tcPr>
          <w:p w14:paraId="49C87B85" w14:textId="77777777" w:rsidR="00391D4B" w:rsidRPr="009E6200" w:rsidRDefault="00391D4B" w:rsidP="00C90851">
            <w:pPr>
              <w:pStyle w:val="SDText"/>
              <w:jc w:val="both"/>
              <w:rPr>
                <w:rFonts w:cs="Times New Roman"/>
              </w:rPr>
            </w:pPr>
            <w:r w:rsidRPr="009E6200">
              <w:rPr>
                <w:lang w:eastAsia="ru-RU"/>
              </w:rPr>
              <w:t>AUC</w:t>
            </w:r>
            <w:r w:rsidRPr="009E6200">
              <w:rPr>
                <w:vertAlign w:val="subscript"/>
                <w:lang w:eastAsia="ru-RU"/>
              </w:rPr>
              <w:t>0-336</w:t>
            </w:r>
          </w:p>
        </w:tc>
        <w:tc>
          <w:tcPr>
            <w:tcW w:w="6795" w:type="dxa"/>
          </w:tcPr>
          <w:p w14:paraId="2B377ECD" w14:textId="77777777" w:rsidR="00391D4B" w:rsidRPr="009E6200" w:rsidRDefault="00391D4B" w:rsidP="00C90851">
            <w:pPr>
              <w:pStyle w:val="SDText"/>
              <w:jc w:val="both"/>
            </w:pPr>
            <w:r w:rsidRPr="009E6200">
              <w:rPr>
                <w:lang w:eastAsia="ru-RU"/>
              </w:rPr>
              <w:t xml:space="preserve">Площадь под фармакокинетической кривой «концентрация-время» на протяжении 336 ч от момента введения препарата </w:t>
            </w:r>
          </w:p>
        </w:tc>
      </w:tr>
      <w:tr w:rsidR="00391D4B" w:rsidRPr="009E6200" w14:paraId="16A37DFF" w14:textId="77777777" w:rsidTr="00C90851">
        <w:trPr>
          <w:trHeight w:val="20"/>
        </w:trPr>
        <w:tc>
          <w:tcPr>
            <w:tcW w:w="2544" w:type="dxa"/>
            <w:vAlign w:val="center"/>
          </w:tcPr>
          <w:p w14:paraId="563FD420" w14:textId="77777777" w:rsidR="00391D4B" w:rsidRPr="009E6200" w:rsidRDefault="00391D4B" w:rsidP="00C90851">
            <w:pPr>
              <w:pStyle w:val="SDText"/>
              <w:jc w:val="both"/>
              <w:rPr>
                <w:rFonts w:cs="Times New Roman"/>
              </w:rPr>
            </w:pPr>
            <w:r w:rsidRPr="009E6200">
              <w:rPr>
                <w:lang w:eastAsia="ru-RU"/>
              </w:rPr>
              <w:t>AUC</w:t>
            </w:r>
            <w:r w:rsidRPr="009E6200">
              <w:rPr>
                <w:vertAlign w:val="subscript"/>
                <w:lang w:eastAsia="ru-RU"/>
              </w:rPr>
              <w:t>0-∞</w:t>
            </w:r>
          </w:p>
        </w:tc>
        <w:tc>
          <w:tcPr>
            <w:tcW w:w="6795" w:type="dxa"/>
          </w:tcPr>
          <w:p w14:paraId="69B9C410" w14:textId="77777777" w:rsidR="00391D4B" w:rsidRPr="009E6200" w:rsidRDefault="00391D4B" w:rsidP="00C90851">
            <w:pPr>
              <w:pStyle w:val="SDText"/>
              <w:jc w:val="both"/>
              <w:rPr>
                <w:lang w:eastAsia="ru-RU"/>
              </w:rPr>
            </w:pPr>
            <w:r w:rsidRPr="009E6200">
              <w:rPr>
                <w:lang w:eastAsia="ru-RU"/>
              </w:rPr>
              <w:t>Площадь под фармакокинетической кривой «концентрация-время» от момента введения препарата до бесконечности</w:t>
            </w:r>
          </w:p>
        </w:tc>
      </w:tr>
      <w:tr w:rsidR="00391D4B" w:rsidRPr="009E6200" w14:paraId="678131D7" w14:textId="77777777" w:rsidTr="00C90851">
        <w:trPr>
          <w:trHeight w:val="20"/>
        </w:trPr>
        <w:tc>
          <w:tcPr>
            <w:tcW w:w="2544" w:type="dxa"/>
            <w:shd w:val="clear" w:color="auto" w:fill="auto"/>
            <w:vAlign w:val="center"/>
          </w:tcPr>
          <w:p w14:paraId="19254D7F" w14:textId="77777777" w:rsidR="00391D4B" w:rsidRPr="009E6200" w:rsidRDefault="00391D4B" w:rsidP="00C90851">
            <w:pPr>
              <w:pStyle w:val="SDText"/>
              <w:jc w:val="both"/>
            </w:pPr>
            <w:r w:rsidRPr="009E6200">
              <w:t>C</w:t>
            </w:r>
            <w:r w:rsidRPr="009E6200">
              <w:rPr>
                <w:vertAlign w:val="subscript"/>
              </w:rPr>
              <w:t>inf</w:t>
            </w:r>
          </w:p>
        </w:tc>
        <w:tc>
          <w:tcPr>
            <w:tcW w:w="6795" w:type="dxa"/>
            <w:shd w:val="clear" w:color="auto" w:fill="auto"/>
          </w:tcPr>
          <w:p w14:paraId="471ABAE8" w14:textId="77777777" w:rsidR="00391D4B" w:rsidRPr="009E6200" w:rsidRDefault="00391D4B" w:rsidP="00C90851">
            <w:pPr>
              <w:pStyle w:val="SDText"/>
              <w:jc w:val="both"/>
            </w:pPr>
            <w:r w:rsidRPr="009E6200">
              <w:t>Концентрация в конце инфузии</w:t>
            </w:r>
          </w:p>
        </w:tc>
      </w:tr>
      <w:tr w:rsidR="00391D4B" w:rsidRPr="00471654" w14:paraId="32B398DF" w14:textId="77777777" w:rsidTr="00C90851">
        <w:trPr>
          <w:trHeight w:val="20"/>
        </w:trPr>
        <w:tc>
          <w:tcPr>
            <w:tcW w:w="2544" w:type="dxa"/>
            <w:vAlign w:val="center"/>
          </w:tcPr>
          <w:p w14:paraId="626203F5" w14:textId="77777777" w:rsidR="00391D4B" w:rsidRPr="009E6200" w:rsidRDefault="00391D4B" w:rsidP="00C90851">
            <w:pPr>
              <w:pStyle w:val="SDText"/>
              <w:jc w:val="both"/>
              <w:rPr>
                <w:rFonts w:cs="Times New Roman"/>
              </w:rPr>
            </w:pPr>
            <w:r w:rsidRPr="009E6200">
              <w:rPr>
                <w:lang w:val="en-US" w:eastAsia="ru-RU"/>
              </w:rPr>
              <w:t>CTCAE</w:t>
            </w:r>
          </w:p>
        </w:tc>
        <w:tc>
          <w:tcPr>
            <w:tcW w:w="6795" w:type="dxa"/>
          </w:tcPr>
          <w:p w14:paraId="653EBBB2" w14:textId="77777777" w:rsidR="00391D4B" w:rsidRPr="009E6200" w:rsidRDefault="00391D4B" w:rsidP="00C90851">
            <w:pPr>
              <w:pStyle w:val="SDText"/>
              <w:jc w:val="both"/>
              <w:rPr>
                <w:lang w:val="en-US"/>
              </w:rPr>
            </w:pPr>
            <w:r w:rsidRPr="009E6200">
              <w:rPr>
                <w:lang w:eastAsia="ru-RU"/>
              </w:rPr>
              <w:t>Общая</w:t>
            </w:r>
            <w:r w:rsidRPr="009E6200">
              <w:rPr>
                <w:lang w:val="en-US" w:eastAsia="ru-RU"/>
              </w:rPr>
              <w:t xml:space="preserve"> </w:t>
            </w:r>
            <w:r w:rsidRPr="009E6200">
              <w:rPr>
                <w:lang w:eastAsia="ru-RU"/>
              </w:rPr>
              <w:t>терминология</w:t>
            </w:r>
            <w:r w:rsidRPr="009E6200">
              <w:rPr>
                <w:lang w:val="en-US" w:eastAsia="ru-RU"/>
              </w:rPr>
              <w:t xml:space="preserve"> </w:t>
            </w:r>
            <w:r w:rsidRPr="009E6200">
              <w:rPr>
                <w:lang w:eastAsia="ru-RU"/>
              </w:rPr>
              <w:t>критериев</w:t>
            </w:r>
            <w:r w:rsidRPr="009E6200">
              <w:rPr>
                <w:lang w:val="en-US" w:eastAsia="ru-RU"/>
              </w:rPr>
              <w:t xml:space="preserve"> </w:t>
            </w:r>
            <w:r w:rsidRPr="009E6200">
              <w:rPr>
                <w:lang w:eastAsia="ru-RU"/>
              </w:rPr>
              <w:t>нежелательных</w:t>
            </w:r>
            <w:r w:rsidRPr="009E6200">
              <w:rPr>
                <w:lang w:val="en-US" w:eastAsia="ru-RU"/>
              </w:rPr>
              <w:t xml:space="preserve"> </w:t>
            </w:r>
            <w:r w:rsidRPr="009E6200">
              <w:rPr>
                <w:lang w:eastAsia="ru-RU"/>
              </w:rPr>
              <w:t>явлений</w:t>
            </w:r>
            <w:r w:rsidRPr="009E6200">
              <w:rPr>
                <w:lang w:val="en-US" w:eastAsia="ru-RU"/>
              </w:rPr>
              <w:t xml:space="preserve"> (Common Terminology Criteria for Adverse Events)</w:t>
            </w:r>
          </w:p>
        </w:tc>
      </w:tr>
      <w:tr w:rsidR="00391D4B" w:rsidRPr="009E6200" w14:paraId="01822ED4" w14:textId="77777777" w:rsidTr="00C90851">
        <w:trPr>
          <w:trHeight w:val="20"/>
        </w:trPr>
        <w:tc>
          <w:tcPr>
            <w:tcW w:w="2544" w:type="dxa"/>
            <w:vAlign w:val="center"/>
          </w:tcPr>
          <w:p w14:paraId="2EFC6A7F" w14:textId="77777777" w:rsidR="00391D4B" w:rsidRPr="009E6200" w:rsidRDefault="00391D4B" w:rsidP="00C90851">
            <w:pPr>
              <w:pStyle w:val="SDText"/>
              <w:jc w:val="both"/>
              <w:rPr>
                <w:rFonts w:cs="Times New Roman"/>
                <w:lang w:val="en-US"/>
              </w:rPr>
            </w:pPr>
            <w:r w:rsidRPr="009E6200">
              <w:rPr>
                <w:lang w:val="en-US" w:eastAsia="ru-RU"/>
              </w:rPr>
              <w:t>ECOG</w:t>
            </w:r>
          </w:p>
        </w:tc>
        <w:tc>
          <w:tcPr>
            <w:tcW w:w="6795" w:type="dxa"/>
          </w:tcPr>
          <w:p w14:paraId="248E488E" w14:textId="77777777" w:rsidR="00391D4B" w:rsidRPr="009E6200" w:rsidRDefault="00391D4B" w:rsidP="00C90851">
            <w:pPr>
              <w:pStyle w:val="SDText"/>
              <w:jc w:val="both"/>
            </w:pPr>
            <w:r w:rsidRPr="009E6200">
              <w:rPr>
                <w:lang w:eastAsia="ru-RU"/>
              </w:rPr>
              <w:t>Восточная объединённая онкологическая группа США (Eastern Cooperative Oncology Group)</w:t>
            </w:r>
          </w:p>
        </w:tc>
      </w:tr>
      <w:tr w:rsidR="00391D4B" w:rsidRPr="009E6200" w14:paraId="3519A649" w14:textId="77777777" w:rsidTr="00C90851">
        <w:trPr>
          <w:trHeight w:val="20"/>
        </w:trPr>
        <w:tc>
          <w:tcPr>
            <w:tcW w:w="2544" w:type="dxa"/>
            <w:vAlign w:val="center"/>
          </w:tcPr>
          <w:p w14:paraId="7A4B3A2D" w14:textId="77777777" w:rsidR="00391D4B" w:rsidRPr="009E6200" w:rsidRDefault="00391D4B" w:rsidP="00C90851">
            <w:pPr>
              <w:pStyle w:val="SDText"/>
              <w:jc w:val="both"/>
            </w:pPr>
            <w:r w:rsidRPr="009E6200">
              <w:t>EGFR</w:t>
            </w:r>
          </w:p>
        </w:tc>
        <w:tc>
          <w:tcPr>
            <w:tcW w:w="6795" w:type="dxa"/>
          </w:tcPr>
          <w:p w14:paraId="3303D546" w14:textId="77777777" w:rsidR="00391D4B" w:rsidRPr="009E6200" w:rsidRDefault="00391D4B" w:rsidP="00C90851">
            <w:pPr>
              <w:pStyle w:val="SDText"/>
              <w:jc w:val="both"/>
            </w:pPr>
            <w:r w:rsidRPr="009E6200">
              <w:t>Рецептор эпидермального фактора роста (Epidermal Growth Factor Receptor)</w:t>
            </w:r>
          </w:p>
        </w:tc>
      </w:tr>
      <w:tr w:rsidR="00391D4B" w:rsidRPr="009E6200" w14:paraId="7CF78C48" w14:textId="77777777" w:rsidTr="00C90851">
        <w:trPr>
          <w:trHeight w:val="20"/>
        </w:trPr>
        <w:tc>
          <w:tcPr>
            <w:tcW w:w="2544" w:type="dxa"/>
            <w:vAlign w:val="center"/>
          </w:tcPr>
          <w:p w14:paraId="340D1FC7" w14:textId="77777777" w:rsidR="00391D4B" w:rsidRPr="009E6200" w:rsidRDefault="00391D4B" w:rsidP="00C90851">
            <w:pPr>
              <w:pStyle w:val="SDText"/>
              <w:jc w:val="both"/>
              <w:rPr>
                <w:lang w:val="en-US" w:eastAsia="ru-RU"/>
              </w:rPr>
            </w:pPr>
            <w:r w:rsidRPr="009E6200">
              <w:rPr>
                <w:lang w:val="en-US"/>
              </w:rPr>
              <w:t>EORTC</w:t>
            </w:r>
          </w:p>
        </w:tc>
        <w:tc>
          <w:tcPr>
            <w:tcW w:w="6795" w:type="dxa"/>
          </w:tcPr>
          <w:p w14:paraId="7688E64A" w14:textId="77777777" w:rsidR="00391D4B" w:rsidRPr="009E6200" w:rsidRDefault="00391D4B" w:rsidP="00C90851">
            <w:pPr>
              <w:pStyle w:val="SDText"/>
              <w:jc w:val="both"/>
              <w:rPr>
                <w:lang w:eastAsia="ru-RU"/>
              </w:rPr>
            </w:pPr>
            <w:r w:rsidRPr="009E6200">
              <w:t>Европейская организация исследований по лечению онкологических заболеваний (</w:t>
            </w:r>
            <w:r w:rsidRPr="009E6200">
              <w:rPr>
                <w:lang w:val="en-US"/>
              </w:rPr>
              <w:t>European</w:t>
            </w:r>
            <w:r w:rsidRPr="009E6200">
              <w:t xml:space="preserve"> </w:t>
            </w:r>
            <w:r w:rsidRPr="009E6200">
              <w:rPr>
                <w:lang w:val="en-US"/>
              </w:rPr>
              <w:t>Organization</w:t>
            </w:r>
            <w:r w:rsidRPr="009E6200">
              <w:t xml:space="preserve"> </w:t>
            </w:r>
            <w:r w:rsidRPr="009E6200">
              <w:rPr>
                <w:lang w:val="en-US"/>
              </w:rPr>
              <w:t>for</w:t>
            </w:r>
            <w:r w:rsidRPr="009E6200">
              <w:t xml:space="preserve"> Research on the Treatment of Cancer)</w:t>
            </w:r>
          </w:p>
        </w:tc>
      </w:tr>
      <w:tr w:rsidR="00391D4B" w:rsidRPr="009E6200" w14:paraId="1575D1CA" w14:textId="77777777" w:rsidTr="00C90851">
        <w:trPr>
          <w:trHeight w:val="20"/>
        </w:trPr>
        <w:tc>
          <w:tcPr>
            <w:tcW w:w="2544" w:type="dxa"/>
            <w:vAlign w:val="center"/>
          </w:tcPr>
          <w:p w14:paraId="3FCD9979" w14:textId="77777777" w:rsidR="00391D4B" w:rsidRPr="009E6200" w:rsidRDefault="00391D4B" w:rsidP="00C90851">
            <w:pPr>
              <w:pStyle w:val="SDText"/>
              <w:jc w:val="both"/>
              <w:rPr>
                <w:lang w:val="en-US"/>
              </w:rPr>
            </w:pPr>
            <w:r w:rsidRPr="009E6200">
              <w:rPr>
                <w:lang w:val="en-US"/>
              </w:rPr>
              <w:t>FAS</w:t>
            </w:r>
          </w:p>
        </w:tc>
        <w:tc>
          <w:tcPr>
            <w:tcW w:w="6795" w:type="dxa"/>
          </w:tcPr>
          <w:p w14:paraId="4D857F6A" w14:textId="77777777" w:rsidR="00391D4B" w:rsidRPr="009E6200" w:rsidRDefault="00391D4B" w:rsidP="00C90851">
            <w:pPr>
              <w:pStyle w:val="SDText"/>
              <w:jc w:val="both"/>
            </w:pPr>
            <w:r w:rsidRPr="009E6200">
              <w:t>Полный набор данных для анализа (</w:t>
            </w:r>
            <w:r w:rsidRPr="009E6200">
              <w:rPr>
                <w:lang w:val="en-US"/>
              </w:rPr>
              <w:t>Full</w:t>
            </w:r>
            <w:r w:rsidRPr="009E6200">
              <w:t xml:space="preserve"> </w:t>
            </w:r>
            <w:r w:rsidRPr="009E6200">
              <w:rPr>
                <w:lang w:val="en-US"/>
              </w:rPr>
              <w:t>Analysis</w:t>
            </w:r>
            <w:r w:rsidRPr="009E6200">
              <w:t xml:space="preserve"> </w:t>
            </w:r>
            <w:r w:rsidRPr="009E6200">
              <w:rPr>
                <w:lang w:val="en-US"/>
              </w:rPr>
              <w:t>set</w:t>
            </w:r>
            <w:r w:rsidRPr="009E6200">
              <w:t>)</w:t>
            </w:r>
          </w:p>
        </w:tc>
      </w:tr>
      <w:tr w:rsidR="00391D4B" w:rsidRPr="009E6200" w14:paraId="455E6BA3" w14:textId="77777777" w:rsidTr="00C90851">
        <w:trPr>
          <w:trHeight w:val="58"/>
        </w:trPr>
        <w:tc>
          <w:tcPr>
            <w:tcW w:w="2544" w:type="dxa"/>
            <w:vAlign w:val="center"/>
          </w:tcPr>
          <w:p w14:paraId="63FDE269" w14:textId="77777777" w:rsidR="00391D4B" w:rsidRPr="009E6200" w:rsidRDefault="00391D4B" w:rsidP="00C90851">
            <w:pPr>
              <w:pStyle w:val="SDText"/>
              <w:jc w:val="both"/>
            </w:pPr>
            <w:r w:rsidRPr="009E6200">
              <w:rPr>
                <w:lang w:eastAsia="ru-RU"/>
              </w:rPr>
              <w:t>GCP</w:t>
            </w:r>
          </w:p>
        </w:tc>
        <w:tc>
          <w:tcPr>
            <w:tcW w:w="6795" w:type="dxa"/>
          </w:tcPr>
          <w:p w14:paraId="1DE3C08C" w14:textId="77777777" w:rsidR="00391D4B" w:rsidRPr="009E6200" w:rsidRDefault="00391D4B" w:rsidP="00C90851">
            <w:pPr>
              <w:pStyle w:val="SDText"/>
              <w:jc w:val="both"/>
            </w:pPr>
            <w:r w:rsidRPr="009E6200">
              <w:rPr>
                <w:lang w:eastAsia="ru-RU" w:bidi="ru-RU"/>
              </w:rPr>
              <w:t>Надлежащая Клиническая Практика (</w:t>
            </w:r>
            <w:r w:rsidRPr="009E6200">
              <w:rPr>
                <w:lang w:val="en-US" w:eastAsia="ru-RU" w:bidi="ru-RU"/>
              </w:rPr>
              <w:t>Good</w:t>
            </w:r>
            <w:r w:rsidRPr="009E6200">
              <w:rPr>
                <w:lang w:eastAsia="ru-RU" w:bidi="ru-RU"/>
              </w:rPr>
              <w:t xml:space="preserve"> </w:t>
            </w:r>
            <w:r w:rsidRPr="009E6200">
              <w:rPr>
                <w:lang w:val="en-US" w:eastAsia="ru-RU" w:bidi="ru-RU"/>
              </w:rPr>
              <w:t>Clinical</w:t>
            </w:r>
            <w:r w:rsidRPr="009E6200">
              <w:rPr>
                <w:lang w:eastAsia="ru-RU" w:bidi="ru-RU"/>
              </w:rPr>
              <w:t xml:space="preserve"> </w:t>
            </w:r>
            <w:r w:rsidRPr="009E6200">
              <w:rPr>
                <w:lang w:val="en-US" w:eastAsia="ru-RU" w:bidi="ru-RU"/>
              </w:rPr>
              <w:t>Practice</w:t>
            </w:r>
            <w:r w:rsidRPr="009E6200">
              <w:rPr>
                <w:lang w:eastAsia="ru-RU" w:bidi="ru-RU"/>
              </w:rPr>
              <w:t>)</w:t>
            </w:r>
          </w:p>
        </w:tc>
      </w:tr>
      <w:tr w:rsidR="00391D4B" w:rsidRPr="00471654" w14:paraId="795F4BFA" w14:textId="77777777" w:rsidTr="00C90851">
        <w:trPr>
          <w:trHeight w:val="20"/>
        </w:trPr>
        <w:tc>
          <w:tcPr>
            <w:tcW w:w="2544" w:type="dxa"/>
            <w:shd w:val="clear" w:color="auto" w:fill="auto"/>
            <w:vAlign w:val="center"/>
          </w:tcPr>
          <w:p w14:paraId="52542F92" w14:textId="77777777" w:rsidR="00391D4B" w:rsidRPr="009E6200" w:rsidRDefault="00391D4B" w:rsidP="00C90851">
            <w:pPr>
              <w:pStyle w:val="SDText"/>
              <w:jc w:val="both"/>
              <w:rPr>
                <w:lang w:val="en-US"/>
              </w:rPr>
            </w:pPr>
            <w:r w:rsidRPr="009E6200">
              <w:rPr>
                <w:lang w:val="en-US"/>
              </w:rPr>
              <w:t>HBs</w:t>
            </w:r>
            <w:r w:rsidRPr="009E6200">
              <w:t>-</w:t>
            </w:r>
            <w:r w:rsidRPr="009E6200">
              <w:rPr>
                <w:lang w:val="en-US"/>
              </w:rPr>
              <w:t>Ag</w:t>
            </w:r>
          </w:p>
        </w:tc>
        <w:tc>
          <w:tcPr>
            <w:tcW w:w="6795" w:type="dxa"/>
            <w:shd w:val="clear" w:color="auto" w:fill="auto"/>
          </w:tcPr>
          <w:p w14:paraId="02B1C856" w14:textId="77777777" w:rsidR="00391D4B" w:rsidRPr="009E6200" w:rsidRDefault="00391D4B" w:rsidP="00C90851">
            <w:pPr>
              <w:pStyle w:val="SDText"/>
              <w:jc w:val="both"/>
              <w:rPr>
                <w:lang w:val="en-US"/>
              </w:rPr>
            </w:pPr>
            <w:r w:rsidRPr="009E6200">
              <w:t>Поверхностный</w:t>
            </w:r>
            <w:r w:rsidRPr="009E6200">
              <w:rPr>
                <w:lang w:val="en-US"/>
              </w:rPr>
              <w:t xml:space="preserve"> </w:t>
            </w:r>
            <w:r w:rsidRPr="009E6200">
              <w:t>антиген</w:t>
            </w:r>
            <w:r w:rsidRPr="009E6200">
              <w:rPr>
                <w:lang w:val="en-US"/>
              </w:rPr>
              <w:t xml:space="preserve"> </w:t>
            </w:r>
            <w:r w:rsidRPr="009E6200">
              <w:t>вируса</w:t>
            </w:r>
            <w:r w:rsidRPr="009E6200">
              <w:rPr>
                <w:lang w:val="en-US"/>
              </w:rPr>
              <w:t xml:space="preserve"> </w:t>
            </w:r>
            <w:r w:rsidRPr="009E6200">
              <w:t>гепатита</w:t>
            </w:r>
            <w:r w:rsidRPr="009E6200">
              <w:rPr>
                <w:lang w:val="en-US"/>
              </w:rPr>
              <w:t xml:space="preserve"> B (hepatitis </w:t>
            </w:r>
            <w:r w:rsidRPr="009E6200">
              <w:t>В</w:t>
            </w:r>
            <w:r w:rsidRPr="009E6200">
              <w:rPr>
                <w:lang w:val="en-US"/>
              </w:rPr>
              <w:t xml:space="preserve"> surface antigen)</w:t>
            </w:r>
          </w:p>
        </w:tc>
      </w:tr>
      <w:tr w:rsidR="00391D4B" w:rsidRPr="009E6200" w14:paraId="3AE72162" w14:textId="77777777" w:rsidTr="00C90851">
        <w:trPr>
          <w:trHeight w:val="20"/>
        </w:trPr>
        <w:tc>
          <w:tcPr>
            <w:tcW w:w="2544" w:type="dxa"/>
            <w:vAlign w:val="center"/>
          </w:tcPr>
          <w:p w14:paraId="57F2B3A0" w14:textId="77777777" w:rsidR="00391D4B" w:rsidRPr="009E6200" w:rsidRDefault="00391D4B" w:rsidP="00C90851">
            <w:pPr>
              <w:pStyle w:val="SDText"/>
              <w:jc w:val="both"/>
              <w:rPr>
                <w:rFonts w:cs="Times New Roman"/>
              </w:rPr>
            </w:pPr>
            <w:r w:rsidRPr="009E6200">
              <w:t>HUVEC</w:t>
            </w:r>
          </w:p>
        </w:tc>
        <w:tc>
          <w:tcPr>
            <w:tcW w:w="6795" w:type="dxa"/>
          </w:tcPr>
          <w:p w14:paraId="14E1F0FF" w14:textId="77777777" w:rsidR="00391D4B" w:rsidRPr="009E6200" w:rsidRDefault="00391D4B" w:rsidP="00C90851">
            <w:pPr>
              <w:pStyle w:val="SDText"/>
              <w:jc w:val="both"/>
            </w:pPr>
            <w:r w:rsidRPr="009E6200">
              <w:t>Клетки эндотелия пупочной вены человека (Human Umbilical Vein Endothelial Cell).</w:t>
            </w:r>
          </w:p>
        </w:tc>
      </w:tr>
      <w:tr w:rsidR="00391D4B" w:rsidRPr="009E6200" w14:paraId="2AE8C9D6" w14:textId="77777777" w:rsidTr="00C90851">
        <w:trPr>
          <w:trHeight w:val="20"/>
        </w:trPr>
        <w:tc>
          <w:tcPr>
            <w:tcW w:w="2544" w:type="dxa"/>
            <w:vAlign w:val="center"/>
          </w:tcPr>
          <w:p w14:paraId="4FF86FA9" w14:textId="77777777" w:rsidR="00391D4B" w:rsidRPr="009E6200" w:rsidRDefault="00391D4B" w:rsidP="00C90851">
            <w:pPr>
              <w:pStyle w:val="SDText"/>
              <w:jc w:val="both"/>
            </w:pPr>
            <w:r w:rsidRPr="009E6200">
              <w:rPr>
                <w:lang w:val="en-US" w:eastAsia="ru-RU"/>
              </w:rPr>
              <w:t>ICH</w:t>
            </w:r>
            <w:r w:rsidRPr="009E6200">
              <w:rPr>
                <w:lang w:eastAsia="ru-RU"/>
              </w:rPr>
              <w:t xml:space="preserve"> </w:t>
            </w:r>
          </w:p>
        </w:tc>
        <w:tc>
          <w:tcPr>
            <w:tcW w:w="6795" w:type="dxa"/>
          </w:tcPr>
          <w:p w14:paraId="08E0960B" w14:textId="77777777" w:rsidR="00391D4B" w:rsidRPr="009E6200" w:rsidRDefault="00391D4B" w:rsidP="00C90851">
            <w:pPr>
              <w:pStyle w:val="SDText"/>
              <w:jc w:val="both"/>
              <w:rPr>
                <w:lang w:val="en-US"/>
              </w:rPr>
            </w:pPr>
            <w:r w:rsidRPr="009E6200">
              <w:rPr>
                <w:lang w:eastAsia="ru-RU"/>
              </w:rPr>
              <w:t>Международная</w:t>
            </w:r>
            <w:r w:rsidRPr="009E6200">
              <w:rPr>
                <w:lang w:val="en-US" w:eastAsia="ru-RU"/>
              </w:rPr>
              <w:t xml:space="preserve"> </w:t>
            </w:r>
            <w:r w:rsidRPr="009E6200">
              <w:rPr>
                <w:lang w:eastAsia="ru-RU"/>
              </w:rPr>
              <w:t>конференция</w:t>
            </w:r>
            <w:r w:rsidRPr="009E6200">
              <w:rPr>
                <w:lang w:val="en-US" w:eastAsia="ru-RU"/>
              </w:rPr>
              <w:t xml:space="preserve"> </w:t>
            </w:r>
            <w:r w:rsidRPr="009E6200">
              <w:rPr>
                <w:lang w:eastAsia="ru-RU"/>
              </w:rPr>
              <w:t>по</w:t>
            </w:r>
            <w:r w:rsidRPr="009E6200">
              <w:rPr>
                <w:lang w:val="en-US" w:eastAsia="ru-RU"/>
              </w:rPr>
              <w:t xml:space="preserve"> </w:t>
            </w:r>
            <w:r w:rsidRPr="009E6200">
              <w:rPr>
                <w:lang w:eastAsia="ru-RU"/>
              </w:rPr>
              <w:t>гармонизации</w:t>
            </w:r>
            <w:r w:rsidRPr="009E6200">
              <w:rPr>
                <w:lang w:val="en-US" w:eastAsia="ru-RU"/>
              </w:rPr>
              <w:t xml:space="preserve"> (International Conference on Harmonization)</w:t>
            </w:r>
          </w:p>
        </w:tc>
      </w:tr>
      <w:tr w:rsidR="00391D4B" w:rsidRPr="009E6200" w14:paraId="0189F410" w14:textId="77777777" w:rsidTr="00C90851">
        <w:trPr>
          <w:trHeight w:val="20"/>
        </w:trPr>
        <w:tc>
          <w:tcPr>
            <w:tcW w:w="2544" w:type="dxa"/>
            <w:shd w:val="clear" w:color="auto" w:fill="C45911" w:themeFill="accent2" w:themeFillShade="BF"/>
            <w:vAlign w:val="center"/>
          </w:tcPr>
          <w:p w14:paraId="3F93E62B" w14:textId="77777777" w:rsidR="00391D4B" w:rsidRPr="009E6200" w:rsidRDefault="00391D4B" w:rsidP="00C90851">
            <w:pPr>
              <w:pStyle w:val="SDText"/>
              <w:jc w:val="both"/>
              <w:rPr>
                <w:lang w:val="en-US"/>
              </w:rPr>
            </w:pPr>
            <w:r w:rsidRPr="009E6200">
              <w:rPr>
                <w:lang w:val="en-US"/>
              </w:rPr>
              <w:t>IFL</w:t>
            </w:r>
          </w:p>
        </w:tc>
        <w:tc>
          <w:tcPr>
            <w:tcW w:w="6795" w:type="dxa"/>
            <w:shd w:val="clear" w:color="auto" w:fill="C45911" w:themeFill="accent2" w:themeFillShade="BF"/>
          </w:tcPr>
          <w:p w14:paraId="27F1C7C7" w14:textId="77777777" w:rsidR="00391D4B" w:rsidRPr="009E6200" w:rsidRDefault="00391D4B" w:rsidP="00C90851">
            <w:pPr>
              <w:pStyle w:val="SDText"/>
              <w:jc w:val="both"/>
            </w:pPr>
            <w:r w:rsidRPr="009E6200">
              <w:t>Химиотерапия комбинацией иринотекан + фторурацил + фолиновая кислота (лейковорин)</w:t>
            </w:r>
          </w:p>
        </w:tc>
      </w:tr>
      <w:tr w:rsidR="00391D4B" w:rsidRPr="009E6200" w14:paraId="68BED273" w14:textId="77777777" w:rsidTr="00C90851">
        <w:trPr>
          <w:trHeight w:val="20"/>
        </w:trPr>
        <w:tc>
          <w:tcPr>
            <w:tcW w:w="2544" w:type="dxa"/>
            <w:shd w:val="clear" w:color="auto" w:fill="auto"/>
            <w:vAlign w:val="center"/>
          </w:tcPr>
          <w:p w14:paraId="2464CA54" w14:textId="77777777" w:rsidR="00391D4B" w:rsidRPr="009E6200" w:rsidRDefault="00391D4B" w:rsidP="00C90851">
            <w:pPr>
              <w:pStyle w:val="SDText"/>
              <w:jc w:val="both"/>
              <w:rPr>
                <w:rFonts w:cs="Times New Roman"/>
              </w:rPr>
            </w:pPr>
            <w:r w:rsidRPr="009E6200">
              <w:rPr>
                <w:lang w:val="en-US"/>
              </w:rPr>
              <w:t>IgG</w:t>
            </w:r>
          </w:p>
        </w:tc>
        <w:tc>
          <w:tcPr>
            <w:tcW w:w="6795" w:type="dxa"/>
            <w:shd w:val="clear" w:color="auto" w:fill="auto"/>
          </w:tcPr>
          <w:p w14:paraId="49B2BB0E" w14:textId="77777777" w:rsidR="00391D4B" w:rsidRPr="009E6200" w:rsidRDefault="00391D4B" w:rsidP="00C90851">
            <w:pPr>
              <w:pStyle w:val="SDText"/>
              <w:jc w:val="both"/>
            </w:pPr>
            <w:r w:rsidRPr="009E6200">
              <w:t xml:space="preserve">Иммуноглобулин класса </w:t>
            </w:r>
            <w:r w:rsidRPr="009E6200">
              <w:rPr>
                <w:lang w:val="en-US"/>
              </w:rPr>
              <w:t>G</w:t>
            </w:r>
            <w:r w:rsidRPr="009E6200">
              <w:t xml:space="preserve"> (</w:t>
            </w:r>
            <w:r w:rsidRPr="009E6200">
              <w:rPr>
                <w:lang w:val="en-US"/>
              </w:rPr>
              <w:t>immunoglobulin</w:t>
            </w:r>
            <w:r w:rsidRPr="009E6200">
              <w:t xml:space="preserve"> </w:t>
            </w:r>
            <w:r w:rsidRPr="009E6200">
              <w:rPr>
                <w:lang w:val="en-US"/>
              </w:rPr>
              <w:t>G</w:t>
            </w:r>
            <w:r w:rsidRPr="009E6200">
              <w:t>)</w:t>
            </w:r>
          </w:p>
        </w:tc>
      </w:tr>
      <w:tr w:rsidR="00391D4B" w:rsidRPr="009E6200" w14:paraId="22D45061" w14:textId="77777777" w:rsidTr="00C90851">
        <w:trPr>
          <w:trHeight w:val="20"/>
        </w:trPr>
        <w:tc>
          <w:tcPr>
            <w:tcW w:w="2544" w:type="dxa"/>
            <w:shd w:val="clear" w:color="auto" w:fill="auto"/>
            <w:vAlign w:val="center"/>
          </w:tcPr>
          <w:p w14:paraId="7B9C7D82" w14:textId="77777777" w:rsidR="00391D4B" w:rsidRPr="009E6200" w:rsidRDefault="00391D4B" w:rsidP="00C90851">
            <w:pPr>
              <w:pStyle w:val="SDText"/>
              <w:jc w:val="both"/>
              <w:rPr>
                <w:rFonts w:cs="Times New Roman"/>
              </w:rPr>
            </w:pPr>
            <w:r w:rsidRPr="009E6200">
              <w:rPr>
                <w:lang w:val="en-US"/>
              </w:rPr>
              <w:t>IgG</w:t>
            </w:r>
            <w:r w:rsidRPr="009E6200">
              <w:rPr>
                <w:vertAlign w:val="subscript"/>
              </w:rPr>
              <w:t>1</w:t>
            </w:r>
          </w:p>
        </w:tc>
        <w:tc>
          <w:tcPr>
            <w:tcW w:w="6795" w:type="dxa"/>
            <w:shd w:val="clear" w:color="auto" w:fill="auto"/>
          </w:tcPr>
          <w:p w14:paraId="3D87EE78" w14:textId="77777777" w:rsidR="00391D4B" w:rsidRPr="009E6200" w:rsidRDefault="00391D4B" w:rsidP="00C90851">
            <w:pPr>
              <w:pStyle w:val="SDText"/>
              <w:jc w:val="both"/>
            </w:pPr>
            <w:r w:rsidRPr="009E6200">
              <w:t xml:space="preserve">Иммуноглобулин класса </w:t>
            </w:r>
            <w:r w:rsidRPr="009E6200">
              <w:rPr>
                <w:lang w:val="en-US"/>
              </w:rPr>
              <w:t>G</w:t>
            </w:r>
            <w:r w:rsidRPr="009E6200">
              <w:rPr>
                <w:vertAlign w:val="subscript"/>
              </w:rPr>
              <w:t>1</w:t>
            </w:r>
            <w:r w:rsidRPr="009E6200">
              <w:t xml:space="preserve"> (</w:t>
            </w:r>
            <w:r w:rsidRPr="009E6200">
              <w:rPr>
                <w:lang w:val="en-US"/>
              </w:rPr>
              <w:t>immunoglobulin</w:t>
            </w:r>
            <w:r w:rsidRPr="009E6200">
              <w:t xml:space="preserve"> </w:t>
            </w:r>
            <w:r w:rsidRPr="009E6200">
              <w:rPr>
                <w:lang w:val="en-US"/>
              </w:rPr>
              <w:t>G</w:t>
            </w:r>
            <w:r w:rsidRPr="009E6200">
              <w:rPr>
                <w:vertAlign w:val="subscript"/>
              </w:rPr>
              <w:t>1</w:t>
            </w:r>
            <w:r w:rsidRPr="009E6200">
              <w:t>)</w:t>
            </w:r>
          </w:p>
        </w:tc>
      </w:tr>
      <w:tr w:rsidR="00391D4B" w:rsidRPr="009E6200" w14:paraId="196B1A27" w14:textId="77777777" w:rsidTr="00C90851">
        <w:trPr>
          <w:trHeight w:val="20"/>
        </w:trPr>
        <w:tc>
          <w:tcPr>
            <w:tcW w:w="2544" w:type="dxa"/>
            <w:vAlign w:val="center"/>
          </w:tcPr>
          <w:p w14:paraId="461C6A76" w14:textId="77777777" w:rsidR="00391D4B" w:rsidRPr="00004968" w:rsidRDefault="00391D4B" w:rsidP="00C90851">
            <w:pPr>
              <w:pStyle w:val="SDText"/>
              <w:jc w:val="both"/>
              <w:rPr>
                <w:lang w:eastAsia="ja-JP"/>
              </w:rPr>
            </w:pPr>
            <w:r>
              <w:rPr>
                <w:rFonts w:hint="eastAsia"/>
                <w:lang w:eastAsia="ja-JP"/>
              </w:rPr>
              <w:t>I</w:t>
            </w:r>
            <w:r>
              <w:rPr>
                <w:lang w:eastAsia="ja-JP"/>
              </w:rPr>
              <w:t>TT</w:t>
            </w:r>
          </w:p>
        </w:tc>
        <w:tc>
          <w:tcPr>
            <w:tcW w:w="6795" w:type="dxa"/>
          </w:tcPr>
          <w:p w14:paraId="4B2D06CF" w14:textId="77777777" w:rsidR="00391D4B" w:rsidRPr="00620D61" w:rsidRDefault="00391D4B" w:rsidP="00C90851">
            <w:pPr>
              <w:pStyle w:val="SDText"/>
              <w:jc w:val="both"/>
            </w:pPr>
            <w:r w:rsidRPr="009E6200">
              <w:rPr>
                <w:lang w:eastAsia="ru-RU" w:bidi="ru-RU"/>
              </w:rPr>
              <w:t>набор данных в зависимости от исходно назначенного лечения (</w:t>
            </w:r>
            <w:r w:rsidRPr="009E6200">
              <w:rPr>
                <w:lang w:val="en-US" w:eastAsia="ru-RU" w:bidi="ru-RU"/>
              </w:rPr>
              <w:t>Intention</w:t>
            </w:r>
            <w:r w:rsidRPr="009E6200">
              <w:rPr>
                <w:lang w:eastAsia="ru-RU" w:bidi="ru-RU"/>
              </w:rPr>
              <w:t>-</w:t>
            </w:r>
            <w:r w:rsidRPr="009E6200">
              <w:rPr>
                <w:lang w:val="en-US" w:eastAsia="ru-RU" w:bidi="ru-RU"/>
              </w:rPr>
              <w:t>to</w:t>
            </w:r>
            <w:r w:rsidRPr="009E6200">
              <w:rPr>
                <w:lang w:eastAsia="ru-RU" w:bidi="ru-RU"/>
              </w:rPr>
              <w:t>-</w:t>
            </w:r>
            <w:r w:rsidRPr="009E6200">
              <w:rPr>
                <w:lang w:val="en-US" w:eastAsia="ru-RU" w:bidi="ru-RU"/>
              </w:rPr>
              <w:t>Treat</w:t>
            </w:r>
            <w:r w:rsidRPr="009E6200">
              <w:rPr>
                <w:lang w:eastAsia="ru-RU" w:bidi="ru-RU"/>
              </w:rPr>
              <w:t>)</w:t>
            </w:r>
          </w:p>
        </w:tc>
      </w:tr>
      <w:tr w:rsidR="00391D4B" w:rsidRPr="009E6200" w14:paraId="6FDD2047" w14:textId="77777777" w:rsidTr="00C90851">
        <w:trPr>
          <w:trHeight w:val="20"/>
        </w:trPr>
        <w:tc>
          <w:tcPr>
            <w:tcW w:w="2544" w:type="dxa"/>
            <w:shd w:val="clear" w:color="auto" w:fill="auto"/>
            <w:vAlign w:val="center"/>
          </w:tcPr>
          <w:p w14:paraId="3CD713AC" w14:textId="77777777" w:rsidR="00391D4B" w:rsidRPr="009E6200" w:rsidRDefault="00391D4B" w:rsidP="00C90851">
            <w:pPr>
              <w:pStyle w:val="SDText"/>
              <w:jc w:val="both"/>
              <w:rPr>
                <w:lang w:val="en-US"/>
              </w:rPr>
            </w:pPr>
            <w:r w:rsidRPr="009E6200">
              <w:rPr>
                <w:lang w:val="en-US" w:eastAsia="ru-RU" w:bidi="ru-RU"/>
              </w:rPr>
              <w:t>MedDRA</w:t>
            </w:r>
          </w:p>
        </w:tc>
        <w:tc>
          <w:tcPr>
            <w:tcW w:w="6795" w:type="dxa"/>
            <w:shd w:val="clear" w:color="auto" w:fill="auto"/>
          </w:tcPr>
          <w:p w14:paraId="221A8E98" w14:textId="77777777" w:rsidR="00391D4B" w:rsidRPr="009E6200" w:rsidRDefault="00391D4B" w:rsidP="00C90851">
            <w:pPr>
              <w:pStyle w:val="SDText"/>
              <w:jc w:val="both"/>
            </w:pPr>
            <w:r w:rsidRPr="009E6200">
              <w:rPr>
                <w:lang w:eastAsia="ru-RU" w:bidi="ru-RU"/>
              </w:rPr>
              <w:t xml:space="preserve">Словарь медицинских терминов для регуляторной деятельности </w:t>
            </w:r>
            <w:r w:rsidRPr="009E6200">
              <w:t>(</w:t>
            </w:r>
            <w:r w:rsidRPr="009E6200">
              <w:rPr>
                <w:lang w:val="en-US"/>
              </w:rPr>
              <w:t>Medical</w:t>
            </w:r>
            <w:r w:rsidRPr="009E6200">
              <w:t xml:space="preserve"> </w:t>
            </w:r>
            <w:r w:rsidRPr="009E6200">
              <w:rPr>
                <w:lang w:val="en-US"/>
              </w:rPr>
              <w:t>Dictionary</w:t>
            </w:r>
            <w:r w:rsidRPr="009E6200">
              <w:t xml:space="preserve"> </w:t>
            </w:r>
            <w:r w:rsidRPr="009E6200">
              <w:rPr>
                <w:lang w:val="en-US"/>
              </w:rPr>
              <w:t>for</w:t>
            </w:r>
            <w:r w:rsidRPr="009E6200">
              <w:t xml:space="preserve"> </w:t>
            </w:r>
            <w:r w:rsidRPr="009E6200">
              <w:rPr>
                <w:lang w:val="en-US"/>
              </w:rPr>
              <w:t>Regulatory</w:t>
            </w:r>
            <w:r w:rsidRPr="009E6200">
              <w:t xml:space="preserve"> </w:t>
            </w:r>
            <w:r w:rsidRPr="009E6200">
              <w:rPr>
                <w:lang w:val="en-US"/>
              </w:rPr>
              <w:t>Activities</w:t>
            </w:r>
            <w:r w:rsidRPr="009E6200">
              <w:rPr>
                <w:lang w:eastAsia="ru-RU" w:bidi="ru-RU"/>
              </w:rPr>
              <w:t>)</w:t>
            </w:r>
          </w:p>
        </w:tc>
      </w:tr>
      <w:tr w:rsidR="00391D4B" w:rsidRPr="009E6200" w14:paraId="034688FF" w14:textId="77777777" w:rsidTr="00C90851">
        <w:trPr>
          <w:trHeight w:val="20"/>
        </w:trPr>
        <w:tc>
          <w:tcPr>
            <w:tcW w:w="2544" w:type="dxa"/>
            <w:shd w:val="clear" w:color="auto" w:fill="C45911" w:themeFill="accent2" w:themeFillShade="BF"/>
            <w:vAlign w:val="center"/>
          </w:tcPr>
          <w:p w14:paraId="112C3370" w14:textId="77777777" w:rsidR="00391D4B" w:rsidRPr="009E6200" w:rsidRDefault="00391D4B" w:rsidP="00C90851">
            <w:pPr>
              <w:pStyle w:val="SDText"/>
              <w:jc w:val="both"/>
              <w:rPr>
                <w:lang w:val="en-US" w:eastAsia="ru-RU" w:bidi="ru-RU"/>
              </w:rPr>
            </w:pPr>
            <w:r w:rsidRPr="009E6200">
              <w:rPr>
                <w:lang w:val="en-US" w:eastAsia="ru-RU" w:bidi="ru-RU"/>
              </w:rPr>
              <w:t>mITT</w:t>
            </w:r>
          </w:p>
        </w:tc>
        <w:tc>
          <w:tcPr>
            <w:tcW w:w="6795" w:type="dxa"/>
            <w:shd w:val="clear" w:color="auto" w:fill="C45911" w:themeFill="accent2" w:themeFillShade="BF"/>
          </w:tcPr>
          <w:p w14:paraId="67BE1C0A" w14:textId="77777777" w:rsidR="00391D4B" w:rsidRPr="009E6200" w:rsidRDefault="00391D4B" w:rsidP="00C90851">
            <w:pPr>
              <w:pStyle w:val="SDText"/>
              <w:jc w:val="both"/>
              <w:rPr>
                <w:lang w:eastAsia="ru-RU" w:bidi="ru-RU"/>
              </w:rPr>
            </w:pPr>
            <w:r w:rsidRPr="009E6200">
              <w:rPr>
                <w:lang w:eastAsia="ru-RU" w:bidi="ru-RU"/>
              </w:rPr>
              <w:t>Модифицированный набор данных в зависимости от исходно назначенного лечения (</w:t>
            </w:r>
            <w:r w:rsidRPr="009E6200">
              <w:rPr>
                <w:lang w:val="en-US" w:eastAsia="ru-RU" w:bidi="ru-RU"/>
              </w:rPr>
              <w:t>Modified</w:t>
            </w:r>
            <w:r w:rsidRPr="009E6200">
              <w:rPr>
                <w:lang w:eastAsia="ru-RU" w:bidi="ru-RU"/>
              </w:rPr>
              <w:t xml:space="preserve"> </w:t>
            </w:r>
            <w:r w:rsidRPr="009E6200">
              <w:rPr>
                <w:lang w:val="en-US" w:eastAsia="ru-RU" w:bidi="ru-RU"/>
              </w:rPr>
              <w:t>Intention</w:t>
            </w:r>
            <w:r w:rsidRPr="009E6200">
              <w:rPr>
                <w:lang w:eastAsia="ru-RU" w:bidi="ru-RU"/>
              </w:rPr>
              <w:t>-</w:t>
            </w:r>
            <w:r w:rsidRPr="009E6200">
              <w:rPr>
                <w:lang w:val="en-US" w:eastAsia="ru-RU" w:bidi="ru-RU"/>
              </w:rPr>
              <w:t>to</w:t>
            </w:r>
            <w:r w:rsidRPr="009E6200">
              <w:rPr>
                <w:lang w:eastAsia="ru-RU" w:bidi="ru-RU"/>
              </w:rPr>
              <w:t>-</w:t>
            </w:r>
            <w:r w:rsidRPr="009E6200">
              <w:rPr>
                <w:lang w:val="en-US" w:eastAsia="ru-RU" w:bidi="ru-RU"/>
              </w:rPr>
              <w:t>Treat</w:t>
            </w:r>
            <w:r w:rsidRPr="009E6200">
              <w:rPr>
                <w:lang w:eastAsia="ru-RU" w:bidi="ru-RU"/>
              </w:rPr>
              <w:t>)</w:t>
            </w:r>
          </w:p>
        </w:tc>
      </w:tr>
      <w:tr w:rsidR="00391D4B" w:rsidRPr="009E6200" w14:paraId="48922F7F" w14:textId="77777777" w:rsidTr="00C90851">
        <w:trPr>
          <w:trHeight w:val="20"/>
        </w:trPr>
        <w:tc>
          <w:tcPr>
            <w:tcW w:w="2544" w:type="dxa"/>
            <w:shd w:val="clear" w:color="auto" w:fill="auto"/>
            <w:vAlign w:val="center"/>
          </w:tcPr>
          <w:p w14:paraId="44025E8D" w14:textId="77777777" w:rsidR="00391D4B" w:rsidRPr="009E6200" w:rsidRDefault="00391D4B" w:rsidP="00C90851">
            <w:pPr>
              <w:pStyle w:val="SDText"/>
              <w:jc w:val="both"/>
            </w:pPr>
            <w:r w:rsidRPr="009E6200">
              <w:t>mFOLFOX</w:t>
            </w:r>
          </w:p>
        </w:tc>
        <w:tc>
          <w:tcPr>
            <w:tcW w:w="6795" w:type="dxa"/>
            <w:shd w:val="clear" w:color="auto" w:fill="auto"/>
          </w:tcPr>
          <w:p w14:paraId="29F21EBE" w14:textId="77777777" w:rsidR="00391D4B" w:rsidRPr="009E6200" w:rsidRDefault="00391D4B" w:rsidP="00C90851">
            <w:pPr>
              <w:pStyle w:val="SDText"/>
              <w:jc w:val="both"/>
            </w:pPr>
            <w:r w:rsidRPr="009E6200">
              <w:t>Модифицированная комбинация препаратов при химиотерапии состоит из оксалиплатина, 5-фторурацила и левофолиновой кислоты (</w:t>
            </w:r>
            <w:r w:rsidRPr="009E6200">
              <w:rPr>
                <w:lang w:val="en-US"/>
              </w:rPr>
              <w:t>m</w:t>
            </w:r>
            <w:r w:rsidRPr="009E6200">
              <w:t>odified, Levofolinic acid, 5-Fluorouracil and oxaliplatin)</w:t>
            </w:r>
          </w:p>
        </w:tc>
      </w:tr>
      <w:tr w:rsidR="00391D4B" w:rsidRPr="00471654" w14:paraId="1B58D693" w14:textId="77777777" w:rsidTr="00C90851">
        <w:trPr>
          <w:trHeight w:val="20"/>
        </w:trPr>
        <w:tc>
          <w:tcPr>
            <w:tcW w:w="2544" w:type="dxa"/>
            <w:vAlign w:val="center"/>
          </w:tcPr>
          <w:p w14:paraId="2B34F820" w14:textId="77777777" w:rsidR="00391D4B" w:rsidRPr="00762ED8" w:rsidRDefault="00391D4B" w:rsidP="00C90851">
            <w:pPr>
              <w:pStyle w:val="SDText"/>
              <w:jc w:val="both"/>
              <w:rPr>
                <w:lang w:val="en-US"/>
              </w:rPr>
            </w:pPr>
            <w:r w:rsidRPr="009E6200">
              <w:rPr>
                <w:lang w:val="en-US"/>
              </w:rPr>
              <w:t>NCI-CTC</w:t>
            </w:r>
            <w:r>
              <w:rPr>
                <w:lang w:val="en-US"/>
              </w:rPr>
              <w:t>AE</w:t>
            </w:r>
          </w:p>
        </w:tc>
        <w:tc>
          <w:tcPr>
            <w:tcW w:w="6795" w:type="dxa"/>
          </w:tcPr>
          <w:p w14:paraId="2A1FA710" w14:textId="77777777" w:rsidR="00391D4B" w:rsidRPr="009E6200" w:rsidRDefault="00391D4B" w:rsidP="00C90851">
            <w:pPr>
              <w:pStyle w:val="SDText"/>
              <w:jc w:val="both"/>
              <w:rPr>
                <w:lang w:val="en-US"/>
              </w:rPr>
            </w:pPr>
            <w:r w:rsidRPr="009E6200">
              <w:t>Оценочная</w:t>
            </w:r>
            <w:r w:rsidRPr="009E6200">
              <w:rPr>
                <w:lang w:val="en-US"/>
              </w:rPr>
              <w:t xml:space="preserve"> </w:t>
            </w:r>
            <w:r w:rsidRPr="009E6200">
              <w:t>шкала</w:t>
            </w:r>
            <w:r w:rsidRPr="009E6200">
              <w:rPr>
                <w:lang w:val="en-US"/>
              </w:rPr>
              <w:t xml:space="preserve"> </w:t>
            </w:r>
            <w:r w:rsidRPr="009E6200">
              <w:t>общих</w:t>
            </w:r>
            <w:r w:rsidRPr="009E6200">
              <w:rPr>
                <w:lang w:val="en-US"/>
              </w:rPr>
              <w:t xml:space="preserve"> </w:t>
            </w:r>
            <w:r w:rsidRPr="009E6200">
              <w:t>критериев</w:t>
            </w:r>
            <w:r w:rsidRPr="009E6200">
              <w:rPr>
                <w:lang w:val="en-US"/>
              </w:rPr>
              <w:t xml:space="preserve"> </w:t>
            </w:r>
            <w:r w:rsidRPr="009E6200">
              <w:t>токсичности</w:t>
            </w:r>
            <w:r w:rsidRPr="009E6200">
              <w:rPr>
                <w:lang w:val="en-US"/>
              </w:rPr>
              <w:t xml:space="preserve"> </w:t>
            </w:r>
            <w:r w:rsidRPr="009E6200">
              <w:t>Национального</w:t>
            </w:r>
            <w:r w:rsidRPr="009E6200">
              <w:rPr>
                <w:lang w:val="en-US"/>
              </w:rPr>
              <w:t xml:space="preserve"> </w:t>
            </w:r>
            <w:r w:rsidRPr="009E6200">
              <w:t>института</w:t>
            </w:r>
            <w:r w:rsidRPr="009E6200">
              <w:rPr>
                <w:lang w:val="en-US"/>
              </w:rPr>
              <w:t xml:space="preserve"> </w:t>
            </w:r>
            <w:r w:rsidRPr="009E6200">
              <w:t>исследования</w:t>
            </w:r>
            <w:r w:rsidRPr="009E6200">
              <w:rPr>
                <w:lang w:val="en-US"/>
              </w:rPr>
              <w:t xml:space="preserve"> </w:t>
            </w:r>
            <w:r w:rsidRPr="009E6200">
              <w:t>рака</w:t>
            </w:r>
            <w:r w:rsidRPr="009E6200">
              <w:rPr>
                <w:lang w:val="en-US"/>
              </w:rPr>
              <w:t xml:space="preserve"> (National Cancer Institute Common toxicity Criteria)</w:t>
            </w:r>
          </w:p>
        </w:tc>
      </w:tr>
      <w:tr w:rsidR="00391D4B" w:rsidRPr="009E6200" w14:paraId="1DFD5286" w14:textId="77777777" w:rsidTr="00C90851">
        <w:trPr>
          <w:trHeight w:val="20"/>
        </w:trPr>
        <w:tc>
          <w:tcPr>
            <w:tcW w:w="2544" w:type="dxa"/>
            <w:shd w:val="clear" w:color="auto" w:fill="auto"/>
            <w:vAlign w:val="center"/>
          </w:tcPr>
          <w:p w14:paraId="3A2C7D00" w14:textId="77777777" w:rsidR="00391D4B" w:rsidRPr="009E6200" w:rsidRDefault="00391D4B" w:rsidP="00C90851">
            <w:pPr>
              <w:pStyle w:val="SDText"/>
              <w:jc w:val="both"/>
              <w:rPr>
                <w:rFonts w:cs="Times New Roman"/>
                <w:lang w:val="en-US"/>
              </w:rPr>
            </w:pPr>
            <w:r w:rsidRPr="009E6200">
              <w:rPr>
                <w:lang w:val="en-US" w:eastAsia="ru-RU"/>
              </w:rPr>
              <w:t>NYHA</w:t>
            </w:r>
          </w:p>
        </w:tc>
        <w:tc>
          <w:tcPr>
            <w:tcW w:w="6795" w:type="dxa"/>
            <w:shd w:val="clear" w:color="auto" w:fill="auto"/>
          </w:tcPr>
          <w:p w14:paraId="57C43A4C" w14:textId="77777777" w:rsidR="00391D4B" w:rsidRPr="009E6200" w:rsidRDefault="00391D4B" w:rsidP="00C90851">
            <w:pPr>
              <w:pStyle w:val="SDText"/>
              <w:jc w:val="both"/>
            </w:pPr>
            <w:r w:rsidRPr="009E6200">
              <w:rPr>
                <w:lang w:eastAsia="ru-RU"/>
              </w:rPr>
              <w:t>Классификация сердечной недостаточности Нью-Йорской Ассоциации Кардиологов (New York Heart Association)</w:t>
            </w:r>
          </w:p>
        </w:tc>
      </w:tr>
      <w:tr w:rsidR="00391D4B" w:rsidRPr="009E6200" w14:paraId="39337929" w14:textId="77777777" w:rsidTr="00C90851">
        <w:trPr>
          <w:trHeight w:val="20"/>
        </w:trPr>
        <w:tc>
          <w:tcPr>
            <w:tcW w:w="2544" w:type="dxa"/>
            <w:vAlign w:val="center"/>
          </w:tcPr>
          <w:p w14:paraId="1A539B26" w14:textId="77777777" w:rsidR="00391D4B" w:rsidRPr="009E6200" w:rsidRDefault="00391D4B" w:rsidP="00C90851">
            <w:pPr>
              <w:pStyle w:val="SDText"/>
              <w:jc w:val="both"/>
              <w:rPr>
                <w:lang w:val="en-US" w:eastAsia="ru-RU"/>
              </w:rPr>
            </w:pPr>
            <w:r w:rsidRPr="009E6200">
              <w:rPr>
                <w:lang w:val="en-US" w:eastAsia="ru-RU"/>
              </w:rPr>
              <w:t>PP</w:t>
            </w:r>
          </w:p>
        </w:tc>
        <w:tc>
          <w:tcPr>
            <w:tcW w:w="6795" w:type="dxa"/>
          </w:tcPr>
          <w:p w14:paraId="1473CAB0" w14:textId="77777777" w:rsidR="00391D4B" w:rsidRPr="009E6200" w:rsidRDefault="00391D4B" w:rsidP="00C90851">
            <w:pPr>
              <w:pStyle w:val="SDText"/>
              <w:jc w:val="both"/>
              <w:rPr>
                <w:lang w:eastAsia="ru-RU"/>
              </w:rPr>
            </w:pPr>
            <w:r w:rsidRPr="009E6200">
              <w:rPr>
                <w:lang w:eastAsia="ru-RU"/>
              </w:rPr>
              <w:t>Набор данных «по протоколу» (</w:t>
            </w:r>
            <w:r w:rsidRPr="009E6200">
              <w:rPr>
                <w:lang w:val="en-US" w:eastAsia="ru-RU"/>
              </w:rPr>
              <w:t>per</w:t>
            </w:r>
            <w:r w:rsidRPr="009E6200">
              <w:rPr>
                <w:lang w:eastAsia="ru-RU"/>
              </w:rPr>
              <w:t xml:space="preserve"> </w:t>
            </w:r>
            <w:r w:rsidRPr="009E6200">
              <w:rPr>
                <w:lang w:val="en-US" w:eastAsia="ru-RU"/>
              </w:rPr>
              <w:t>protocol</w:t>
            </w:r>
            <w:r w:rsidRPr="009E6200">
              <w:rPr>
                <w:lang w:eastAsia="ru-RU"/>
              </w:rPr>
              <w:t>)</w:t>
            </w:r>
          </w:p>
        </w:tc>
      </w:tr>
      <w:tr w:rsidR="00391D4B" w:rsidRPr="00471654" w14:paraId="0B2F00D0" w14:textId="77777777" w:rsidTr="00C90851">
        <w:trPr>
          <w:trHeight w:val="20"/>
        </w:trPr>
        <w:tc>
          <w:tcPr>
            <w:tcW w:w="2544" w:type="dxa"/>
            <w:vAlign w:val="center"/>
          </w:tcPr>
          <w:p w14:paraId="06BBEEB8" w14:textId="77777777" w:rsidR="00391D4B" w:rsidRPr="009E6200" w:rsidRDefault="00391D4B" w:rsidP="00C90851">
            <w:pPr>
              <w:pStyle w:val="SDText"/>
              <w:jc w:val="both"/>
              <w:rPr>
                <w:lang w:val="en-US" w:eastAsia="ru-RU"/>
              </w:rPr>
            </w:pPr>
            <w:r w:rsidRPr="00B86F44">
              <w:rPr>
                <w:rFonts w:cs="Times New Roman"/>
              </w:rPr>
              <w:lastRenderedPageBreak/>
              <w:t>RANKL</w:t>
            </w:r>
          </w:p>
        </w:tc>
        <w:tc>
          <w:tcPr>
            <w:tcW w:w="6795" w:type="dxa"/>
          </w:tcPr>
          <w:p w14:paraId="72C1ADA1" w14:textId="77777777" w:rsidR="00391D4B" w:rsidRPr="00927593" w:rsidRDefault="00391D4B" w:rsidP="00C90851">
            <w:pPr>
              <w:pStyle w:val="SDText"/>
              <w:jc w:val="both"/>
              <w:rPr>
                <w:lang w:val="en-US" w:eastAsia="ru-RU"/>
              </w:rPr>
            </w:pPr>
            <w:r w:rsidRPr="00B86F44">
              <w:rPr>
                <w:rFonts w:cs="Times New Roman"/>
              </w:rPr>
              <w:t>Рецептор</w:t>
            </w:r>
            <w:r w:rsidRPr="00927593">
              <w:rPr>
                <w:rFonts w:cs="Times New Roman"/>
                <w:lang w:val="en-US"/>
              </w:rPr>
              <w:t xml:space="preserve"> </w:t>
            </w:r>
            <w:r w:rsidRPr="00B86F44">
              <w:rPr>
                <w:rFonts w:cs="Times New Roman"/>
              </w:rPr>
              <w:t>активатор</w:t>
            </w:r>
            <w:r w:rsidRPr="00927593">
              <w:rPr>
                <w:rFonts w:cs="Times New Roman"/>
                <w:lang w:val="en-US"/>
              </w:rPr>
              <w:t xml:space="preserve"> </w:t>
            </w:r>
            <w:r w:rsidRPr="00B86F44">
              <w:rPr>
                <w:rFonts w:cs="Times New Roman"/>
              </w:rPr>
              <w:t>ядерного</w:t>
            </w:r>
            <w:r w:rsidRPr="00927593">
              <w:rPr>
                <w:rFonts w:cs="Times New Roman"/>
                <w:lang w:val="en-US"/>
              </w:rPr>
              <w:t xml:space="preserve"> </w:t>
            </w:r>
            <w:r w:rsidRPr="00B86F44">
              <w:rPr>
                <w:rFonts w:cs="Times New Roman"/>
              </w:rPr>
              <w:t>фактора</w:t>
            </w:r>
            <w:r w:rsidRPr="00927593">
              <w:rPr>
                <w:rFonts w:cs="Times New Roman"/>
                <w:lang w:val="en-US"/>
              </w:rPr>
              <w:t xml:space="preserve"> </w:t>
            </w:r>
            <w:r w:rsidRPr="00B86F44">
              <w:rPr>
                <w:rFonts w:cs="Times New Roman"/>
              </w:rPr>
              <w:t>каппа</w:t>
            </w:r>
            <w:r w:rsidRPr="00927593">
              <w:rPr>
                <w:rFonts w:cs="Times New Roman"/>
                <w:lang w:val="en-US"/>
              </w:rPr>
              <w:t xml:space="preserve"> </w:t>
            </w:r>
            <w:r w:rsidRPr="00B86F44">
              <w:rPr>
                <w:rFonts w:cs="Times New Roman"/>
              </w:rPr>
              <w:t>Β</w:t>
            </w:r>
            <w:r w:rsidRPr="00927593">
              <w:rPr>
                <w:rFonts w:cs="Times New Roman"/>
                <w:lang w:val="en-US"/>
              </w:rPr>
              <w:t xml:space="preserve"> </w:t>
            </w:r>
            <w:r w:rsidRPr="00B86F44">
              <w:rPr>
                <w:rFonts w:cs="Times New Roman"/>
              </w:rPr>
              <w:t>лиганд</w:t>
            </w:r>
            <w:r w:rsidRPr="00927593">
              <w:rPr>
                <w:rFonts w:cs="Times New Roman"/>
                <w:lang w:val="en-US"/>
              </w:rPr>
              <w:t xml:space="preserve"> / Receptor activator of nuclear factor kappa-</w:t>
            </w:r>
            <w:r w:rsidRPr="00B86F44">
              <w:rPr>
                <w:rFonts w:cs="Times New Roman"/>
              </w:rPr>
              <w:t>Β</w:t>
            </w:r>
            <w:r w:rsidRPr="00927593">
              <w:rPr>
                <w:rFonts w:cs="Times New Roman"/>
                <w:lang w:val="en-US"/>
              </w:rPr>
              <w:t xml:space="preserve"> ligand</w:t>
            </w:r>
          </w:p>
        </w:tc>
      </w:tr>
      <w:tr w:rsidR="00391D4B" w:rsidRPr="009E6200" w14:paraId="6FEBFB19" w14:textId="77777777" w:rsidTr="00C90851">
        <w:trPr>
          <w:trHeight w:val="20"/>
        </w:trPr>
        <w:tc>
          <w:tcPr>
            <w:tcW w:w="2544" w:type="dxa"/>
            <w:vAlign w:val="center"/>
          </w:tcPr>
          <w:p w14:paraId="253EE0D7" w14:textId="77777777" w:rsidR="00391D4B" w:rsidRPr="009E6200" w:rsidRDefault="00391D4B" w:rsidP="00C90851">
            <w:pPr>
              <w:pStyle w:val="SDText"/>
              <w:jc w:val="both"/>
              <w:rPr>
                <w:lang w:val="en-US"/>
              </w:rPr>
            </w:pPr>
            <w:r w:rsidRPr="009E6200">
              <w:t>R-CHOP</w:t>
            </w:r>
          </w:p>
        </w:tc>
        <w:tc>
          <w:tcPr>
            <w:tcW w:w="6795" w:type="dxa"/>
          </w:tcPr>
          <w:p w14:paraId="78445133" w14:textId="77777777" w:rsidR="00391D4B" w:rsidRPr="009E6200" w:rsidRDefault="00391D4B" w:rsidP="00C90851">
            <w:pPr>
              <w:pStyle w:val="SDText"/>
              <w:jc w:val="both"/>
            </w:pPr>
            <w:r w:rsidRPr="009E6200">
              <w:t>Терапия ригуксимаб / циклофосфамид / доксорубицин / винкристин / преднизолон</w:t>
            </w:r>
          </w:p>
        </w:tc>
      </w:tr>
      <w:tr w:rsidR="00391D4B" w:rsidRPr="009E6200" w14:paraId="5F0758C7" w14:textId="77777777" w:rsidTr="00C90851">
        <w:trPr>
          <w:trHeight w:val="20"/>
        </w:trPr>
        <w:tc>
          <w:tcPr>
            <w:tcW w:w="2544" w:type="dxa"/>
            <w:vAlign w:val="center"/>
          </w:tcPr>
          <w:p w14:paraId="4B0CEBBD" w14:textId="77777777" w:rsidR="00391D4B" w:rsidRPr="009E6200" w:rsidRDefault="00391D4B" w:rsidP="00C90851">
            <w:pPr>
              <w:pStyle w:val="SDText"/>
              <w:jc w:val="both"/>
              <w:rPr>
                <w:rFonts w:cs="Times New Roman"/>
              </w:rPr>
            </w:pPr>
            <w:r w:rsidRPr="009E6200">
              <w:rPr>
                <w:lang w:eastAsia="ru-RU"/>
              </w:rPr>
              <w:t>RECIST</w:t>
            </w:r>
          </w:p>
        </w:tc>
        <w:tc>
          <w:tcPr>
            <w:tcW w:w="6795" w:type="dxa"/>
          </w:tcPr>
          <w:p w14:paraId="49BC7CAA" w14:textId="77777777" w:rsidR="00391D4B" w:rsidRPr="009E6200" w:rsidRDefault="00391D4B" w:rsidP="00C90851">
            <w:pPr>
              <w:pStyle w:val="SDText"/>
              <w:jc w:val="both"/>
              <w:rPr>
                <w:lang w:val="en-US"/>
              </w:rPr>
            </w:pPr>
            <w:r w:rsidRPr="009E6200">
              <w:rPr>
                <w:lang w:eastAsia="ru-RU"/>
              </w:rPr>
              <w:t>Критерии</w:t>
            </w:r>
            <w:r w:rsidRPr="009E6200">
              <w:rPr>
                <w:lang w:val="en-US" w:eastAsia="ru-RU"/>
              </w:rPr>
              <w:t xml:space="preserve"> </w:t>
            </w:r>
            <w:r w:rsidRPr="009E6200">
              <w:rPr>
                <w:lang w:eastAsia="ru-RU"/>
              </w:rPr>
              <w:t>ответа</w:t>
            </w:r>
            <w:r w:rsidRPr="009E6200">
              <w:rPr>
                <w:lang w:val="en-US" w:eastAsia="ru-RU"/>
              </w:rPr>
              <w:t xml:space="preserve"> </w:t>
            </w:r>
            <w:r w:rsidRPr="009E6200">
              <w:rPr>
                <w:lang w:eastAsia="ru-RU"/>
              </w:rPr>
              <w:t>на</w:t>
            </w:r>
            <w:r w:rsidRPr="009E6200">
              <w:rPr>
                <w:lang w:val="en-US" w:eastAsia="ru-RU"/>
              </w:rPr>
              <w:t xml:space="preserve"> </w:t>
            </w:r>
            <w:r w:rsidRPr="009E6200">
              <w:rPr>
                <w:lang w:eastAsia="ru-RU"/>
              </w:rPr>
              <w:t>терапию</w:t>
            </w:r>
            <w:r w:rsidRPr="009E6200">
              <w:rPr>
                <w:lang w:val="en-US" w:eastAsia="ru-RU"/>
              </w:rPr>
              <w:t xml:space="preserve"> </w:t>
            </w:r>
            <w:r w:rsidRPr="009E6200">
              <w:rPr>
                <w:lang w:eastAsia="ru-RU"/>
              </w:rPr>
              <w:t>при</w:t>
            </w:r>
            <w:r w:rsidRPr="009E6200">
              <w:rPr>
                <w:lang w:val="en-US" w:eastAsia="ru-RU"/>
              </w:rPr>
              <w:t xml:space="preserve"> </w:t>
            </w:r>
            <w:r w:rsidRPr="009E6200">
              <w:rPr>
                <w:lang w:eastAsia="ru-RU"/>
              </w:rPr>
              <w:t>солидных</w:t>
            </w:r>
            <w:r w:rsidRPr="009E6200">
              <w:rPr>
                <w:lang w:val="en-US" w:eastAsia="ru-RU"/>
              </w:rPr>
              <w:t xml:space="preserve"> </w:t>
            </w:r>
            <w:r w:rsidRPr="009E6200">
              <w:rPr>
                <w:lang w:eastAsia="ru-RU"/>
              </w:rPr>
              <w:t>опухолях</w:t>
            </w:r>
            <w:r w:rsidRPr="009E6200">
              <w:rPr>
                <w:lang w:val="en-US" w:eastAsia="ru-RU"/>
              </w:rPr>
              <w:t xml:space="preserve"> (response evaluation criteria in solid tumors)</w:t>
            </w:r>
          </w:p>
        </w:tc>
      </w:tr>
      <w:tr w:rsidR="00391D4B" w:rsidRPr="009E6200" w14:paraId="3EFC1F23" w14:textId="77777777" w:rsidTr="00C90851">
        <w:trPr>
          <w:trHeight w:val="20"/>
        </w:trPr>
        <w:tc>
          <w:tcPr>
            <w:tcW w:w="2544" w:type="dxa"/>
            <w:shd w:val="clear" w:color="auto" w:fill="auto"/>
            <w:vAlign w:val="center"/>
          </w:tcPr>
          <w:p w14:paraId="37E5AE06" w14:textId="77777777" w:rsidR="00391D4B" w:rsidRPr="009E6200" w:rsidRDefault="00391D4B" w:rsidP="00C90851">
            <w:pPr>
              <w:pStyle w:val="SDText"/>
              <w:jc w:val="both"/>
              <w:rPr>
                <w:lang w:val="en-US" w:eastAsia="ru-RU"/>
              </w:rPr>
            </w:pPr>
            <w:r w:rsidRPr="009E6200">
              <w:rPr>
                <w:lang w:val="en-US" w:eastAsia="ru-RU"/>
              </w:rPr>
              <w:t>t</w:t>
            </w:r>
            <w:r w:rsidRPr="009E6200">
              <w:rPr>
                <w:vertAlign w:val="subscript"/>
                <w:lang w:val="en-US" w:eastAsia="ru-RU"/>
              </w:rPr>
              <w:t>1/2</w:t>
            </w:r>
          </w:p>
        </w:tc>
        <w:tc>
          <w:tcPr>
            <w:tcW w:w="6795" w:type="dxa"/>
            <w:shd w:val="clear" w:color="auto" w:fill="auto"/>
          </w:tcPr>
          <w:p w14:paraId="0151ECF5" w14:textId="77777777" w:rsidR="00391D4B" w:rsidRPr="009E6200" w:rsidRDefault="00391D4B" w:rsidP="00C90851">
            <w:pPr>
              <w:pStyle w:val="SDText"/>
              <w:jc w:val="both"/>
              <w:rPr>
                <w:lang w:val="en-US" w:eastAsia="ru-RU"/>
              </w:rPr>
            </w:pPr>
            <w:r w:rsidRPr="009E6200">
              <w:rPr>
                <w:lang w:eastAsia="ru-RU"/>
              </w:rPr>
              <w:t>Период</w:t>
            </w:r>
            <w:r w:rsidRPr="009E6200">
              <w:rPr>
                <w:lang w:val="en-US" w:eastAsia="ru-RU"/>
              </w:rPr>
              <w:t xml:space="preserve"> </w:t>
            </w:r>
            <w:r w:rsidRPr="009E6200">
              <w:rPr>
                <w:lang w:eastAsia="ru-RU"/>
              </w:rPr>
              <w:t>полувыведения</w:t>
            </w:r>
          </w:p>
        </w:tc>
      </w:tr>
      <w:tr w:rsidR="00391D4B" w:rsidRPr="009E6200" w14:paraId="490C2C58" w14:textId="77777777" w:rsidTr="00C90851">
        <w:trPr>
          <w:trHeight w:val="20"/>
        </w:trPr>
        <w:tc>
          <w:tcPr>
            <w:tcW w:w="2544" w:type="dxa"/>
            <w:vAlign w:val="center"/>
          </w:tcPr>
          <w:p w14:paraId="69435B07" w14:textId="77777777" w:rsidR="00391D4B" w:rsidRPr="009E6200" w:rsidRDefault="00391D4B" w:rsidP="00C90851">
            <w:pPr>
              <w:pStyle w:val="SDText"/>
              <w:jc w:val="both"/>
              <w:rPr>
                <w:rFonts w:cs="Times New Roman"/>
                <w:lang w:val="en-US"/>
              </w:rPr>
            </w:pPr>
            <w:r w:rsidRPr="009E6200">
              <w:rPr>
                <w:rFonts w:cs="Times New Roman"/>
                <w:lang w:val="en-US"/>
              </w:rPr>
              <w:t>TNM</w:t>
            </w:r>
          </w:p>
        </w:tc>
        <w:tc>
          <w:tcPr>
            <w:tcW w:w="6795" w:type="dxa"/>
          </w:tcPr>
          <w:p w14:paraId="580814A0" w14:textId="77777777" w:rsidR="00391D4B" w:rsidRPr="009E6200" w:rsidRDefault="00391D4B" w:rsidP="00C90851">
            <w:pPr>
              <w:pStyle w:val="SDText"/>
              <w:jc w:val="both"/>
            </w:pPr>
            <w:r w:rsidRPr="009E6200">
              <w:t>Медународная классификация стадий злокачественных новообразований (</w:t>
            </w:r>
            <w:r w:rsidRPr="009E6200">
              <w:rPr>
                <w:lang w:eastAsia="ru-RU"/>
              </w:rPr>
              <w:t>tumor, nodus и metastasis)</w:t>
            </w:r>
          </w:p>
        </w:tc>
      </w:tr>
      <w:tr w:rsidR="00391D4B" w:rsidRPr="009E6200" w14:paraId="0BCCE2A8" w14:textId="77777777" w:rsidTr="00C90851">
        <w:trPr>
          <w:trHeight w:val="20"/>
        </w:trPr>
        <w:tc>
          <w:tcPr>
            <w:tcW w:w="2544" w:type="dxa"/>
            <w:shd w:val="clear" w:color="auto" w:fill="auto"/>
            <w:vAlign w:val="center"/>
          </w:tcPr>
          <w:p w14:paraId="730E0D39" w14:textId="77777777" w:rsidR="00391D4B" w:rsidRPr="009E6200" w:rsidRDefault="00391D4B" w:rsidP="00C90851">
            <w:pPr>
              <w:pStyle w:val="SDText"/>
              <w:jc w:val="both"/>
              <w:rPr>
                <w:lang w:val="en-US"/>
              </w:rPr>
            </w:pPr>
            <w:r w:rsidRPr="009E6200">
              <w:t>V</w:t>
            </w:r>
            <w:r w:rsidRPr="009E6200">
              <w:rPr>
                <w:vertAlign w:val="subscript"/>
              </w:rPr>
              <w:t>c</w:t>
            </w:r>
          </w:p>
        </w:tc>
        <w:tc>
          <w:tcPr>
            <w:tcW w:w="6795" w:type="dxa"/>
            <w:shd w:val="clear" w:color="auto" w:fill="auto"/>
          </w:tcPr>
          <w:p w14:paraId="7D1E3B10" w14:textId="77777777" w:rsidR="00391D4B" w:rsidRPr="009E6200" w:rsidRDefault="00391D4B" w:rsidP="00C90851">
            <w:pPr>
              <w:pStyle w:val="SDText"/>
              <w:jc w:val="both"/>
            </w:pPr>
            <w:r w:rsidRPr="009E6200">
              <w:t>Объем распределения в центральной камере</w:t>
            </w:r>
          </w:p>
        </w:tc>
      </w:tr>
      <w:tr w:rsidR="00391D4B" w:rsidRPr="00471654" w14:paraId="206BF37A" w14:textId="77777777" w:rsidTr="00C90851">
        <w:trPr>
          <w:trHeight w:val="20"/>
        </w:trPr>
        <w:tc>
          <w:tcPr>
            <w:tcW w:w="2544" w:type="dxa"/>
            <w:vAlign w:val="center"/>
          </w:tcPr>
          <w:p w14:paraId="4E1FF4A9" w14:textId="77777777" w:rsidR="00391D4B" w:rsidRPr="009E6200" w:rsidRDefault="00391D4B" w:rsidP="00C90851">
            <w:pPr>
              <w:pStyle w:val="SDText"/>
              <w:jc w:val="both"/>
            </w:pPr>
            <w:r w:rsidRPr="009E6200">
              <w:rPr>
                <w:lang w:val="en-US"/>
              </w:rPr>
              <w:t>VEGF</w:t>
            </w:r>
          </w:p>
        </w:tc>
        <w:tc>
          <w:tcPr>
            <w:tcW w:w="6795" w:type="dxa"/>
          </w:tcPr>
          <w:p w14:paraId="3AF9E8FD" w14:textId="77777777" w:rsidR="00391D4B" w:rsidRPr="009E6200" w:rsidRDefault="00391D4B" w:rsidP="00C90851">
            <w:pPr>
              <w:pStyle w:val="SDText"/>
              <w:jc w:val="both"/>
              <w:rPr>
                <w:lang w:val="en-US"/>
              </w:rPr>
            </w:pPr>
            <w:r w:rsidRPr="009E6200">
              <w:t>Фактор</w:t>
            </w:r>
            <w:r w:rsidRPr="009E6200">
              <w:rPr>
                <w:lang w:val="en-US"/>
              </w:rPr>
              <w:t xml:space="preserve"> </w:t>
            </w:r>
            <w:r w:rsidRPr="009E6200">
              <w:t>роста</w:t>
            </w:r>
            <w:r w:rsidRPr="009E6200">
              <w:rPr>
                <w:lang w:val="en-US"/>
              </w:rPr>
              <w:t xml:space="preserve"> </w:t>
            </w:r>
            <w:r w:rsidRPr="009E6200">
              <w:t>сосудистого</w:t>
            </w:r>
            <w:r w:rsidRPr="009E6200">
              <w:rPr>
                <w:lang w:val="en-US"/>
              </w:rPr>
              <w:t xml:space="preserve"> </w:t>
            </w:r>
            <w:r w:rsidRPr="009E6200">
              <w:t>эндотелия</w:t>
            </w:r>
            <w:r w:rsidRPr="009E6200">
              <w:rPr>
                <w:lang w:val="en-US"/>
              </w:rPr>
              <w:t xml:space="preserve"> (Vascular Endothelial Cell Growth Factor) </w:t>
            </w:r>
          </w:p>
        </w:tc>
      </w:tr>
      <w:tr w:rsidR="00391D4B" w:rsidRPr="00471654" w14:paraId="6421F4A7" w14:textId="77777777" w:rsidTr="00C90851">
        <w:trPr>
          <w:trHeight w:val="20"/>
        </w:trPr>
        <w:tc>
          <w:tcPr>
            <w:tcW w:w="2544" w:type="dxa"/>
            <w:shd w:val="clear" w:color="auto" w:fill="auto"/>
            <w:vAlign w:val="center"/>
          </w:tcPr>
          <w:p w14:paraId="68684052" w14:textId="77777777" w:rsidR="00391D4B" w:rsidRPr="009E6200" w:rsidRDefault="00391D4B" w:rsidP="00C90851">
            <w:pPr>
              <w:pStyle w:val="SDText"/>
              <w:jc w:val="both"/>
              <w:rPr>
                <w:lang w:val="en-US"/>
              </w:rPr>
            </w:pPr>
            <w:r w:rsidRPr="009E6200">
              <w:t>VEGFR 2</w:t>
            </w:r>
          </w:p>
        </w:tc>
        <w:tc>
          <w:tcPr>
            <w:tcW w:w="6795" w:type="dxa"/>
            <w:shd w:val="clear" w:color="auto" w:fill="auto"/>
          </w:tcPr>
          <w:p w14:paraId="0278820E" w14:textId="77777777" w:rsidR="00391D4B" w:rsidRPr="009E6200" w:rsidRDefault="00391D4B" w:rsidP="00C90851">
            <w:pPr>
              <w:pStyle w:val="SDText"/>
              <w:jc w:val="both"/>
              <w:rPr>
                <w:lang w:val="en-US"/>
              </w:rPr>
            </w:pPr>
            <w:r w:rsidRPr="009E6200">
              <w:t>Рецептор</w:t>
            </w:r>
            <w:r w:rsidRPr="009E6200">
              <w:rPr>
                <w:lang w:val="en-US"/>
              </w:rPr>
              <w:t xml:space="preserve"> </w:t>
            </w:r>
            <w:r w:rsidRPr="009E6200">
              <w:t>фактора</w:t>
            </w:r>
            <w:r w:rsidRPr="009E6200">
              <w:rPr>
                <w:lang w:val="en-US"/>
              </w:rPr>
              <w:t xml:space="preserve"> </w:t>
            </w:r>
            <w:r w:rsidRPr="009E6200">
              <w:t>роста</w:t>
            </w:r>
            <w:r w:rsidRPr="009E6200">
              <w:rPr>
                <w:lang w:val="en-US"/>
              </w:rPr>
              <w:t xml:space="preserve"> </w:t>
            </w:r>
            <w:r w:rsidRPr="009E6200">
              <w:t>сосудистого</w:t>
            </w:r>
            <w:r w:rsidRPr="009E6200">
              <w:rPr>
                <w:lang w:val="en-US"/>
              </w:rPr>
              <w:t xml:space="preserve"> </w:t>
            </w:r>
            <w:r w:rsidRPr="009E6200">
              <w:t>эндотелия</w:t>
            </w:r>
            <w:r w:rsidRPr="009E6200">
              <w:rPr>
                <w:lang w:val="en-US"/>
              </w:rPr>
              <w:t xml:space="preserve"> 2 (vascular endothelial growth factor receptor 2)</w:t>
            </w:r>
          </w:p>
        </w:tc>
      </w:tr>
      <w:tr w:rsidR="00391D4B" w:rsidRPr="009E6200" w14:paraId="77DB743F" w14:textId="77777777" w:rsidTr="00C90851">
        <w:trPr>
          <w:trHeight w:val="20"/>
        </w:trPr>
        <w:tc>
          <w:tcPr>
            <w:tcW w:w="2544" w:type="dxa"/>
            <w:shd w:val="clear" w:color="auto" w:fill="C45911" w:themeFill="accent2" w:themeFillShade="BF"/>
            <w:vAlign w:val="center"/>
          </w:tcPr>
          <w:p w14:paraId="05B392E6" w14:textId="77777777" w:rsidR="00391D4B" w:rsidRPr="009E6200" w:rsidRDefault="00391D4B" w:rsidP="00C90851">
            <w:pPr>
              <w:pStyle w:val="SDText"/>
              <w:jc w:val="both"/>
            </w:pPr>
            <w:r w:rsidRPr="009E6200">
              <w:t>V</w:t>
            </w:r>
            <w:r w:rsidRPr="009E6200">
              <w:rPr>
                <w:vertAlign w:val="subscript"/>
              </w:rPr>
              <w:t>p</w:t>
            </w:r>
          </w:p>
        </w:tc>
        <w:tc>
          <w:tcPr>
            <w:tcW w:w="6795" w:type="dxa"/>
            <w:shd w:val="clear" w:color="auto" w:fill="C45911" w:themeFill="accent2" w:themeFillShade="BF"/>
          </w:tcPr>
          <w:p w14:paraId="55173F12" w14:textId="77777777" w:rsidR="00391D4B" w:rsidRPr="009E6200" w:rsidRDefault="00391D4B" w:rsidP="00C90851">
            <w:pPr>
              <w:pStyle w:val="SDText"/>
              <w:jc w:val="both"/>
            </w:pPr>
            <w:r w:rsidRPr="009E6200">
              <w:t>Объем распределения в периферической камере</w:t>
            </w:r>
          </w:p>
        </w:tc>
      </w:tr>
    </w:tbl>
    <w:p w14:paraId="1B8BED23" w14:textId="77777777" w:rsidR="00F93CD5" w:rsidRPr="009E6200" w:rsidRDefault="00F93CD5" w:rsidP="007B46F5">
      <w:pPr>
        <w:pStyle w:val="SDText"/>
        <w:jc w:val="both"/>
      </w:pPr>
      <w:r w:rsidRPr="009E6200">
        <w:br w:type="page"/>
      </w:r>
    </w:p>
    <w:p w14:paraId="62151B39" w14:textId="4D555AA6" w:rsidR="00EF25E9" w:rsidRPr="007B46F5" w:rsidRDefault="008D1B15" w:rsidP="007B46F5">
      <w:pPr>
        <w:pStyle w:val="Heading1"/>
        <w:pageBreakBefore/>
        <w:numPr>
          <w:ilvl w:val="0"/>
          <w:numId w:val="0"/>
        </w:numPr>
        <w:spacing w:before="0" w:after="0" w:line="240" w:lineRule="auto"/>
        <w:ind w:left="431" w:hanging="431"/>
        <w:jc w:val="both"/>
        <w:rPr>
          <w:color w:val="auto"/>
          <w:sz w:val="28"/>
          <w:szCs w:val="28"/>
          <w:lang w:eastAsia="ru-RU"/>
        </w:rPr>
      </w:pPr>
      <w:bookmarkStart w:id="15" w:name="_Toc464212825"/>
      <w:bookmarkStart w:id="16" w:name="_Toc120865218"/>
      <w:r w:rsidRPr="007B46F5">
        <w:rPr>
          <w:color w:val="auto"/>
          <w:sz w:val="28"/>
          <w:szCs w:val="28"/>
          <w:lang w:eastAsia="ru-RU"/>
        </w:rPr>
        <w:lastRenderedPageBreak/>
        <w:t>Синопсис</w:t>
      </w:r>
      <w:bookmarkEnd w:id="15"/>
      <w:bookmarkEnd w:id="16"/>
    </w:p>
    <w:p w14:paraId="5EC24CCC" w14:textId="77777777" w:rsidR="00EF25E9" w:rsidRPr="009E6200" w:rsidRDefault="00EF25E9" w:rsidP="007B46F5">
      <w:pPr>
        <w:pStyle w:val="SDText"/>
        <w:jc w:val="both"/>
        <w:rPr>
          <w:lang w:eastAsia="ru-RU"/>
        </w:rPr>
      </w:pPr>
    </w:p>
    <w:tbl>
      <w:tblPr>
        <w:tblW w:w="5000" w:type="pct"/>
        <w:tblCellMar>
          <w:left w:w="10" w:type="dxa"/>
          <w:right w:w="10" w:type="dxa"/>
        </w:tblCellMar>
        <w:tblLook w:val="04A0" w:firstRow="1" w:lastRow="0" w:firstColumn="1" w:lastColumn="0" w:noHBand="0" w:noVBand="1"/>
      </w:tblPr>
      <w:tblGrid>
        <w:gridCol w:w="2187"/>
        <w:gridCol w:w="7158"/>
      </w:tblGrid>
      <w:tr w:rsidR="007B46F5" w:rsidRPr="009E6200" w14:paraId="100FA73A" w14:textId="77777777" w:rsidTr="004E410C">
        <w:trPr>
          <w:trHeight w:val="703"/>
          <w:tblHeader/>
        </w:trPr>
        <w:tc>
          <w:tcPr>
            <w:tcW w:w="5000" w:type="pct"/>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top w:w="0" w:type="dxa"/>
              <w:left w:w="57" w:type="dxa"/>
              <w:bottom w:w="0" w:type="dxa"/>
              <w:right w:w="57" w:type="dxa"/>
            </w:tcMar>
            <w:vAlign w:val="center"/>
          </w:tcPr>
          <w:p w14:paraId="58CB7335" w14:textId="470114D7" w:rsidR="007B46F5" w:rsidRPr="007B46F5" w:rsidRDefault="007B46F5" w:rsidP="007B46F5">
            <w:pPr>
              <w:pStyle w:val="SDText"/>
              <w:rPr>
                <w:b/>
              </w:rPr>
            </w:pPr>
            <w:r w:rsidRPr="007B46F5">
              <w:rPr>
                <w:b/>
              </w:rPr>
              <w:t>Синопсис протокола</w:t>
            </w:r>
          </w:p>
        </w:tc>
      </w:tr>
      <w:tr w:rsidR="00F46B68" w:rsidRPr="009E6200" w14:paraId="4C1731AB" w14:textId="77777777" w:rsidTr="007B46F5">
        <w:tc>
          <w:tcPr>
            <w:tcW w:w="1170" w:type="pct"/>
            <w:tcBorders>
              <w:top w:val="single" w:sz="4" w:space="0" w:color="00000A"/>
              <w:left w:val="single" w:sz="4" w:space="0" w:color="00000A"/>
              <w:bottom w:val="single" w:sz="4" w:space="0" w:color="00000A"/>
              <w:right w:val="single" w:sz="4" w:space="0" w:color="00000A"/>
            </w:tcBorders>
            <w:shd w:val="clear" w:color="auto" w:fill="auto"/>
            <w:tcMar>
              <w:top w:w="0" w:type="dxa"/>
              <w:left w:w="57" w:type="dxa"/>
              <w:bottom w:w="0" w:type="dxa"/>
              <w:right w:w="57" w:type="dxa"/>
            </w:tcMar>
          </w:tcPr>
          <w:p w14:paraId="5F0907F2" w14:textId="77777777" w:rsidR="007F47FD" w:rsidRPr="009E6200" w:rsidRDefault="007F47FD" w:rsidP="007B46F5">
            <w:pPr>
              <w:pStyle w:val="SDText"/>
              <w:jc w:val="both"/>
              <w:rPr>
                <w:b/>
                <w:lang w:eastAsia="ru-RU"/>
              </w:rPr>
            </w:pPr>
            <w:r w:rsidRPr="009E6200">
              <w:rPr>
                <w:b/>
                <w:lang w:eastAsia="ru-RU"/>
              </w:rPr>
              <w:t>Наименование исследования</w:t>
            </w:r>
          </w:p>
        </w:tc>
        <w:tc>
          <w:tcPr>
            <w:tcW w:w="3830" w:type="pct"/>
            <w:tcBorders>
              <w:top w:val="single" w:sz="4" w:space="0" w:color="00000A"/>
              <w:left w:val="single" w:sz="4" w:space="0" w:color="00000A"/>
              <w:bottom w:val="single" w:sz="4" w:space="0" w:color="00000A"/>
              <w:right w:val="single" w:sz="4" w:space="0" w:color="00000A"/>
            </w:tcBorders>
            <w:shd w:val="clear" w:color="auto" w:fill="auto"/>
            <w:tcMar>
              <w:top w:w="0" w:type="dxa"/>
              <w:left w:w="57" w:type="dxa"/>
              <w:bottom w:w="0" w:type="dxa"/>
              <w:right w:w="57" w:type="dxa"/>
            </w:tcMar>
          </w:tcPr>
          <w:p w14:paraId="7882C6F2" w14:textId="213B907C" w:rsidR="007F47FD" w:rsidRPr="009E6200" w:rsidRDefault="00E767EF" w:rsidP="007B46F5">
            <w:pPr>
              <w:pStyle w:val="SDText"/>
              <w:jc w:val="both"/>
              <w:rPr>
                <w:lang w:eastAsia="ru-RU"/>
              </w:rPr>
            </w:pPr>
            <w:sdt>
              <w:sdtPr>
                <w:id w:val="884836721"/>
                <w:placeholder>
                  <w:docPart w:val="F7F4514C38364158BCCE3283B975504D"/>
                </w:placeholder>
              </w:sdtPr>
              <w:sdtEndPr/>
              <w:sdtContent>
                <w:sdt>
                  <w:sdtPr>
                    <w:id w:val="61762706"/>
                    <w:placeholder>
                      <w:docPart w:val="C33E8210116849CD989C7A626BC0409F"/>
                    </w:placeholder>
                  </w:sdtPr>
                  <w:sdtEndPr/>
                  <w:sdtContent>
                    <w:sdt>
                      <w:sdtPr>
                        <w:id w:val="454528764"/>
                        <w:placeholder>
                          <w:docPart w:val="A11381EF122F4B50A444AA8B3D56E202"/>
                        </w:placeholder>
                      </w:sdtPr>
                      <w:sdtEndPr/>
                      <w:sdtContent>
                        <w:sdt>
                          <w:sdtPr>
                            <w:id w:val="-1468039835"/>
                            <w:placeholder>
                              <w:docPart w:val="E5676C8573974760AB2E513643EE5625"/>
                            </w:placeholder>
                          </w:sdtPr>
                          <w:sdtEndPr/>
                          <w:sdtContent>
                            <w:sdt>
                              <w:sdtPr>
                                <w:id w:val="-1452777838"/>
                                <w:placeholder>
                                  <w:docPart w:val="EFF81C2C6ACB48CF81869568BCE81D41"/>
                                </w:placeholder>
                              </w:sdtPr>
                              <w:sdtEndPr/>
                              <w:sdtContent>
                                <w:r w:rsidR="009370B1" w:rsidRPr="009E6200">
                                  <w:fldChar w:fldCharType="begin"/>
                                </w:r>
                                <w:r w:rsidR="009370B1" w:rsidRPr="009E6200">
                                  <w:instrText xml:space="preserve"> </w:instrText>
                                </w:r>
                                <w:r w:rsidR="009370B1" w:rsidRPr="009E6200">
                                  <w:rPr>
                                    <w:lang w:val="en-US"/>
                                  </w:rPr>
                                  <w:instrText>REF</w:instrText>
                                </w:r>
                                <w:r w:rsidR="009370B1" w:rsidRPr="009E6200">
                                  <w:instrText xml:space="preserve"> "OLE_LINK1"</w:instrText>
                                </w:r>
                                <w:r w:rsidR="009E6200">
                                  <w:instrText xml:space="preserve"> \* MERGEFORMAT </w:instrText>
                                </w:r>
                                <w:r w:rsidR="009370B1" w:rsidRPr="009E6200">
                                  <w:fldChar w:fldCharType="separate"/>
                                </w:r>
                                <w:sdt>
                                  <w:sdtPr>
                                    <w:alias w:val="Название исследования"/>
                                    <w:tag w:val="Название исследования"/>
                                    <w:id w:val="798501294"/>
                                    <w:placeholder>
                                      <w:docPart w:val="EE4F9A0C89DE4B2A82DCD4BEFEA2E7A4"/>
                                    </w:placeholder>
                                  </w:sdtPr>
                                  <w:sdtEndPr/>
                                  <w:sdtContent>
                                    <w:sdt>
                                      <w:sdtPr>
                                        <w:alias w:val="Название исследования"/>
                                        <w:tag w:val="Название исследования"/>
                                        <w:id w:val="1384676292"/>
                                        <w:placeholder>
                                          <w:docPart w:val="FC426E75CB144BB2B2EAB21D333C26CE"/>
                                        </w:placeholder>
                                      </w:sdtPr>
                                      <w:sdtEndPr/>
                                      <w:sdtContent>
                                        <w:r w:rsidR="005A436A" w:rsidRPr="009E6200">
                                          <w:t>Рандомизированное, многоцентровое, двойное слепое клиническое исследование для оценки эффективности и безопасности препарата RPH-001 (биоаналога Авастина</w:t>
                                        </w:r>
                                        <w:r w:rsidR="005A436A" w:rsidRPr="009E6200">
                                          <w:rPr>
                                            <w:vertAlign w:val="superscript"/>
                                          </w:rPr>
                                          <w:t>®</w:t>
                                        </w:r>
                                        <w:r w:rsidR="005A436A" w:rsidRPr="009E6200">
                                          <w:t>, АО «Р-Фарм», Россия ) в сравнении с Авастином</w:t>
                                        </w:r>
                                        <w:r w:rsidR="005A436A" w:rsidRPr="009E6200">
                                          <w:rPr>
                                            <w:vertAlign w:val="superscript"/>
                                          </w:rPr>
                                          <w:t>®</w:t>
                                        </w:r>
                                        <w:r w:rsidR="005A436A" w:rsidRPr="009E6200">
                                          <w:t xml:space="preserve"> (Ф. Хоффманн-Ля Рош Лтд., Швейцария) в комбинации с карбоплатином и паклитакселом в лечении пациентов с неплоскоклеточным немелкоклеточным раком легкого стадии IIIB/IV</w:t>
                                        </w:r>
                                      </w:sdtContent>
                                    </w:sdt>
                                  </w:sdtContent>
                                </w:sdt>
                                <w:r w:rsidR="009370B1" w:rsidRPr="009E6200">
                                  <w:fldChar w:fldCharType="end"/>
                                </w:r>
                              </w:sdtContent>
                            </w:sdt>
                          </w:sdtContent>
                        </w:sdt>
                      </w:sdtContent>
                    </w:sdt>
                  </w:sdtContent>
                </w:sdt>
              </w:sdtContent>
            </w:sdt>
          </w:p>
        </w:tc>
      </w:tr>
      <w:tr w:rsidR="00F46B68" w:rsidRPr="009E6200" w14:paraId="02FF2EDD" w14:textId="77777777" w:rsidTr="007B46F5">
        <w:tc>
          <w:tcPr>
            <w:tcW w:w="1170" w:type="pct"/>
            <w:tcBorders>
              <w:top w:val="single" w:sz="4" w:space="0" w:color="00000A"/>
              <w:left w:val="single" w:sz="4" w:space="0" w:color="00000A"/>
              <w:bottom w:val="single" w:sz="4" w:space="0" w:color="00000A"/>
              <w:right w:val="single" w:sz="4" w:space="0" w:color="00000A"/>
            </w:tcBorders>
            <w:shd w:val="clear" w:color="auto" w:fill="auto"/>
            <w:tcMar>
              <w:top w:w="0" w:type="dxa"/>
              <w:left w:w="57" w:type="dxa"/>
              <w:bottom w:w="0" w:type="dxa"/>
              <w:right w:w="57" w:type="dxa"/>
            </w:tcMar>
          </w:tcPr>
          <w:p w14:paraId="30D93B6C" w14:textId="77777777" w:rsidR="007F47FD" w:rsidRPr="009E6200" w:rsidRDefault="007F47FD" w:rsidP="007B46F5">
            <w:pPr>
              <w:pStyle w:val="SDText"/>
              <w:jc w:val="both"/>
              <w:rPr>
                <w:b/>
                <w:lang w:eastAsia="ru-RU"/>
              </w:rPr>
            </w:pPr>
            <w:r w:rsidRPr="009E6200">
              <w:rPr>
                <w:b/>
                <w:lang w:eastAsia="ru-RU"/>
              </w:rPr>
              <w:t>Исследуемый препарат</w:t>
            </w:r>
          </w:p>
        </w:tc>
        <w:tc>
          <w:tcPr>
            <w:tcW w:w="3830" w:type="pct"/>
            <w:tcBorders>
              <w:top w:val="single" w:sz="4" w:space="0" w:color="00000A"/>
              <w:left w:val="single" w:sz="4" w:space="0" w:color="00000A"/>
              <w:bottom w:val="single" w:sz="4" w:space="0" w:color="00000A"/>
              <w:right w:val="single" w:sz="4" w:space="0" w:color="00000A"/>
            </w:tcBorders>
            <w:shd w:val="clear" w:color="auto" w:fill="auto"/>
            <w:tcMar>
              <w:top w:w="0" w:type="dxa"/>
              <w:left w:w="57" w:type="dxa"/>
              <w:bottom w:w="0" w:type="dxa"/>
              <w:right w:w="57" w:type="dxa"/>
            </w:tcMar>
          </w:tcPr>
          <w:p w14:paraId="18C970F5" w14:textId="77777777" w:rsidR="007F47FD" w:rsidRPr="009E6200" w:rsidRDefault="00ED34AF" w:rsidP="007B46F5">
            <w:pPr>
              <w:pStyle w:val="SDText"/>
              <w:jc w:val="both"/>
              <w:rPr>
                <w:lang w:eastAsia="ru-RU"/>
              </w:rPr>
            </w:pPr>
            <w:r w:rsidRPr="009E6200">
              <w:rPr>
                <w:lang w:val="en-US" w:eastAsia="ru-RU"/>
              </w:rPr>
              <w:t>RPH</w:t>
            </w:r>
            <w:r w:rsidRPr="009E6200">
              <w:rPr>
                <w:lang w:eastAsia="ru-RU"/>
              </w:rPr>
              <w:t>-001, бевацизумаб, концентрат для приготовления раствора дли инфузий, 100 мг / 4 мл</w:t>
            </w:r>
          </w:p>
        </w:tc>
      </w:tr>
      <w:tr w:rsidR="00F46B68" w:rsidRPr="009E6200" w14:paraId="4A4F2628" w14:textId="77777777" w:rsidTr="007B46F5">
        <w:tc>
          <w:tcPr>
            <w:tcW w:w="1170" w:type="pct"/>
            <w:tcBorders>
              <w:top w:val="single" w:sz="4" w:space="0" w:color="00000A"/>
              <w:left w:val="single" w:sz="4" w:space="0" w:color="00000A"/>
              <w:bottom w:val="single" w:sz="4" w:space="0" w:color="00000A"/>
              <w:right w:val="single" w:sz="4" w:space="0" w:color="00000A"/>
            </w:tcBorders>
            <w:shd w:val="clear" w:color="auto" w:fill="auto"/>
            <w:tcMar>
              <w:top w:w="0" w:type="dxa"/>
              <w:left w:w="57" w:type="dxa"/>
              <w:bottom w:w="0" w:type="dxa"/>
              <w:right w:w="57" w:type="dxa"/>
            </w:tcMar>
          </w:tcPr>
          <w:p w14:paraId="12B58F2F" w14:textId="77777777" w:rsidR="007F47FD" w:rsidRPr="009E6200" w:rsidRDefault="007F47FD" w:rsidP="007B46F5">
            <w:pPr>
              <w:pStyle w:val="SDText"/>
              <w:jc w:val="both"/>
              <w:rPr>
                <w:b/>
                <w:lang w:eastAsia="ru-RU"/>
              </w:rPr>
            </w:pPr>
            <w:r w:rsidRPr="009E6200">
              <w:rPr>
                <w:b/>
                <w:lang w:eastAsia="ru-RU"/>
              </w:rPr>
              <w:t>Препарат сравнения</w:t>
            </w:r>
          </w:p>
        </w:tc>
        <w:tc>
          <w:tcPr>
            <w:tcW w:w="3830" w:type="pct"/>
            <w:tcBorders>
              <w:top w:val="single" w:sz="4" w:space="0" w:color="00000A"/>
              <w:left w:val="single" w:sz="4" w:space="0" w:color="00000A"/>
              <w:bottom w:val="single" w:sz="4" w:space="0" w:color="00000A"/>
              <w:right w:val="single" w:sz="4" w:space="0" w:color="00000A"/>
            </w:tcBorders>
            <w:shd w:val="clear" w:color="auto" w:fill="auto"/>
            <w:tcMar>
              <w:top w:w="0" w:type="dxa"/>
              <w:left w:w="57" w:type="dxa"/>
              <w:bottom w:w="0" w:type="dxa"/>
              <w:right w:w="57" w:type="dxa"/>
            </w:tcMar>
          </w:tcPr>
          <w:p w14:paraId="5A42A8B6" w14:textId="77777777" w:rsidR="007F47FD" w:rsidRPr="009E6200" w:rsidRDefault="005707A7" w:rsidP="007B46F5">
            <w:pPr>
              <w:pStyle w:val="SDText"/>
              <w:jc w:val="both"/>
              <w:rPr>
                <w:lang w:eastAsia="ru-RU"/>
              </w:rPr>
            </w:pPr>
            <w:r w:rsidRPr="009E6200">
              <w:rPr>
                <w:lang w:eastAsia="ru-RU"/>
              </w:rPr>
              <w:t>Авастин</w:t>
            </w:r>
            <w:r w:rsidR="00121FA5" w:rsidRPr="009E6200">
              <w:rPr>
                <w:rFonts w:cs="Times New Roman"/>
                <w:vertAlign w:val="superscript"/>
                <w:lang w:eastAsia="ru-RU"/>
              </w:rPr>
              <w:t>®</w:t>
            </w:r>
            <w:r w:rsidRPr="009E6200">
              <w:rPr>
                <w:lang w:eastAsia="ru-RU"/>
              </w:rPr>
              <w:t>, бевацизумаб, концентрат для приготовления раствора для инфузий, 400 мг / 16 мл или 100 мг / 4 мл</w:t>
            </w:r>
          </w:p>
        </w:tc>
      </w:tr>
      <w:tr w:rsidR="00F46B68" w:rsidRPr="009E6200" w14:paraId="3CB7E685" w14:textId="77777777" w:rsidTr="007B46F5">
        <w:trPr>
          <w:trHeight w:val="58"/>
        </w:trPr>
        <w:tc>
          <w:tcPr>
            <w:tcW w:w="1170" w:type="pct"/>
            <w:tcBorders>
              <w:top w:val="single" w:sz="4" w:space="0" w:color="00000A"/>
              <w:left w:val="single" w:sz="4" w:space="0" w:color="00000A"/>
              <w:bottom w:val="single" w:sz="4" w:space="0" w:color="00000A"/>
              <w:right w:val="single" w:sz="4" w:space="0" w:color="00000A"/>
            </w:tcBorders>
            <w:shd w:val="clear" w:color="auto" w:fill="auto"/>
            <w:tcMar>
              <w:top w:w="0" w:type="dxa"/>
              <w:left w:w="57" w:type="dxa"/>
              <w:bottom w:w="0" w:type="dxa"/>
              <w:right w:w="57" w:type="dxa"/>
            </w:tcMar>
          </w:tcPr>
          <w:p w14:paraId="5977B6C7" w14:textId="77777777" w:rsidR="007F47FD" w:rsidRPr="009E6200" w:rsidRDefault="007F47FD" w:rsidP="007B46F5">
            <w:pPr>
              <w:pStyle w:val="SDText"/>
              <w:jc w:val="both"/>
              <w:rPr>
                <w:lang w:eastAsia="ru-RU"/>
              </w:rPr>
            </w:pPr>
            <w:r w:rsidRPr="009E6200">
              <w:rPr>
                <w:b/>
                <w:lang w:eastAsia="ru-RU"/>
              </w:rPr>
              <w:t>Фаза клинического исследования</w:t>
            </w:r>
          </w:p>
        </w:tc>
        <w:tc>
          <w:tcPr>
            <w:tcW w:w="3830" w:type="pct"/>
            <w:tcBorders>
              <w:top w:val="single" w:sz="4" w:space="0" w:color="00000A"/>
              <w:left w:val="single" w:sz="4" w:space="0" w:color="00000A"/>
              <w:bottom w:val="single" w:sz="4" w:space="0" w:color="00000A"/>
              <w:right w:val="single" w:sz="4" w:space="0" w:color="00000A"/>
            </w:tcBorders>
            <w:shd w:val="clear" w:color="auto" w:fill="auto"/>
            <w:tcMar>
              <w:top w:w="0" w:type="dxa"/>
              <w:left w:w="57" w:type="dxa"/>
              <w:bottom w:w="0" w:type="dxa"/>
              <w:right w:w="57" w:type="dxa"/>
            </w:tcMar>
            <w:vAlign w:val="center"/>
          </w:tcPr>
          <w:p w14:paraId="60ABDFDC" w14:textId="7EED6EB9" w:rsidR="007F47FD" w:rsidRPr="009E6200" w:rsidRDefault="003D5061" w:rsidP="007B46F5">
            <w:pPr>
              <w:pStyle w:val="SDText"/>
              <w:jc w:val="both"/>
              <w:rPr>
                <w:lang w:eastAsia="ru-RU"/>
              </w:rPr>
            </w:pPr>
            <w:r w:rsidRPr="009E6200">
              <w:rPr>
                <w:lang w:eastAsia="ru-RU"/>
              </w:rPr>
              <w:fldChar w:fldCharType="begin"/>
            </w:r>
            <w:r w:rsidRPr="009E6200">
              <w:rPr>
                <w:lang w:eastAsia="ru-RU"/>
              </w:rPr>
              <w:instrText xml:space="preserve"> REF OLE_LINK_Phase \h </w:instrText>
            </w:r>
            <w:r w:rsidR="009E6200">
              <w:rPr>
                <w:lang w:eastAsia="ru-RU"/>
              </w:rPr>
              <w:instrText xml:space="preserve"> \* MERGEFORMAT </w:instrText>
            </w:r>
            <w:r w:rsidRPr="009E6200">
              <w:rPr>
                <w:lang w:eastAsia="ru-RU"/>
              </w:rPr>
            </w:r>
            <w:r w:rsidRPr="009E6200">
              <w:rPr>
                <w:lang w:eastAsia="ru-RU"/>
              </w:rPr>
              <w:fldChar w:fldCharType="separate"/>
            </w:r>
            <w:sdt>
              <w:sdtPr>
                <w:rPr>
                  <w:rFonts w:cs="Times New Roman"/>
                  <w:lang w:val="en-US" w:eastAsia="ru-RU"/>
                </w:rPr>
                <w:alias w:val="Фаза исследования"/>
                <w:tag w:val="Фаза исследования"/>
                <w:id w:val="567384929"/>
                <w:placeholder>
                  <w:docPart w:val="28418660935B49F89930004E428B1AEF"/>
                </w:placeholder>
              </w:sdtPr>
              <w:sdtEndPr/>
              <w:sdtContent>
                <w:r w:rsidR="005A436A" w:rsidRPr="009E6200">
                  <w:rPr>
                    <w:rFonts w:cs="Times New Roman"/>
                    <w:lang w:val="en-US" w:eastAsia="ru-RU"/>
                  </w:rPr>
                  <w:t>III</w:t>
                </w:r>
              </w:sdtContent>
            </w:sdt>
            <w:r w:rsidRPr="009E6200">
              <w:rPr>
                <w:lang w:eastAsia="ru-RU"/>
              </w:rPr>
              <w:fldChar w:fldCharType="end"/>
            </w:r>
          </w:p>
        </w:tc>
      </w:tr>
      <w:tr w:rsidR="00F46B68" w:rsidRPr="009E6200" w14:paraId="5C6F6831" w14:textId="77777777" w:rsidTr="007B46F5">
        <w:tc>
          <w:tcPr>
            <w:tcW w:w="1170" w:type="pct"/>
            <w:tcBorders>
              <w:top w:val="single" w:sz="4" w:space="0" w:color="00000A"/>
              <w:left w:val="single" w:sz="4" w:space="0" w:color="00000A"/>
              <w:bottom w:val="single" w:sz="4" w:space="0" w:color="00000A"/>
              <w:right w:val="single" w:sz="4" w:space="0" w:color="00000A"/>
            </w:tcBorders>
            <w:shd w:val="clear" w:color="auto" w:fill="auto"/>
            <w:tcMar>
              <w:top w:w="0" w:type="dxa"/>
              <w:left w:w="57" w:type="dxa"/>
              <w:bottom w:w="0" w:type="dxa"/>
              <w:right w:w="57" w:type="dxa"/>
            </w:tcMar>
          </w:tcPr>
          <w:p w14:paraId="76134FDC" w14:textId="77777777" w:rsidR="007F47FD" w:rsidRPr="009E6200" w:rsidRDefault="007F47FD" w:rsidP="007B46F5">
            <w:pPr>
              <w:pStyle w:val="SDText"/>
              <w:jc w:val="both"/>
              <w:rPr>
                <w:lang w:eastAsia="ru-RU"/>
              </w:rPr>
            </w:pPr>
            <w:r w:rsidRPr="009E6200">
              <w:rPr>
                <w:b/>
                <w:lang w:eastAsia="ru-RU"/>
              </w:rPr>
              <w:t>Сроки проведения исследования, количество исследовательских центров и пациентов</w:t>
            </w:r>
          </w:p>
        </w:tc>
        <w:tc>
          <w:tcPr>
            <w:tcW w:w="3830" w:type="pct"/>
            <w:tcBorders>
              <w:top w:val="single" w:sz="4" w:space="0" w:color="00000A"/>
              <w:left w:val="single" w:sz="4" w:space="0" w:color="00000A"/>
              <w:bottom w:val="single" w:sz="4" w:space="0" w:color="00000A"/>
              <w:right w:val="single" w:sz="4" w:space="0" w:color="00000A"/>
            </w:tcBorders>
            <w:shd w:val="clear" w:color="auto" w:fill="auto"/>
            <w:tcMar>
              <w:top w:w="0" w:type="dxa"/>
              <w:left w:w="57" w:type="dxa"/>
              <w:bottom w:w="0" w:type="dxa"/>
              <w:right w:w="57" w:type="dxa"/>
            </w:tcMar>
          </w:tcPr>
          <w:p w14:paraId="5DEB9911" w14:textId="77777777" w:rsidR="00400340" w:rsidRPr="009E6200" w:rsidRDefault="00400340" w:rsidP="007B46F5">
            <w:pPr>
              <w:pStyle w:val="SDText"/>
              <w:jc w:val="both"/>
              <w:rPr>
                <w:lang w:eastAsia="ru-RU"/>
              </w:rPr>
            </w:pPr>
            <w:r w:rsidRPr="009E6200">
              <w:rPr>
                <w:lang w:eastAsia="ru-RU"/>
              </w:rPr>
              <w:t>Ожидаемая продолжительность:</w:t>
            </w:r>
          </w:p>
          <w:p w14:paraId="325BFB9E" w14:textId="0BD44B03" w:rsidR="00400340" w:rsidRPr="009E6200" w:rsidRDefault="00400340" w:rsidP="007B46F5">
            <w:pPr>
              <w:pStyle w:val="SDText"/>
              <w:numPr>
                <w:ilvl w:val="0"/>
                <w:numId w:val="29"/>
              </w:numPr>
              <w:jc w:val="both"/>
              <w:rPr>
                <w:lang w:eastAsia="ru-RU"/>
              </w:rPr>
            </w:pPr>
            <w:r w:rsidRPr="009E6200">
              <w:rPr>
                <w:lang w:eastAsia="ru-RU"/>
              </w:rPr>
              <w:t>основной части исследования –</w:t>
            </w:r>
            <w:r w:rsidR="005A78EF">
              <w:rPr>
                <w:lang w:eastAsia="ru-RU"/>
              </w:rPr>
              <w:t xml:space="preserve"> 4</w:t>
            </w:r>
            <w:r w:rsidRPr="009E6200">
              <w:rPr>
                <w:lang w:eastAsia="ru-RU"/>
              </w:rPr>
              <w:t xml:space="preserve"> года, </w:t>
            </w:r>
          </w:p>
          <w:p w14:paraId="0DD09918" w14:textId="4A854B17" w:rsidR="00400340" w:rsidRPr="009E6200" w:rsidRDefault="00400340" w:rsidP="007B46F5">
            <w:pPr>
              <w:pStyle w:val="SDText"/>
              <w:numPr>
                <w:ilvl w:val="0"/>
                <w:numId w:val="29"/>
              </w:numPr>
              <w:jc w:val="both"/>
              <w:rPr>
                <w:lang w:eastAsia="ru-RU"/>
              </w:rPr>
            </w:pPr>
            <w:r w:rsidRPr="009E6200">
              <w:rPr>
                <w:lang w:eastAsia="ru-RU"/>
              </w:rPr>
              <w:t xml:space="preserve">продленной </w:t>
            </w:r>
            <w:r w:rsidR="007E0256" w:rsidRPr="009E6200">
              <w:rPr>
                <w:lang w:eastAsia="ru-RU"/>
              </w:rPr>
              <w:t xml:space="preserve">части </w:t>
            </w:r>
            <w:r w:rsidRPr="009E6200">
              <w:rPr>
                <w:lang w:eastAsia="ru-RU"/>
              </w:rPr>
              <w:t xml:space="preserve">исследования – до </w:t>
            </w:r>
            <w:r w:rsidR="004C3204" w:rsidRPr="009E6200">
              <w:rPr>
                <w:lang w:eastAsia="ru-RU"/>
              </w:rPr>
              <w:t>сохранения клинической пользы для пациентов от лечения бевацизумабом</w:t>
            </w:r>
            <w:r w:rsidRPr="009E6200">
              <w:rPr>
                <w:lang w:eastAsia="ru-RU"/>
              </w:rPr>
              <w:t>.</w:t>
            </w:r>
          </w:p>
          <w:p w14:paraId="736D04D0" w14:textId="77777777" w:rsidR="005C1730" w:rsidRPr="005C1730" w:rsidRDefault="00400340" w:rsidP="007B46F5">
            <w:pPr>
              <w:pStyle w:val="SDText"/>
              <w:jc w:val="both"/>
              <w:rPr>
                <w:rFonts w:eastAsia="Times New Roman" w:cs="Times New Roman"/>
                <w:lang w:eastAsia="ru-RU"/>
              </w:rPr>
            </w:pPr>
            <w:r w:rsidRPr="009E6200">
              <w:rPr>
                <w:lang w:eastAsia="ru-RU"/>
              </w:rPr>
              <w:t xml:space="preserve">Продолжительность участия в основной части исследовании каждого пациента – не более </w:t>
            </w:r>
            <w:r w:rsidR="0079300E" w:rsidRPr="009E6200">
              <w:rPr>
                <w:lang w:eastAsia="ru-RU"/>
              </w:rPr>
              <w:t xml:space="preserve">6 </w:t>
            </w:r>
            <w:r w:rsidRPr="009E6200">
              <w:rPr>
                <w:lang w:eastAsia="ru-RU"/>
              </w:rPr>
              <w:t xml:space="preserve">месяцев от момента рандомизации. В случае, если пациенту после </w:t>
            </w:r>
            <w:r w:rsidR="0079300E" w:rsidRPr="009E6200">
              <w:rPr>
                <w:lang w:eastAsia="ru-RU"/>
              </w:rPr>
              <w:t>6 месяцев</w:t>
            </w:r>
            <w:r w:rsidRPr="009E6200">
              <w:rPr>
                <w:lang w:eastAsia="ru-RU"/>
              </w:rPr>
              <w:t xml:space="preserve"> лечения все еще показан бевацизумаб, пациент</w:t>
            </w:r>
            <w:r w:rsidR="005E5047" w:rsidRPr="009E6200">
              <w:rPr>
                <w:lang w:eastAsia="ru-RU"/>
              </w:rPr>
              <w:t xml:space="preserve"> переходит </w:t>
            </w:r>
            <w:r w:rsidRPr="009E6200">
              <w:rPr>
                <w:lang w:eastAsia="ru-RU"/>
              </w:rPr>
              <w:t xml:space="preserve">в продленную </w:t>
            </w:r>
            <w:r w:rsidR="007E0256" w:rsidRPr="009E6200">
              <w:rPr>
                <w:lang w:eastAsia="ru-RU"/>
              </w:rPr>
              <w:t xml:space="preserve">часть </w:t>
            </w:r>
            <w:r w:rsidR="00367CD0" w:rsidRPr="009E6200">
              <w:rPr>
                <w:lang w:eastAsia="ru-RU"/>
              </w:rPr>
              <w:t xml:space="preserve">(еще 6 месяцев) и далее в период последующего наблюдения </w:t>
            </w:r>
            <w:r w:rsidR="003316F4" w:rsidRPr="009E6200">
              <w:rPr>
                <w:lang w:eastAsia="ru-RU"/>
              </w:rPr>
              <w:t xml:space="preserve">и терапии </w:t>
            </w:r>
            <w:r w:rsidR="00367CD0" w:rsidRPr="009E6200">
              <w:rPr>
                <w:lang w:eastAsia="ru-RU"/>
              </w:rPr>
              <w:t>(визиты 19+)</w:t>
            </w:r>
            <w:r w:rsidR="00B36C7E" w:rsidRPr="009E6200">
              <w:rPr>
                <w:lang w:eastAsia="ru-RU"/>
              </w:rPr>
              <w:t xml:space="preserve"> –</w:t>
            </w:r>
            <w:r w:rsidR="00367CD0" w:rsidRPr="009E6200">
              <w:rPr>
                <w:lang w:eastAsia="ru-RU"/>
              </w:rPr>
              <w:t xml:space="preserve"> </w:t>
            </w:r>
            <w:r w:rsidRPr="009E6200">
              <w:rPr>
                <w:lang w:eastAsia="ru-RU"/>
              </w:rPr>
              <w:t>монотерапии</w:t>
            </w:r>
            <w:r w:rsidR="00AC69CD" w:rsidRPr="009E6200">
              <w:rPr>
                <w:lang w:eastAsia="ru-RU"/>
              </w:rPr>
              <w:t xml:space="preserve"> исследуемым препаратом или препаратом сравнения в соответствии с рандомизационным кодом в заслепленном</w:t>
            </w:r>
            <w:r w:rsidR="001310EA" w:rsidRPr="009E6200">
              <w:rPr>
                <w:lang w:eastAsia="ru-RU"/>
              </w:rPr>
              <w:t xml:space="preserve"> (до получения результатов </w:t>
            </w:r>
            <w:r w:rsidR="00354F85" w:rsidRPr="009E6200">
              <w:rPr>
                <w:lang w:eastAsia="ru-RU"/>
              </w:rPr>
              <w:t>основной части</w:t>
            </w:r>
            <w:r w:rsidR="001310EA" w:rsidRPr="009E6200">
              <w:rPr>
                <w:lang w:eastAsia="ru-RU"/>
              </w:rPr>
              <w:t xml:space="preserve"> исследования)</w:t>
            </w:r>
            <w:r w:rsidR="00AC69CD" w:rsidRPr="009E6200">
              <w:rPr>
                <w:lang w:eastAsia="ru-RU"/>
              </w:rPr>
              <w:t xml:space="preserve"> режиме</w:t>
            </w:r>
            <w:r w:rsidRPr="009E6200">
              <w:rPr>
                <w:lang w:eastAsia="ru-RU"/>
              </w:rPr>
              <w:t xml:space="preserve"> до прогрессирования заболевания (в соответствии с критериями </w:t>
            </w:r>
            <w:r w:rsidRPr="009E6200">
              <w:t xml:space="preserve">ответа солидных опухолей  [response evaluation criteria in solid tumors, </w:t>
            </w:r>
            <w:r w:rsidRPr="009E6200">
              <w:rPr>
                <w:lang w:eastAsia="ru-RU"/>
              </w:rPr>
              <w:t xml:space="preserve"> </w:t>
            </w:r>
            <w:r w:rsidRPr="009E6200">
              <w:rPr>
                <w:lang w:val="en-US" w:eastAsia="ru-RU"/>
              </w:rPr>
              <w:t>RECIST</w:t>
            </w:r>
            <w:r w:rsidRPr="009E6200">
              <w:rPr>
                <w:lang w:eastAsia="ru-RU"/>
              </w:rPr>
              <w:t xml:space="preserve"> версии 1.1]</w:t>
            </w:r>
            <w:r w:rsidR="00AC69CD" w:rsidRPr="009E6200">
              <w:rPr>
                <w:lang w:eastAsia="ru-RU"/>
              </w:rPr>
              <w:t xml:space="preserve"> и/или</w:t>
            </w:r>
            <w:r w:rsidRPr="009E6200">
              <w:rPr>
                <w:lang w:eastAsia="ru-RU"/>
              </w:rPr>
              <w:t xml:space="preserve"> развития неприемлемой токсичности</w:t>
            </w:r>
            <w:r w:rsidR="00AC69CD" w:rsidRPr="009E6200">
              <w:rPr>
                <w:lang w:eastAsia="ru-RU"/>
              </w:rPr>
              <w:t xml:space="preserve"> и/или </w:t>
            </w:r>
            <w:r w:rsidRPr="009E6200">
              <w:rPr>
                <w:lang w:eastAsia="ru-RU"/>
              </w:rPr>
              <w:t>решения исследователя о необходимости выведения пациента из исследования в интересах пациента</w:t>
            </w:r>
            <w:r w:rsidR="00AC69CD" w:rsidRPr="009E6200">
              <w:rPr>
                <w:lang w:eastAsia="ru-RU"/>
              </w:rPr>
              <w:t xml:space="preserve"> и/или</w:t>
            </w:r>
            <w:r w:rsidRPr="009E6200">
              <w:rPr>
                <w:lang w:eastAsia="ru-RU"/>
              </w:rPr>
              <w:t xml:space="preserve"> отзыва информированного согласия или смерти пациента, в зависимости от того, что произойдет раньше.</w:t>
            </w:r>
            <w:r w:rsidR="005E5047" w:rsidRPr="009E6200">
              <w:rPr>
                <w:lang w:eastAsia="ru-RU"/>
              </w:rPr>
              <w:t xml:space="preserve"> </w:t>
            </w:r>
            <w:r w:rsidR="00422CC3" w:rsidRPr="009E6200">
              <w:rPr>
                <w:lang w:eastAsia="ru-RU"/>
              </w:rPr>
              <w:t>В</w:t>
            </w:r>
            <w:r w:rsidR="005E5047" w:rsidRPr="009E6200">
              <w:rPr>
                <w:lang w:eastAsia="ru-RU"/>
              </w:rPr>
              <w:t xml:space="preserve"> случае доказательства эквивалентности исследуемого препарата препарату сравнения </w:t>
            </w:r>
            <w:r w:rsidR="00422CC3" w:rsidRPr="009E6200">
              <w:rPr>
                <w:lang w:eastAsia="ru-RU"/>
              </w:rPr>
              <w:t xml:space="preserve">по результатам основной </w:t>
            </w:r>
            <w:r w:rsidR="007E0256" w:rsidRPr="009E6200">
              <w:rPr>
                <w:lang w:eastAsia="ru-RU"/>
              </w:rPr>
              <w:t xml:space="preserve">части </w:t>
            </w:r>
            <w:r w:rsidR="00422CC3" w:rsidRPr="009E6200">
              <w:rPr>
                <w:lang w:eastAsia="ru-RU"/>
              </w:rPr>
              <w:t xml:space="preserve">исследования, в рамках продленной </w:t>
            </w:r>
            <w:r w:rsidR="007E0256" w:rsidRPr="009E6200">
              <w:rPr>
                <w:lang w:eastAsia="ru-RU"/>
              </w:rPr>
              <w:t>части</w:t>
            </w:r>
            <w:r w:rsidR="00367CD0" w:rsidRPr="009E6200">
              <w:rPr>
                <w:lang w:eastAsia="ru-RU"/>
              </w:rPr>
              <w:t xml:space="preserve"> либо после ее завершения (визи</w:t>
            </w:r>
            <w:r w:rsidR="00092D27">
              <w:rPr>
                <w:lang w:eastAsia="ru-RU"/>
              </w:rPr>
              <w:t>т</w:t>
            </w:r>
            <w:r w:rsidR="00367CD0" w:rsidRPr="009E6200">
              <w:rPr>
                <w:lang w:eastAsia="ru-RU"/>
              </w:rPr>
              <w:t>ы 19+)</w:t>
            </w:r>
            <w:r w:rsidR="007E0256" w:rsidRPr="009E6200">
              <w:rPr>
                <w:lang w:eastAsia="ru-RU"/>
              </w:rPr>
              <w:t xml:space="preserve"> </w:t>
            </w:r>
            <w:r w:rsidR="005E5047" w:rsidRPr="009E6200">
              <w:rPr>
                <w:lang w:eastAsia="ru-RU"/>
              </w:rPr>
              <w:t>исследователь и пациент будут расслеплены</w:t>
            </w:r>
            <w:r w:rsidR="00422CC3" w:rsidRPr="009E6200">
              <w:rPr>
                <w:lang w:eastAsia="ru-RU"/>
              </w:rPr>
              <w:t>,</w:t>
            </w:r>
            <w:r w:rsidR="005E5047" w:rsidRPr="009E6200">
              <w:rPr>
                <w:lang w:eastAsia="ru-RU"/>
              </w:rPr>
              <w:t xml:space="preserve"> пациентам, получающим препарат сравнения Авастин</w:t>
            </w:r>
            <w:r w:rsidR="005E5047" w:rsidRPr="009E6200">
              <w:rPr>
                <w:rFonts w:cs="Times New Roman"/>
                <w:vertAlign w:val="superscript"/>
                <w:lang w:eastAsia="ru-RU"/>
              </w:rPr>
              <w:t>®</w:t>
            </w:r>
            <w:r w:rsidR="001F22BE" w:rsidRPr="009E6200">
              <w:rPr>
                <w:lang w:eastAsia="ru-RU"/>
              </w:rPr>
              <w:t xml:space="preserve">, </w:t>
            </w:r>
            <w:r w:rsidR="005E5047" w:rsidRPr="009E6200">
              <w:rPr>
                <w:lang w:eastAsia="ru-RU"/>
              </w:rPr>
              <w:t xml:space="preserve">будет предложено продолжить лечение препаратом RPH-001. В случае отказа от перевода на лечение препаратом RPH-001 пациент </w:t>
            </w:r>
            <w:r w:rsidR="00EF06A8" w:rsidRPr="009E6200">
              <w:rPr>
                <w:lang w:eastAsia="ru-RU"/>
              </w:rPr>
              <w:t>завершает терапию в рамках исследования</w:t>
            </w:r>
            <w:r w:rsidR="005571CA" w:rsidRPr="009E6200">
              <w:rPr>
                <w:lang w:eastAsia="ru-RU"/>
              </w:rPr>
              <w:t xml:space="preserve">, однако для оценки дожития с пациентом будет поддерживаться </w:t>
            </w:r>
            <w:r w:rsidR="005C1730" w:rsidRPr="005C1730">
              <w:rPr>
                <w:rFonts w:eastAsia="Times New Roman" w:cs="Times New Roman"/>
                <w:lang w:eastAsia="ru-RU"/>
              </w:rPr>
              <w:t>телефонный контакт каждые 2 месяца (±14 дней) до 12 месяцев от момента рандомизации.</w:t>
            </w:r>
          </w:p>
          <w:p w14:paraId="5CC2C44D" w14:textId="5BBB4CB5" w:rsidR="00687AA2" w:rsidRPr="009E6200" w:rsidRDefault="001E6B83" w:rsidP="007B46F5">
            <w:pPr>
              <w:pStyle w:val="SDText"/>
              <w:jc w:val="both"/>
            </w:pPr>
            <w:r w:rsidRPr="009E6200">
              <w:rPr>
                <w:lang w:eastAsia="ru-RU"/>
              </w:rPr>
              <w:lastRenderedPageBreak/>
              <w:t xml:space="preserve">В случае, если эквивалентность исследуемого препарата препарату сравнения по результатам основной </w:t>
            </w:r>
            <w:r w:rsidR="007E0256" w:rsidRPr="009E6200">
              <w:rPr>
                <w:lang w:eastAsia="ru-RU"/>
              </w:rPr>
              <w:t xml:space="preserve">части </w:t>
            </w:r>
            <w:r w:rsidRPr="009E6200">
              <w:rPr>
                <w:lang w:eastAsia="ru-RU"/>
              </w:rPr>
              <w:t>исследования не будет доказана</w:t>
            </w:r>
            <w:r w:rsidR="00B53660" w:rsidRPr="009E6200">
              <w:rPr>
                <w:lang w:eastAsia="ru-RU"/>
              </w:rPr>
              <w:t>, а также после исключения пациента из исследования по другим причинам</w:t>
            </w:r>
            <w:r w:rsidRPr="009E6200">
              <w:rPr>
                <w:lang w:eastAsia="ru-RU"/>
              </w:rPr>
              <w:t>,</w:t>
            </w:r>
            <w:r w:rsidR="00EA027B" w:rsidRPr="009E6200">
              <w:rPr>
                <w:lang w:eastAsia="ru-RU"/>
              </w:rPr>
              <w:t xml:space="preserve"> </w:t>
            </w:r>
            <w:r w:rsidRPr="009E6200">
              <w:rPr>
                <w:lang w:eastAsia="ru-RU"/>
              </w:rPr>
              <w:t xml:space="preserve">пациенты будут </w:t>
            </w:r>
            <w:r w:rsidR="00687AA2" w:rsidRPr="009E6200">
              <w:rPr>
                <w:lang w:eastAsia="ru-RU"/>
              </w:rPr>
              <w:t xml:space="preserve">получать </w:t>
            </w:r>
            <w:r w:rsidR="00AA079C" w:rsidRPr="009E6200">
              <w:rPr>
                <w:lang w:eastAsia="ru-RU"/>
              </w:rPr>
              <w:t xml:space="preserve">стандартную терапию </w:t>
            </w:r>
            <w:r w:rsidR="00AA079C" w:rsidRPr="009E6200">
              <w:t>зарегистрированными препаратами по обеспечению через систему здравоохранения.</w:t>
            </w:r>
          </w:p>
          <w:p w14:paraId="36F193EB" w14:textId="1ACA861B" w:rsidR="00400340" w:rsidRPr="009E6200" w:rsidRDefault="00400340" w:rsidP="007B46F5">
            <w:pPr>
              <w:pStyle w:val="SDText"/>
              <w:jc w:val="both"/>
              <w:rPr>
                <w:lang w:eastAsia="ru-RU"/>
              </w:rPr>
            </w:pPr>
            <w:r w:rsidRPr="009E6200">
              <w:rPr>
                <w:lang w:eastAsia="ru-RU"/>
              </w:rPr>
              <w:t xml:space="preserve">Количество исследовательских центров: </w:t>
            </w:r>
            <w:r w:rsidR="005A78EF">
              <w:rPr>
                <w:lang w:eastAsia="ru-RU"/>
              </w:rPr>
              <w:t>до 5</w:t>
            </w:r>
            <w:r w:rsidR="00C63074" w:rsidRPr="009E6200">
              <w:rPr>
                <w:lang w:eastAsia="ru-RU"/>
              </w:rPr>
              <w:t>0.</w:t>
            </w:r>
          </w:p>
          <w:p w14:paraId="6CC45EF5" w14:textId="782909EA" w:rsidR="00400340" w:rsidRPr="009E6200" w:rsidRDefault="00400340" w:rsidP="007B46F5">
            <w:pPr>
              <w:pStyle w:val="SDText"/>
              <w:jc w:val="both"/>
              <w:rPr>
                <w:lang w:eastAsia="ru-RU"/>
              </w:rPr>
            </w:pPr>
            <w:r w:rsidRPr="009E6200">
              <w:rPr>
                <w:lang w:eastAsia="ru-RU"/>
              </w:rPr>
              <w:t>Количество</w:t>
            </w:r>
            <w:r w:rsidR="005A78EF">
              <w:rPr>
                <w:lang w:eastAsia="ru-RU"/>
              </w:rPr>
              <w:t xml:space="preserve"> скринированных пациентов: до 25</w:t>
            </w:r>
            <w:r w:rsidRPr="009E6200">
              <w:rPr>
                <w:lang w:eastAsia="ru-RU"/>
              </w:rPr>
              <w:t xml:space="preserve">0 </w:t>
            </w:r>
          </w:p>
          <w:p w14:paraId="447BCCDF" w14:textId="77777777" w:rsidR="007F47FD" w:rsidRPr="009E6200" w:rsidRDefault="00400340" w:rsidP="007B46F5">
            <w:pPr>
              <w:pStyle w:val="SDText"/>
              <w:jc w:val="both"/>
              <w:rPr>
                <w:lang w:eastAsia="ru-RU"/>
              </w:rPr>
            </w:pPr>
            <w:r w:rsidRPr="009E6200">
              <w:rPr>
                <w:lang w:eastAsia="ru-RU"/>
              </w:rPr>
              <w:t>Количество рандомизированных пациентов: 136</w:t>
            </w:r>
          </w:p>
        </w:tc>
      </w:tr>
      <w:tr w:rsidR="00F46B68" w:rsidRPr="009E6200" w14:paraId="76E923BA" w14:textId="77777777" w:rsidTr="007B46F5">
        <w:tc>
          <w:tcPr>
            <w:tcW w:w="1170" w:type="pct"/>
            <w:tcBorders>
              <w:top w:val="single" w:sz="4" w:space="0" w:color="00000A"/>
              <w:left w:val="single" w:sz="4" w:space="0" w:color="00000A"/>
              <w:bottom w:val="single" w:sz="4" w:space="0" w:color="00000A"/>
              <w:right w:val="single" w:sz="4" w:space="0" w:color="00000A"/>
            </w:tcBorders>
            <w:shd w:val="clear" w:color="auto" w:fill="auto"/>
            <w:tcMar>
              <w:top w:w="0" w:type="dxa"/>
              <w:left w:w="57" w:type="dxa"/>
              <w:bottom w:w="0" w:type="dxa"/>
              <w:right w:w="57" w:type="dxa"/>
            </w:tcMar>
          </w:tcPr>
          <w:p w14:paraId="38FD1032" w14:textId="77777777" w:rsidR="007F47FD" w:rsidRPr="009E6200" w:rsidRDefault="007F47FD" w:rsidP="007B46F5">
            <w:pPr>
              <w:pStyle w:val="SDText"/>
              <w:jc w:val="both"/>
              <w:rPr>
                <w:b/>
                <w:lang w:eastAsia="ru-RU"/>
              </w:rPr>
            </w:pPr>
            <w:r w:rsidRPr="009E6200">
              <w:rPr>
                <w:b/>
                <w:lang w:eastAsia="ru-RU"/>
              </w:rPr>
              <w:lastRenderedPageBreak/>
              <w:t>Цель исследования</w:t>
            </w:r>
          </w:p>
        </w:tc>
        <w:bookmarkStart w:id="17" w:name="OLE_LINK_Celi" w:displacedByCustomXml="next"/>
        <w:sdt>
          <w:sdtPr>
            <w:rPr>
              <w:lang w:eastAsia="ru-RU"/>
            </w:rPr>
            <w:alias w:val="Цель исследования"/>
            <w:tag w:val="Цель исследования"/>
            <w:id w:val="1571769997"/>
            <w:placeholder>
              <w:docPart w:val="DefaultPlaceholder_-1854013440"/>
            </w:placeholder>
          </w:sdtPr>
          <w:sdtEndPr/>
          <w:sdtContent>
            <w:tc>
              <w:tcPr>
                <w:tcW w:w="3830" w:type="pct"/>
                <w:tcBorders>
                  <w:top w:val="single" w:sz="4" w:space="0" w:color="00000A"/>
                  <w:left w:val="single" w:sz="4" w:space="0" w:color="00000A"/>
                  <w:bottom w:val="single" w:sz="4" w:space="0" w:color="00000A"/>
                  <w:right w:val="single" w:sz="4" w:space="0" w:color="00000A"/>
                </w:tcBorders>
                <w:shd w:val="clear" w:color="auto" w:fill="auto"/>
                <w:tcMar>
                  <w:top w:w="0" w:type="dxa"/>
                  <w:left w:w="57" w:type="dxa"/>
                  <w:bottom w:w="0" w:type="dxa"/>
                  <w:right w:w="57" w:type="dxa"/>
                </w:tcMar>
              </w:tcPr>
              <w:p w14:paraId="5F631352" w14:textId="19F46DE8" w:rsidR="007F47FD" w:rsidRPr="009E6200" w:rsidRDefault="00E767EF" w:rsidP="007B46F5">
                <w:pPr>
                  <w:pStyle w:val="SDText"/>
                  <w:jc w:val="both"/>
                  <w:rPr>
                    <w:lang w:eastAsia="ru-RU"/>
                  </w:rPr>
                </w:pPr>
                <w:sdt>
                  <w:sdtPr>
                    <w:rPr>
                      <w:lang w:eastAsia="ru-RU"/>
                    </w:rPr>
                    <w:alias w:val="Цель исследования"/>
                    <w:tag w:val="Цель исследования"/>
                    <w:id w:val="-470130469"/>
                    <w:placeholder>
                      <w:docPart w:val="B4173BCBB01247EEB92B939F9F8114A2"/>
                    </w:placeholder>
                  </w:sdtPr>
                  <w:sdtEndPr/>
                  <w:sdtContent>
                    <w:sdt>
                      <w:sdtPr>
                        <w:rPr>
                          <w:lang w:eastAsia="ru-RU"/>
                        </w:rPr>
                        <w:alias w:val="Цель исследования"/>
                        <w:tag w:val="Цель исследования"/>
                        <w:id w:val="-1372460840"/>
                        <w:placeholder>
                          <w:docPart w:val="570DFC6CBD844040AC0102022BE69013"/>
                        </w:placeholder>
                      </w:sdtPr>
                      <w:sdtEndPr/>
                      <w:sdtContent>
                        <w:r w:rsidR="00415972" w:rsidRPr="009E6200">
                          <w:rPr>
                            <w:lang w:eastAsia="ru-RU"/>
                          </w:rPr>
                          <w:t xml:space="preserve">Оценка эффективности и безопасности препарата </w:t>
                        </w:r>
                        <w:r w:rsidR="00415972" w:rsidRPr="009E6200">
                          <w:t>RPH-001</w:t>
                        </w:r>
                        <w:r w:rsidR="00586B3E" w:rsidRPr="009E6200">
                          <w:rPr>
                            <w:lang w:eastAsia="ru-RU"/>
                          </w:rPr>
                          <w:t xml:space="preserve"> в комбинации с карбоплатином и паклитакселом</w:t>
                        </w:r>
                        <w:r w:rsidR="00415972" w:rsidRPr="009E6200">
                          <w:t xml:space="preserve"> </w:t>
                        </w:r>
                        <w:r w:rsidR="0024542E">
                          <w:rPr>
                            <w:lang w:eastAsia="ru-RU"/>
                          </w:rPr>
                          <w:t>в сравнении с Авастин</w:t>
                        </w:r>
                        <w:r w:rsidR="00121FA5" w:rsidRPr="009E6200">
                          <w:rPr>
                            <w:vertAlign w:val="superscript"/>
                            <w:lang w:eastAsia="ru-RU"/>
                          </w:rPr>
                          <w:t>®</w:t>
                        </w:r>
                        <w:r w:rsidR="00415972" w:rsidRPr="009E6200">
                          <w:rPr>
                            <w:lang w:eastAsia="ru-RU"/>
                          </w:rPr>
                          <w:t xml:space="preserve"> в комбинации с карбоплатином и паклитакселом у пациентов с неплоскоклеточным немелкоклеточным раком легкого (НМРЛ)</w:t>
                        </w:r>
                        <w:r w:rsidR="00C25232" w:rsidRPr="009E6200">
                          <w:rPr>
                            <w:lang w:eastAsia="ru-RU"/>
                          </w:rPr>
                          <w:t xml:space="preserve"> </w:t>
                        </w:r>
                      </w:sdtContent>
                    </w:sdt>
                  </w:sdtContent>
                </w:sdt>
                <w:r w:rsidR="00C25232" w:rsidRPr="009E6200">
                  <w:t xml:space="preserve"> </w:t>
                </w:r>
                <w:r w:rsidR="00C25232" w:rsidRPr="009E6200">
                  <w:rPr>
                    <w:lang w:eastAsia="ru-RU"/>
                  </w:rPr>
                  <w:t>стадии IIIB/IV</w:t>
                </w:r>
              </w:p>
            </w:tc>
          </w:sdtContent>
        </w:sdt>
        <w:bookmarkEnd w:id="17" w:displacedByCustomXml="prev"/>
      </w:tr>
      <w:tr w:rsidR="00F46B68" w:rsidRPr="009E6200" w14:paraId="4F3D01A5" w14:textId="77777777" w:rsidTr="007B46F5">
        <w:tc>
          <w:tcPr>
            <w:tcW w:w="1170" w:type="pct"/>
            <w:tcBorders>
              <w:top w:val="single" w:sz="4" w:space="0" w:color="00000A"/>
              <w:left w:val="single" w:sz="4" w:space="0" w:color="00000A"/>
              <w:bottom w:val="single" w:sz="4" w:space="0" w:color="00000A"/>
              <w:right w:val="single" w:sz="4" w:space="0" w:color="00000A"/>
            </w:tcBorders>
            <w:shd w:val="clear" w:color="auto" w:fill="auto"/>
            <w:tcMar>
              <w:top w:w="0" w:type="dxa"/>
              <w:left w:w="57" w:type="dxa"/>
              <w:bottom w:w="0" w:type="dxa"/>
              <w:right w:w="57" w:type="dxa"/>
            </w:tcMar>
          </w:tcPr>
          <w:p w14:paraId="690C88D5" w14:textId="77777777" w:rsidR="007F47FD" w:rsidRPr="009E6200" w:rsidRDefault="007F47FD" w:rsidP="007B46F5">
            <w:pPr>
              <w:pStyle w:val="SDText"/>
              <w:jc w:val="both"/>
              <w:rPr>
                <w:lang w:eastAsia="ru-RU"/>
              </w:rPr>
            </w:pPr>
            <w:r w:rsidRPr="009E6200">
              <w:rPr>
                <w:b/>
                <w:lang w:eastAsia="ru-RU"/>
              </w:rPr>
              <w:t>Задачи исследования</w:t>
            </w:r>
          </w:p>
        </w:tc>
        <w:bookmarkStart w:id="18" w:name="OLE_LINK_Zadachi" w:displacedByCustomXml="next"/>
        <w:sdt>
          <w:sdtPr>
            <w:rPr>
              <w:lang w:eastAsia="ru-RU"/>
            </w:rPr>
            <w:alias w:val="Задачи исследования"/>
            <w:tag w:val="Задачи исследования"/>
            <w:id w:val="-629392640"/>
            <w:placeholder>
              <w:docPart w:val="DefaultPlaceholder_-1854013440"/>
            </w:placeholder>
          </w:sdtPr>
          <w:sdtEndPr/>
          <w:sdtContent>
            <w:tc>
              <w:tcPr>
                <w:tcW w:w="3830" w:type="pct"/>
                <w:tcBorders>
                  <w:top w:val="single" w:sz="4" w:space="0" w:color="00000A"/>
                  <w:left w:val="single" w:sz="4" w:space="0" w:color="00000A"/>
                  <w:bottom w:val="single" w:sz="4" w:space="0" w:color="00000A"/>
                  <w:right w:val="single" w:sz="4" w:space="0" w:color="00000A"/>
                </w:tcBorders>
                <w:shd w:val="clear" w:color="auto" w:fill="auto"/>
                <w:tcMar>
                  <w:top w:w="0" w:type="dxa"/>
                  <w:left w:w="57" w:type="dxa"/>
                  <w:bottom w:w="0" w:type="dxa"/>
                  <w:right w:w="57" w:type="dxa"/>
                </w:tcMar>
              </w:tcPr>
              <w:p w14:paraId="20EA53BC" w14:textId="46E70CDE" w:rsidR="009C4D73" w:rsidRPr="009E6200" w:rsidRDefault="003B6456" w:rsidP="007B46F5">
                <w:pPr>
                  <w:pStyle w:val="SDText"/>
                  <w:jc w:val="both"/>
                  <w:rPr>
                    <w:lang w:eastAsia="ru-RU"/>
                  </w:rPr>
                </w:pPr>
                <w:r w:rsidRPr="009E6200">
                  <w:fldChar w:fldCharType="begin"/>
                </w:r>
                <w:r w:rsidRPr="009E6200">
                  <w:instrText xml:space="preserve"> </w:instrText>
                </w:r>
                <w:r w:rsidRPr="009E6200">
                  <w:rPr>
                    <w:lang w:val="en-US"/>
                  </w:rPr>
                  <w:instrText>SEQ</w:instrText>
                </w:r>
                <w:r w:rsidRPr="009E6200">
                  <w:instrText xml:space="preserve"> </w:instrText>
                </w:r>
                <w:r w:rsidRPr="009E6200">
                  <w:rPr>
                    <w:lang w:val="en-US"/>
                  </w:rPr>
                  <w:instrText>Objectives</w:instrText>
                </w:r>
                <w:r w:rsidRPr="009E6200">
                  <w:instrText xml:space="preserve"> \* </w:instrText>
                </w:r>
                <w:r w:rsidRPr="009E6200">
                  <w:rPr>
                    <w:lang w:val="en-US"/>
                  </w:rPr>
                  <w:instrText>MERGEFORMAT</w:instrText>
                </w:r>
                <w:r w:rsidRPr="009E6200">
                  <w:instrText xml:space="preserve"> </w:instrText>
                </w:r>
                <w:r w:rsidRPr="009E6200">
                  <w:fldChar w:fldCharType="separate"/>
                </w:r>
                <w:r w:rsidR="005A436A" w:rsidRPr="005A436A">
                  <w:rPr>
                    <w:noProof/>
                  </w:rPr>
                  <w:t>1</w:t>
                </w:r>
                <w:r w:rsidRPr="009E6200">
                  <w:fldChar w:fldCharType="end"/>
                </w:r>
                <w:r w:rsidRPr="009E6200">
                  <w:t>.</w:t>
                </w:r>
                <w:r w:rsidR="00DA24D0" w:rsidRPr="009E6200">
                  <w:t xml:space="preserve"> </w:t>
                </w:r>
                <w:r w:rsidR="009C4D73" w:rsidRPr="009E6200">
                  <w:rPr>
                    <w:rFonts w:eastAsia="Times New Roman"/>
                    <w:szCs w:val="20"/>
                    <w:lang w:eastAsia="ru-RU"/>
                  </w:rPr>
                  <w:t>Оценка эффективности препарата RPH-001 в комбинации с карбоплатином и пакли</w:t>
                </w:r>
                <w:r w:rsidR="0024542E">
                  <w:rPr>
                    <w:rFonts w:eastAsia="Times New Roman"/>
                    <w:szCs w:val="20"/>
                    <w:lang w:eastAsia="ru-RU"/>
                  </w:rPr>
                  <w:t>такселом в сравнении с Авастин</w:t>
                </w:r>
                <w:r w:rsidR="009C4D73" w:rsidRPr="009E6200">
                  <w:rPr>
                    <w:rFonts w:eastAsia="Times New Roman"/>
                    <w:szCs w:val="20"/>
                    <w:vertAlign w:val="superscript"/>
                    <w:lang w:eastAsia="ru-RU"/>
                  </w:rPr>
                  <w:t>®</w:t>
                </w:r>
                <w:r w:rsidR="009C4D73" w:rsidRPr="009E6200">
                  <w:rPr>
                    <w:rFonts w:eastAsia="Times New Roman"/>
                    <w:szCs w:val="20"/>
                    <w:lang w:eastAsia="ru-RU"/>
                  </w:rPr>
                  <w:t xml:space="preserve"> в комбинации с карбоплатином и паклитакселом у пациентов с неплоскоклеточным </w:t>
                </w:r>
                <w:r w:rsidR="009C4D73" w:rsidRPr="009E6200">
                  <w:rPr>
                    <w:lang w:eastAsia="ru-RU"/>
                  </w:rPr>
                  <w:t xml:space="preserve">немелкоклеточным раком легкого (НМРЛ) </w:t>
                </w:r>
                <w:r w:rsidR="009C4D73" w:rsidRPr="009E6200">
                  <w:t xml:space="preserve"> </w:t>
                </w:r>
                <w:r w:rsidR="009C4D73" w:rsidRPr="009E6200">
                  <w:rPr>
                    <w:lang w:eastAsia="ru-RU"/>
                  </w:rPr>
                  <w:t>стадии IIIB/IV</w:t>
                </w:r>
                <w:r w:rsidR="00687AA2" w:rsidRPr="009E6200">
                  <w:rPr>
                    <w:lang w:eastAsia="ru-RU"/>
                  </w:rPr>
                  <w:t>;</w:t>
                </w:r>
              </w:p>
              <w:p w14:paraId="589B0C8A" w14:textId="4F2B54AA" w:rsidR="007F47FD" w:rsidRPr="009E6200" w:rsidRDefault="003B6456" w:rsidP="007B46F5">
                <w:pPr>
                  <w:pStyle w:val="SDText"/>
                  <w:jc w:val="both"/>
                  <w:rPr>
                    <w:lang w:eastAsia="ru-RU"/>
                  </w:rPr>
                </w:pPr>
                <w:r w:rsidRPr="009E6200">
                  <w:fldChar w:fldCharType="begin"/>
                </w:r>
                <w:r w:rsidRPr="009E6200">
                  <w:instrText xml:space="preserve"> </w:instrText>
                </w:r>
                <w:r w:rsidRPr="009E6200">
                  <w:rPr>
                    <w:lang w:val="en-US"/>
                  </w:rPr>
                  <w:instrText>SEQ</w:instrText>
                </w:r>
                <w:r w:rsidRPr="009E6200">
                  <w:instrText xml:space="preserve"> </w:instrText>
                </w:r>
                <w:r w:rsidRPr="009E6200">
                  <w:rPr>
                    <w:lang w:val="en-US"/>
                  </w:rPr>
                  <w:instrText>Objectives</w:instrText>
                </w:r>
                <w:r w:rsidRPr="009E6200">
                  <w:instrText xml:space="preserve"> \* </w:instrText>
                </w:r>
                <w:r w:rsidRPr="009E6200">
                  <w:rPr>
                    <w:lang w:val="en-US"/>
                  </w:rPr>
                  <w:instrText>MERGEFORMAT</w:instrText>
                </w:r>
                <w:r w:rsidRPr="009E6200">
                  <w:instrText xml:space="preserve"> </w:instrText>
                </w:r>
                <w:r w:rsidRPr="009E6200">
                  <w:fldChar w:fldCharType="separate"/>
                </w:r>
                <w:r w:rsidR="005A436A" w:rsidRPr="005A436A">
                  <w:rPr>
                    <w:noProof/>
                  </w:rPr>
                  <w:t>2</w:t>
                </w:r>
                <w:r w:rsidRPr="009E6200">
                  <w:fldChar w:fldCharType="end"/>
                </w:r>
                <w:r w:rsidRPr="009E6200">
                  <w:t>.</w:t>
                </w:r>
                <w:r w:rsidR="00DA24D0" w:rsidRPr="009E6200">
                  <w:t xml:space="preserve"> </w:t>
                </w:r>
                <w:r w:rsidR="009C4D73" w:rsidRPr="009E6200">
                  <w:rPr>
                    <w:lang w:eastAsia="ru-RU"/>
                  </w:rPr>
                  <w:t>Оценка безопасности препарата RPH-001 в комбинации с карбоплатином и паклитакселом в сравн</w:t>
                </w:r>
                <w:r w:rsidR="0024542E">
                  <w:rPr>
                    <w:lang w:eastAsia="ru-RU"/>
                  </w:rPr>
                  <w:t>ении с Авастин</w:t>
                </w:r>
                <w:r w:rsidR="009C4D73" w:rsidRPr="009E6200">
                  <w:rPr>
                    <w:vertAlign w:val="superscript"/>
                    <w:lang w:eastAsia="ru-RU"/>
                  </w:rPr>
                  <w:t>®</w:t>
                </w:r>
                <w:r w:rsidR="009C4D73" w:rsidRPr="009E6200">
                  <w:rPr>
                    <w:lang w:eastAsia="ru-RU"/>
                  </w:rPr>
                  <w:t xml:space="preserve"> в комбинации с карбоплатином и паклитакселом у пациентов с неплоскоклеточным немелкоклеточным раком легкого (НМРЛ) </w:t>
                </w:r>
                <w:r w:rsidR="009C4D73" w:rsidRPr="009E6200">
                  <w:t xml:space="preserve"> </w:t>
                </w:r>
                <w:r w:rsidR="009C4D73" w:rsidRPr="009E6200">
                  <w:rPr>
                    <w:lang w:eastAsia="ru-RU"/>
                  </w:rPr>
                  <w:t>стадии IIIB/IV</w:t>
                </w:r>
                <w:r w:rsidR="00092D27">
                  <w:rPr>
                    <w:b/>
                    <w:lang w:eastAsia="ru-RU"/>
                  </w:rPr>
                  <w:t>.</w:t>
                </w:r>
              </w:p>
            </w:tc>
          </w:sdtContent>
        </w:sdt>
        <w:bookmarkEnd w:id="18" w:displacedByCustomXml="prev"/>
      </w:tr>
      <w:tr w:rsidR="00F46B68" w:rsidRPr="009E6200" w14:paraId="4DFB2BD7" w14:textId="77777777" w:rsidTr="007B46F5">
        <w:tc>
          <w:tcPr>
            <w:tcW w:w="1170" w:type="pct"/>
            <w:tcBorders>
              <w:top w:val="single" w:sz="4" w:space="0" w:color="00000A"/>
              <w:left w:val="single" w:sz="4" w:space="0" w:color="00000A"/>
              <w:bottom w:val="single" w:sz="4" w:space="0" w:color="00000A"/>
              <w:right w:val="single" w:sz="4" w:space="0" w:color="00000A"/>
            </w:tcBorders>
            <w:shd w:val="clear" w:color="auto" w:fill="auto"/>
            <w:tcMar>
              <w:top w:w="0" w:type="dxa"/>
              <w:left w:w="57" w:type="dxa"/>
              <w:bottom w:w="0" w:type="dxa"/>
              <w:right w:w="57" w:type="dxa"/>
            </w:tcMar>
          </w:tcPr>
          <w:p w14:paraId="7274E5EA" w14:textId="77777777" w:rsidR="007F47FD" w:rsidRPr="009E6200" w:rsidRDefault="007F47FD" w:rsidP="007B46F5">
            <w:pPr>
              <w:pStyle w:val="SDText"/>
              <w:jc w:val="both"/>
              <w:rPr>
                <w:b/>
                <w:lang w:eastAsia="ru-RU"/>
              </w:rPr>
            </w:pPr>
            <w:r w:rsidRPr="009E6200">
              <w:rPr>
                <w:b/>
                <w:lang w:eastAsia="ru-RU"/>
              </w:rPr>
              <w:t>Методология исследования</w:t>
            </w:r>
          </w:p>
        </w:tc>
        <w:tc>
          <w:tcPr>
            <w:tcW w:w="3830" w:type="pct"/>
            <w:tcBorders>
              <w:top w:val="single" w:sz="4" w:space="0" w:color="00000A"/>
              <w:left w:val="single" w:sz="4" w:space="0" w:color="00000A"/>
              <w:bottom w:val="single" w:sz="4" w:space="0" w:color="00000A"/>
              <w:right w:val="single" w:sz="4" w:space="0" w:color="00000A"/>
            </w:tcBorders>
            <w:shd w:val="clear" w:color="auto" w:fill="auto"/>
            <w:tcMar>
              <w:top w:w="0" w:type="dxa"/>
              <w:left w:w="57" w:type="dxa"/>
              <w:bottom w:w="0" w:type="dxa"/>
              <w:right w:w="57" w:type="dxa"/>
            </w:tcMar>
          </w:tcPr>
          <w:p w14:paraId="09A52D16" w14:textId="77777777" w:rsidR="000076F7" w:rsidRPr="009E6200" w:rsidRDefault="000076F7" w:rsidP="007B46F5">
            <w:pPr>
              <w:jc w:val="both"/>
              <w:rPr>
                <w:b/>
                <w:lang w:eastAsia="ru-RU"/>
              </w:rPr>
            </w:pPr>
            <w:r w:rsidRPr="009E6200">
              <w:rPr>
                <w:b/>
                <w:lang w:eastAsia="ru-RU"/>
              </w:rPr>
              <w:t>Дизайн исследования:</w:t>
            </w:r>
          </w:p>
          <w:p w14:paraId="20BF47D6" w14:textId="25BAC235" w:rsidR="000076F7" w:rsidRPr="009E6200" w:rsidRDefault="000076F7" w:rsidP="007B46F5">
            <w:pPr>
              <w:jc w:val="both"/>
              <w:rPr>
                <w:lang w:eastAsia="ru-RU"/>
              </w:rPr>
            </w:pPr>
            <w:r w:rsidRPr="009E6200">
              <w:rPr>
                <w:lang w:eastAsia="ru-RU"/>
              </w:rPr>
              <w:t xml:space="preserve">Рандомизированное двойное слепое сравнительное клиническое исследование в параллельных группах, с последующим включением </w:t>
            </w:r>
            <w:r w:rsidR="009C15D8" w:rsidRPr="009E6200">
              <w:rPr>
                <w:lang w:eastAsia="ru-RU"/>
              </w:rPr>
              <w:t xml:space="preserve"> </w:t>
            </w:r>
            <w:r w:rsidRPr="009E6200">
              <w:rPr>
                <w:lang w:eastAsia="ru-RU"/>
              </w:rPr>
              <w:t>пациентов</w:t>
            </w:r>
            <w:r w:rsidR="009C15D8" w:rsidRPr="009E6200">
              <w:rPr>
                <w:lang w:eastAsia="ru-RU"/>
              </w:rPr>
              <w:t xml:space="preserve">, которым после </w:t>
            </w:r>
            <w:r w:rsidR="005D5947" w:rsidRPr="009E6200">
              <w:rPr>
                <w:lang w:eastAsia="ru-RU"/>
              </w:rPr>
              <w:t xml:space="preserve">6 месяцев  </w:t>
            </w:r>
            <w:r w:rsidR="009C15D8" w:rsidRPr="009E6200">
              <w:rPr>
                <w:lang w:eastAsia="ru-RU"/>
              </w:rPr>
              <w:t>терапии по-прежнему показано применение бевацизумаба,</w:t>
            </w:r>
            <w:r w:rsidRPr="009E6200">
              <w:rPr>
                <w:lang w:eastAsia="ru-RU"/>
              </w:rPr>
              <w:t xml:space="preserve"> в период длительной монотерапии исследуемым препаратом/препаратом сравнения.</w:t>
            </w:r>
          </w:p>
          <w:p w14:paraId="6533A1F9" w14:textId="77777777" w:rsidR="000076F7" w:rsidRPr="009E6200" w:rsidRDefault="000076F7" w:rsidP="007B46F5">
            <w:pPr>
              <w:jc w:val="both"/>
              <w:rPr>
                <w:lang w:eastAsia="ru-RU"/>
              </w:rPr>
            </w:pPr>
            <w:r w:rsidRPr="009E6200">
              <w:rPr>
                <w:lang w:eastAsia="ru-RU"/>
              </w:rPr>
              <w:t>Соответствующие критериям включения и не имеющие критериев невключения по данным скринингового обследования пациенты будут рандомизированы в одну из групп терапии:</w:t>
            </w:r>
          </w:p>
          <w:p w14:paraId="08D9C75E" w14:textId="77777777" w:rsidR="000076F7" w:rsidRPr="009E6200" w:rsidRDefault="000076F7" w:rsidP="007B46F5">
            <w:pPr>
              <w:pStyle w:val="ListParagraph"/>
              <w:numPr>
                <w:ilvl w:val="0"/>
                <w:numId w:val="9"/>
              </w:numPr>
              <w:spacing w:line="240" w:lineRule="auto"/>
              <w:rPr>
                <w:lang w:val="ru-RU" w:eastAsia="ru-RU"/>
              </w:rPr>
            </w:pPr>
            <w:r w:rsidRPr="009E6200">
              <w:rPr>
                <w:lang w:eastAsia="ru-RU"/>
              </w:rPr>
              <w:t>RPH</w:t>
            </w:r>
            <w:r w:rsidRPr="009E6200">
              <w:rPr>
                <w:lang w:val="ru-RU" w:eastAsia="ru-RU"/>
              </w:rPr>
              <w:t>-001 в дозе 15 мг/кг один раз в 3 недели в виде внутривенной инфузии;</w:t>
            </w:r>
          </w:p>
          <w:p w14:paraId="25C228EF" w14:textId="77777777" w:rsidR="000076F7" w:rsidRPr="009E6200" w:rsidRDefault="000076F7" w:rsidP="007B46F5">
            <w:pPr>
              <w:pStyle w:val="ListParagraph"/>
              <w:numPr>
                <w:ilvl w:val="0"/>
                <w:numId w:val="9"/>
              </w:numPr>
              <w:spacing w:line="240" w:lineRule="auto"/>
              <w:rPr>
                <w:lang w:val="ru-RU" w:eastAsia="ru-RU"/>
              </w:rPr>
            </w:pPr>
            <w:r w:rsidRPr="009E6200">
              <w:rPr>
                <w:lang w:val="ru-RU" w:eastAsia="ru-RU"/>
              </w:rPr>
              <w:t>Авастин</w:t>
            </w:r>
            <w:r w:rsidR="00121FA5" w:rsidRPr="009E6200">
              <w:rPr>
                <w:vertAlign w:val="superscript"/>
                <w:lang w:val="ru-RU" w:eastAsia="ru-RU"/>
              </w:rPr>
              <w:t>®</w:t>
            </w:r>
            <w:r w:rsidRPr="009E6200">
              <w:rPr>
                <w:lang w:val="ru-RU" w:eastAsia="ru-RU"/>
              </w:rPr>
              <w:t xml:space="preserve"> в дозе 15 мг/кг один раз в 3 недели в виде внутривенной инфузии.</w:t>
            </w:r>
          </w:p>
          <w:p w14:paraId="24A90CC0" w14:textId="0FB00B85" w:rsidR="005A189B" w:rsidRPr="009E6200" w:rsidRDefault="005A189B" w:rsidP="007B46F5">
            <w:pPr>
              <w:jc w:val="both"/>
              <w:rPr>
                <w:lang w:eastAsia="ru-RU"/>
              </w:rPr>
            </w:pPr>
            <w:r w:rsidRPr="009E6200">
              <w:rPr>
                <w:lang w:eastAsia="ru-RU"/>
              </w:rPr>
              <w:t xml:space="preserve">Лечение исследуемым препаратом/препаратом сравнения будет продолжено до прогрессирования заболевания (в соответствии с критериями </w:t>
            </w:r>
            <w:r w:rsidR="005A78EF">
              <w:t xml:space="preserve">ответа солидных опухолей </w:t>
            </w:r>
            <w:r w:rsidRPr="009E6200">
              <w:t xml:space="preserve">[response evaluation criteria in solid tumors, </w:t>
            </w:r>
            <w:r w:rsidRPr="009E6200">
              <w:rPr>
                <w:lang w:val="en-US" w:eastAsia="ru-RU"/>
              </w:rPr>
              <w:t>RECIST</w:t>
            </w:r>
            <w:r w:rsidRPr="009E6200">
              <w:rPr>
                <w:lang w:eastAsia="ru-RU"/>
              </w:rPr>
              <w:t xml:space="preserve"> версии 1.1]</w:t>
            </w:r>
            <w:r w:rsidR="00B36107" w:rsidRPr="009E6200">
              <w:rPr>
                <w:lang w:eastAsia="ru-RU"/>
              </w:rPr>
              <w:t xml:space="preserve"> и/или</w:t>
            </w:r>
            <w:r w:rsidRPr="009E6200">
              <w:rPr>
                <w:lang w:eastAsia="ru-RU"/>
              </w:rPr>
              <w:t xml:space="preserve"> развития неприемлемой токсичности</w:t>
            </w:r>
            <w:r w:rsidR="00B36107" w:rsidRPr="009E6200">
              <w:rPr>
                <w:lang w:eastAsia="ru-RU"/>
              </w:rPr>
              <w:t xml:space="preserve"> и/или</w:t>
            </w:r>
            <w:r w:rsidRPr="009E6200">
              <w:rPr>
                <w:lang w:eastAsia="ru-RU"/>
              </w:rPr>
              <w:t xml:space="preserve"> решения исследователя о необходимости выведения пациента из исследования в интересах пациента</w:t>
            </w:r>
            <w:r w:rsidR="00B36107" w:rsidRPr="009E6200">
              <w:rPr>
                <w:lang w:eastAsia="ru-RU"/>
              </w:rPr>
              <w:t xml:space="preserve"> и/или</w:t>
            </w:r>
            <w:r w:rsidRPr="009E6200">
              <w:rPr>
                <w:lang w:eastAsia="ru-RU"/>
              </w:rPr>
              <w:t xml:space="preserve"> отзыва информированного согласия или смерти пациента, в зависимости от того, что произойдет раньше.</w:t>
            </w:r>
          </w:p>
          <w:p w14:paraId="045AF6DF" w14:textId="22C1F78D" w:rsidR="000076F7" w:rsidRPr="009E6200" w:rsidRDefault="005C1730" w:rsidP="007B46F5">
            <w:pPr>
              <w:jc w:val="both"/>
              <w:rPr>
                <w:lang w:eastAsia="ru-RU"/>
              </w:rPr>
            </w:pPr>
            <w:r w:rsidRPr="005C1730">
              <w:rPr>
                <w:rFonts w:eastAsia="Times New Roman" w:cs="Times New Roman"/>
                <w:lang w:eastAsia="ru-RU"/>
              </w:rPr>
              <w:lastRenderedPageBreak/>
              <w:t xml:space="preserve">Введение препаратов исследования будет осуществляться </w:t>
            </w:r>
            <w:r w:rsidRPr="005C1730">
              <w:rPr>
                <w:rFonts w:eastAsia="Times New Roman" w:cs="Times New Roman"/>
                <w:szCs w:val="24"/>
              </w:rPr>
              <w:t xml:space="preserve">в </w:t>
            </w:r>
            <w:r w:rsidR="0013538D" w:rsidRPr="0013538D">
              <w:rPr>
                <w:rFonts w:eastAsia="Times New Roman" w:cs="Times New Roman"/>
                <w:szCs w:val="24"/>
              </w:rPr>
              <w:t>исследовательских центрах, под наблюдением медицинского персонала</w:t>
            </w:r>
            <w:r w:rsidR="0013538D" w:rsidRPr="0013538D">
              <w:rPr>
                <w:rFonts w:eastAsia="Times New Roman" w:cs="Times New Roman"/>
                <w:lang w:eastAsia="ru-RU"/>
              </w:rPr>
              <w:t xml:space="preserve">. </w:t>
            </w:r>
            <w:r w:rsidR="000076F7" w:rsidRPr="009E6200">
              <w:rPr>
                <w:lang w:eastAsia="ru-RU"/>
              </w:rPr>
              <w:t>Пациенты могут быть госпитализированы, посещать центр в формате дневного стационара или в амбулаторном режиме, в соответствии с принятой в центре практикой. В обеих группах лечение исследуемым препаратом или препаратом сравнения будет начато параллельно с химиотерапией, включающей:</w:t>
            </w:r>
          </w:p>
          <w:p w14:paraId="681BEF46" w14:textId="77777777" w:rsidR="00DB589B" w:rsidRPr="00DB589B" w:rsidRDefault="00DB589B" w:rsidP="007B46F5">
            <w:pPr>
              <w:numPr>
                <w:ilvl w:val="0"/>
                <w:numId w:val="10"/>
              </w:numPr>
              <w:suppressAutoHyphens/>
              <w:autoSpaceDN w:val="0"/>
              <w:jc w:val="both"/>
              <w:textAlignment w:val="baseline"/>
              <w:rPr>
                <w:rFonts w:eastAsia="Times New Roman" w:cs="Times New Roman"/>
                <w:kern w:val="3"/>
                <w:szCs w:val="20"/>
                <w:lang w:eastAsia="ru-RU"/>
              </w:rPr>
            </w:pPr>
            <w:r w:rsidRPr="00DB589B">
              <w:rPr>
                <w:rFonts w:eastAsia="Times New Roman" w:cs="Times New Roman"/>
                <w:kern w:val="3"/>
                <w:szCs w:val="20"/>
                <w:lang w:eastAsia="ru-RU"/>
              </w:rPr>
              <w:t>Паклитаксел в дозе 175 мг/м</w:t>
            </w:r>
            <w:r w:rsidRPr="00DB589B">
              <w:rPr>
                <w:rFonts w:eastAsia="Times New Roman" w:cs="Times New Roman"/>
                <w:kern w:val="3"/>
                <w:szCs w:val="20"/>
                <w:vertAlign w:val="superscript"/>
                <w:lang w:eastAsia="ru-RU"/>
              </w:rPr>
              <w:t>2</w:t>
            </w:r>
            <w:r w:rsidRPr="00DB589B">
              <w:rPr>
                <w:rFonts w:eastAsia="Times New Roman" w:cs="Times New Roman"/>
                <w:kern w:val="3"/>
                <w:szCs w:val="20"/>
                <w:lang w:eastAsia="ru-RU"/>
              </w:rPr>
              <w:t xml:space="preserve"> в виде внутривенной инфузии продолжительностью 3 ч в день 1 каждого 21-дневного цикла (от 4х до 6и циклов). Допускается снижение дозы с учетом выраженности токсических проявлений;</w:t>
            </w:r>
          </w:p>
          <w:p w14:paraId="32920A02" w14:textId="68518E31" w:rsidR="00DB589B" w:rsidRPr="008C68D8" w:rsidRDefault="000076F7" w:rsidP="007B46F5">
            <w:pPr>
              <w:pStyle w:val="ListParagraph"/>
              <w:numPr>
                <w:ilvl w:val="0"/>
                <w:numId w:val="10"/>
              </w:numPr>
              <w:spacing w:line="240" w:lineRule="auto"/>
              <w:rPr>
                <w:lang w:val="ru-RU" w:eastAsia="ru-RU"/>
              </w:rPr>
            </w:pPr>
            <w:r w:rsidRPr="009E6200">
              <w:rPr>
                <w:lang w:val="ru-RU" w:eastAsia="ru-RU"/>
              </w:rPr>
              <w:t xml:space="preserve">Карбоплатин </w:t>
            </w:r>
            <w:r w:rsidRPr="009E6200">
              <w:rPr>
                <w:lang w:eastAsia="ru-RU"/>
              </w:rPr>
              <w:t>AUC</w:t>
            </w:r>
            <w:r w:rsidRPr="009E6200">
              <w:rPr>
                <w:lang w:val="ru-RU" w:eastAsia="ru-RU"/>
              </w:rPr>
              <w:t xml:space="preserve"> 6 мг/мл/мин в/в инфузия продолжительностью 15-30 мин сразу после завершения инфузии паклитаксела (от 4 до 6 циклов). Допускается снижение дозы с учетом выраженности токсических проявлений;</w:t>
            </w:r>
          </w:p>
          <w:p w14:paraId="0EA075CF" w14:textId="0207B607" w:rsidR="000076F7" w:rsidRPr="009E6200" w:rsidRDefault="00C628AD" w:rsidP="007B46F5">
            <w:pPr>
              <w:jc w:val="both"/>
              <w:rPr>
                <w:lang w:eastAsia="ru-RU"/>
              </w:rPr>
            </w:pPr>
            <w:r>
              <w:rPr>
                <w:rFonts w:cs="Times New Roman"/>
                <w:szCs w:val="24"/>
              </w:rPr>
              <w:t>Д</w:t>
            </w:r>
            <w:r w:rsidR="00282730">
              <w:rPr>
                <w:rFonts w:cs="Times New Roman"/>
                <w:szCs w:val="24"/>
              </w:rPr>
              <w:t>оза препарата RPH-001 или Авастин</w:t>
            </w:r>
            <w:r w:rsidR="00282730" w:rsidRPr="004C5C7C">
              <w:rPr>
                <w:rFonts w:cs="Times New Roman"/>
                <w:szCs w:val="24"/>
              </w:rPr>
              <w:t xml:space="preserve"> для пациента </w:t>
            </w:r>
            <w:r w:rsidR="00CA3155">
              <w:rPr>
                <w:rFonts w:cs="Times New Roman"/>
                <w:szCs w:val="24"/>
              </w:rPr>
              <w:t>назнач</w:t>
            </w:r>
            <w:r w:rsidR="00DF715F">
              <w:rPr>
                <w:rFonts w:cs="Times New Roman"/>
                <w:szCs w:val="24"/>
              </w:rPr>
              <w:t>а</w:t>
            </w:r>
            <w:r w:rsidR="00CA3155">
              <w:rPr>
                <w:rFonts w:cs="Times New Roman"/>
                <w:szCs w:val="24"/>
              </w:rPr>
              <w:t xml:space="preserve">ется </w:t>
            </w:r>
            <w:r>
              <w:rPr>
                <w:rFonts w:cs="Times New Roman"/>
                <w:szCs w:val="24"/>
              </w:rPr>
              <w:t>из расчета 15 мг/кг</w:t>
            </w:r>
            <w:r w:rsidR="00CA3155">
              <w:rPr>
                <w:rFonts w:cs="Times New Roman"/>
                <w:szCs w:val="24"/>
              </w:rPr>
              <w:t xml:space="preserve"> (при изменении веса пациента на 10% доза препарта RPH-001 или Авастин</w:t>
            </w:r>
            <w:r w:rsidR="00CA3155" w:rsidRPr="004C5C7C">
              <w:rPr>
                <w:rFonts w:cs="Times New Roman"/>
                <w:szCs w:val="24"/>
              </w:rPr>
              <w:t xml:space="preserve"> должна быть рассчитана </w:t>
            </w:r>
            <w:r w:rsidR="00CA3155">
              <w:rPr>
                <w:rFonts w:cs="Times New Roman"/>
                <w:szCs w:val="24"/>
              </w:rPr>
              <w:t>заново</w:t>
            </w:r>
            <w:r w:rsidR="00161DCD">
              <w:rPr>
                <w:rFonts w:cs="Times New Roman"/>
                <w:szCs w:val="24"/>
              </w:rPr>
              <w:t>, при изменении веса пациента менее чем на 10% отсутствие перерасчета дозы препарата не будет считаться отклонением от протокола</w:t>
            </w:r>
            <w:r w:rsidR="00CA3155">
              <w:rPr>
                <w:rFonts w:cs="Times New Roman"/>
                <w:szCs w:val="24"/>
              </w:rPr>
              <w:t>)</w:t>
            </w:r>
            <w:r w:rsidR="00282730">
              <w:rPr>
                <w:rFonts w:cs="Times New Roman"/>
                <w:szCs w:val="24"/>
              </w:rPr>
              <w:t>.</w:t>
            </w:r>
            <w:r w:rsidR="00282730" w:rsidRPr="009E6200">
              <w:rPr>
                <w:lang w:eastAsia="ru-RU"/>
              </w:rPr>
              <w:t xml:space="preserve"> </w:t>
            </w:r>
            <w:r w:rsidR="000076F7" w:rsidRPr="009E6200">
              <w:rPr>
                <w:lang w:eastAsia="ru-RU"/>
              </w:rPr>
              <w:t>Корректировка дозы</w:t>
            </w:r>
            <w:r w:rsidR="00282730">
              <w:rPr>
                <w:lang w:eastAsia="ru-RU"/>
              </w:rPr>
              <w:t>, связанная с токсичностью</w:t>
            </w:r>
            <w:r w:rsidR="000076F7" w:rsidRPr="009E6200">
              <w:rPr>
                <w:lang w:eastAsia="ru-RU"/>
              </w:rPr>
              <w:t xml:space="preserve"> исследуемого препарата и препарата сравнения</w:t>
            </w:r>
            <w:r w:rsidR="00282730">
              <w:rPr>
                <w:lang w:eastAsia="ru-RU"/>
              </w:rPr>
              <w:t>,</w:t>
            </w:r>
            <w:r w:rsidR="000076F7" w:rsidRPr="009E6200">
              <w:rPr>
                <w:lang w:eastAsia="ru-RU"/>
              </w:rPr>
              <w:t xml:space="preserve"> не предполагается. При развитии неприемлемой токсичности препарат отменяется, пациент</w:t>
            </w:r>
            <w:r w:rsidR="00033535" w:rsidRPr="009E6200">
              <w:rPr>
                <w:lang w:eastAsia="ru-RU"/>
              </w:rPr>
              <w:t>у</w:t>
            </w:r>
            <w:r w:rsidR="000076F7" w:rsidRPr="009E6200">
              <w:rPr>
                <w:lang w:eastAsia="ru-RU"/>
              </w:rPr>
              <w:t xml:space="preserve"> </w:t>
            </w:r>
            <w:r w:rsidR="00033535" w:rsidRPr="009E6200">
              <w:rPr>
                <w:lang w:eastAsia="ru-RU"/>
              </w:rPr>
              <w:t xml:space="preserve">прекращают терапию в рамках исследования </w:t>
            </w:r>
            <w:r w:rsidR="000076F7" w:rsidRPr="009E6200">
              <w:rPr>
                <w:lang w:eastAsia="ru-RU"/>
              </w:rPr>
              <w:t xml:space="preserve">(Раздел </w:t>
            </w:r>
            <w:r w:rsidR="000076F7" w:rsidRPr="009E6200">
              <w:rPr>
                <w:lang w:eastAsia="ru-RU"/>
              </w:rPr>
              <w:fldChar w:fldCharType="begin"/>
            </w:r>
            <w:r w:rsidR="000076F7" w:rsidRPr="009E6200">
              <w:rPr>
                <w:lang w:eastAsia="ru-RU"/>
              </w:rPr>
              <w:instrText xml:space="preserve"> REF _Ref12617991 \n \h </w:instrText>
            </w:r>
            <w:r w:rsidR="00364CEF" w:rsidRPr="009E6200">
              <w:rPr>
                <w:lang w:eastAsia="ru-RU"/>
              </w:rPr>
              <w:instrText xml:space="preserve"> \* MERGEFORMAT </w:instrText>
            </w:r>
            <w:r w:rsidR="000076F7" w:rsidRPr="009E6200">
              <w:rPr>
                <w:lang w:eastAsia="ru-RU"/>
              </w:rPr>
            </w:r>
            <w:r w:rsidR="000076F7" w:rsidRPr="009E6200">
              <w:rPr>
                <w:lang w:eastAsia="ru-RU"/>
              </w:rPr>
              <w:fldChar w:fldCharType="separate"/>
            </w:r>
            <w:r w:rsidR="005A436A">
              <w:rPr>
                <w:lang w:eastAsia="ru-RU"/>
              </w:rPr>
              <w:t>6.2.3</w:t>
            </w:r>
            <w:r w:rsidR="000076F7" w:rsidRPr="009E6200">
              <w:rPr>
                <w:lang w:eastAsia="ru-RU"/>
              </w:rPr>
              <w:fldChar w:fldCharType="end"/>
            </w:r>
            <w:r w:rsidR="000076F7" w:rsidRPr="009E6200">
              <w:rPr>
                <w:lang w:eastAsia="ru-RU"/>
              </w:rPr>
              <w:t>).</w:t>
            </w:r>
            <w:r w:rsidR="005571CA" w:rsidRPr="009E6200">
              <w:rPr>
                <w:lang w:eastAsia="ru-RU"/>
              </w:rPr>
              <w:t xml:space="preserve"> </w:t>
            </w:r>
            <w:r w:rsidR="00033535" w:rsidRPr="009E6200">
              <w:rPr>
                <w:lang w:eastAsia="ru-RU"/>
              </w:rPr>
              <w:t>П</w:t>
            </w:r>
            <w:r w:rsidR="005571CA" w:rsidRPr="009E6200">
              <w:rPr>
                <w:lang w:eastAsia="ru-RU"/>
              </w:rPr>
              <w:t>осле этого для оценки дожития</w:t>
            </w:r>
            <w:r w:rsidR="005571CA" w:rsidRPr="009E6200">
              <w:t xml:space="preserve"> </w:t>
            </w:r>
            <w:r w:rsidR="005571CA" w:rsidRPr="009E6200">
              <w:rPr>
                <w:lang w:eastAsia="ru-RU"/>
              </w:rPr>
              <w:t xml:space="preserve">с пациентом будет поддерживаться телефонный контакт </w:t>
            </w:r>
            <w:r w:rsidR="00DB589B" w:rsidRPr="00DB589B">
              <w:rPr>
                <w:rFonts w:eastAsia="Times New Roman" w:cs="Times New Roman"/>
                <w:lang w:eastAsia="ru-RU"/>
              </w:rPr>
              <w:t>каждые 2 месяца (±14 дней) до 12 месяцев от момента рандомизации.</w:t>
            </w:r>
            <w:r w:rsidR="003B7B62" w:rsidRPr="009E6200">
              <w:rPr>
                <w:lang w:eastAsia="ru-RU"/>
              </w:rPr>
              <w:t>.</w:t>
            </w:r>
          </w:p>
          <w:p w14:paraId="3CD42C90" w14:textId="40A76C4D" w:rsidR="000076F7" w:rsidRPr="009E6200" w:rsidRDefault="000076F7" w:rsidP="007B46F5">
            <w:pPr>
              <w:jc w:val="both"/>
              <w:rPr>
                <w:lang w:eastAsia="ru-RU"/>
              </w:rPr>
            </w:pPr>
            <w:r w:rsidRPr="009E6200">
              <w:rPr>
                <w:lang w:eastAsia="ru-RU"/>
              </w:rPr>
              <w:t>Возможна коррекция дозы паклитаксела и карбоплатина при возникновении токсичности 3-4 степени по CTCAE (</w:t>
            </w:r>
            <w:r w:rsidR="00957A72" w:rsidRPr="009E6200">
              <w:rPr>
                <w:lang w:eastAsia="ru-RU"/>
              </w:rPr>
              <w:t xml:space="preserve">версии </w:t>
            </w:r>
            <w:r w:rsidRPr="009E6200">
              <w:rPr>
                <w:lang w:eastAsia="ru-RU"/>
              </w:rPr>
              <w:t>5</w:t>
            </w:r>
            <w:r w:rsidR="00957A72" w:rsidRPr="009E6200">
              <w:rPr>
                <w:lang w:eastAsia="ru-RU"/>
              </w:rPr>
              <w:t>.0</w:t>
            </w:r>
            <w:r w:rsidRPr="009E6200">
              <w:rPr>
                <w:lang w:eastAsia="ru-RU"/>
              </w:rPr>
              <w:t xml:space="preserve">) в соответствии с указаниями, приведенными в Разделах </w:t>
            </w:r>
            <w:r w:rsidRPr="009E6200">
              <w:rPr>
                <w:lang w:eastAsia="ru-RU"/>
              </w:rPr>
              <w:fldChar w:fldCharType="begin"/>
            </w:r>
            <w:r w:rsidRPr="009E6200">
              <w:rPr>
                <w:lang w:eastAsia="ru-RU"/>
              </w:rPr>
              <w:instrText xml:space="preserve"> REF _Ref12617749 \n \h </w:instrText>
            </w:r>
            <w:r w:rsidR="009E6200">
              <w:rPr>
                <w:lang w:eastAsia="ru-RU"/>
              </w:rPr>
              <w:instrText xml:space="preserve"> \* MERGEFORMAT </w:instrText>
            </w:r>
            <w:r w:rsidRPr="009E6200">
              <w:rPr>
                <w:lang w:eastAsia="ru-RU"/>
              </w:rPr>
            </w:r>
            <w:r w:rsidRPr="009E6200">
              <w:rPr>
                <w:lang w:eastAsia="ru-RU"/>
              </w:rPr>
              <w:fldChar w:fldCharType="separate"/>
            </w:r>
            <w:r w:rsidR="005A436A">
              <w:rPr>
                <w:lang w:eastAsia="ru-RU"/>
              </w:rPr>
              <w:t>6.2.4.1</w:t>
            </w:r>
            <w:r w:rsidRPr="009E6200">
              <w:rPr>
                <w:lang w:eastAsia="ru-RU"/>
              </w:rPr>
              <w:fldChar w:fldCharType="end"/>
            </w:r>
            <w:r w:rsidRPr="009E6200">
              <w:rPr>
                <w:lang w:eastAsia="ru-RU"/>
              </w:rPr>
              <w:t xml:space="preserve"> и </w:t>
            </w:r>
            <w:r w:rsidRPr="009E6200">
              <w:rPr>
                <w:lang w:eastAsia="ru-RU"/>
              </w:rPr>
              <w:fldChar w:fldCharType="begin"/>
            </w:r>
            <w:r w:rsidRPr="009E6200">
              <w:rPr>
                <w:lang w:eastAsia="ru-RU"/>
              </w:rPr>
              <w:instrText xml:space="preserve"> REF _Ref12617750 \n \h </w:instrText>
            </w:r>
            <w:r w:rsidR="009E6200">
              <w:rPr>
                <w:lang w:eastAsia="ru-RU"/>
              </w:rPr>
              <w:instrText xml:space="preserve"> \* MERGEFORMAT </w:instrText>
            </w:r>
            <w:r w:rsidRPr="009E6200">
              <w:rPr>
                <w:lang w:eastAsia="ru-RU"/>
              </w:rPr>
            </w:r>
            <w:r w:rsidRPr="009E6200">
              <w:rPr>
                <w:lang w:eastAsia="ru-RU"/>
              </w:rPr>
              <w:fldChar w:fldCharType="separate"/>
            </w:r>
            <w:r w:rsidR="005A436A">
              <w:rPr>
                <w:lang w:eastAsia="ru-RU"/>
              </w:rPr>
              <w:t>6.2.4.2</w:t>
            </w:r>
            <w:r w:rsidRPr="009E6200">
              <w:rPr>
                <w:lang w:eastAsia="ru-RU"/>
              </w:rPr>
              <w:fldChar w:fldCharType="end"/>
            </w:r>
            <w:r w:rsidRPr="009E6200">
              <w:rPr>
                <w:lang w:eastAsia="ru-RU"/>
              </w:rPr>
              <w:t xml:space="preserve"> протокола исследования. Повышение дозы после предшествующего снижения не допускается. В рамках данного исследования допускается не более 2 эпизодов снижения дозы препаратов</w:t>
            </w:r>
            <w:r w:rsidR="00492F0B" w:rsidRPr="009E6200">
              <w:rPr>
                <w:lang w:eastAsia="ru-RU"/>
              </w:rPr>
              <w:t xml:space="preserve"> химиотерапии</w:t>
            </w:r>
            <w:r w:rsidRPr="009E6200">
              <w:rPr>
                <w:lang w:eastAsia="ru-RU"/>
              </w:rPr>
              <w:t xml:space="preserve"> (паклитаксела</w:t>
            </w:r>
            <w:r w:rsidR="00492F0B" w:rsidRPr="009E6200">
              <w:rPr>
                <w:lang w:eastAsia="ru-RU"/>
              </w:rPr>
              <w:t xml:space="preserve">, </w:t>
            </w:r>
            <w:r w:rsidRPr="009E6200">
              <w:rPr>
                <w:lang w:eastAsia="ru-RU"/>
              </w:rPr>
              <w:t>карбоплатина</w:t>
            </w:r>
            <w:r w:rsidR="00492F0B" w:rsidRPr="009E6200">
              <w:rPr>
                <w:lang w:eastAsia="ru-RU"/>
              </w:rPr>
              <w:t xml:space="preserve"> - обоих препаратов одновременно или любого из них по отдельности</w:t>
            </w:r>
            <w:r w:rsidRPr="009E6200">
              <w:rPr>
                <w:lang w:eastAsia="ru-RU"/>
              </w:rPr>
              <w:t>), при необходимости дальнейшего снижения дозы пациент</w:t>
            </w:r>
            <w:r w:rsidR="00033535" w:rsidRPr="009E6200">
              <w:rPr>
                <w:lang w:eastAsia="ru-RU"/>
              </w:rPr>
              <w:t>у</w:t>
            </w:r>
            <w:r w:rsidRPr="009E6200">
              <w:rPr>
                <w:lang w:eastAsia="ru-RU"/>
              </w:rPr>
              <w:t xml:space="preserve"> </w:t>
            </w:r>
            <w:r w:rsidR="00033535" w:rsidRPr="009E6200">
              <w:rPr>
                <w:lang w:eastAsia="ru-RU"/>
              </w:rPr>
              <w:t>прекращают терапию в рамках исследования</w:t>
            </w:r>
            <w:r w:rsidRPr="009E6200">
              <w:rPr>
                <w:lang w:eastAsia="ru-RU"/>
              </w:rPr>
              <w:t>.</w:t>
            </w:r>
            <w:r w:rsidR="003B7B62" w:rsidRPr="009E6200">
              <w:rPr>
                <w:lang w:eastAsia="ru-RU"/>
              </w:rPr>
              <w:t xml:space="preserve"> </w:t>
            </w:r>
            <w:r w:rsidR="00033535" w:rsidRPr="009E6200">
              <w:rPr>
                <w:lang w:eastAsia="ru-RU"/>
              </w:rPr>
              <w:t>П</w:t>
            </w:r>
            <w:r w:rsidR="003B7B62" w:rsidRPr="009E6200">
              <w:rPr>
                <w:lang w:eastAsia="ru-RU"/>
              </w:rPr>
              <w:t xml:space="preserve">осле этого для оценки дожития с пациентом будет поддерживаться телефонный контакт каждые 2 месяца (±14 дней) до </w:t>
            </w:r>
            <w:r w:rsidR="001020A4" w:rsidRPr="009E6200">
              <w:rPr>
                <w:lang w:eastAsia="ru-RU"/>
              </w:rPr>
              <w:t>12 месяцев от момента рандомизации</w:t>
            </w:r>
            <w:r w:rsidR="003B7B62" w:rsidRPr="009E6200">
              <w:rPr>
                <w:lang w:eastAsia="ru-RU"/>
              </w:rPr>
              <w:t>.</w:t>
            </w:r>
          </w:p>
          <w:p w14:paraId="179A89EE" w14:textId="0C9E752F" w:rsidR="00033535" w:rsidRPr="009E6200" w:rsidRDefault="000076F7" w:rsidP="007B46F5">
            <w:pPr>
              <w:jc w:val="both"/>
              <w:rPr>
                <w:lang w:eastAsia="ru-RU"/>
              </w:rPr>
            </w:pPr>
            <w:r w:rsidRPr="009E6200">
              <w:rPr>
                <w:lang w:eastAsia="ru-RU"/>
              </w:rPr>
              <w:t xml:space="preserve">В период химиотерапии исследуемый препарат или препарат сравнения будут вводиться в дни введения препаратов химиотерапии. Лечение исследуемым препаратом/препаратом сравнения будет продолжено до прогрессирования заболевания (в соответствии с критериями </w:t>
            </w:r>
            <w:r w:rsidRPr="009E6200">
              <w:t xml:space="preserve">ответа солидных опухолей [response evaluation criteria in solid tumors, </w:t>
            </w:r>
            <w:r w:rsidRPr="009E6200">
              <w:rPr>
                <w:lang w:eastAsia="ru-RU"/>
              </w:rPr>
              <w:t xml:space="preserve"> </w:t>
            </w:r>
            <w:r w:rsidRPr="009E6200">
              <w:rPr>
                <w:lang w:val="en-US" w:eastAsia="ru-RU"/>
              </w:rPr>
              <w:t>RECIST</w:t>
            </w:r>
            <w:r w:rsidRPr="009E6200">
              <w:rPr>
                <w:lang w:eastAsia="ru-RU"/>
              </w:rPr>
              <w:t xml:space="preserve"> версии 1.1]</w:t>
            </w:r>
            <w:r w:rsidR="00341F48" w:rsidRPr="009E6200">
              <w:rPr>
                <w:lang w:eastAsia="ru-RU"/>
              </w:rPr>
              <w:t xml:space="preserve"> и/или</w:t>
            </w:r>
            <w:r w:rsidRPr="009E6200">
              <w:rPr>
                <w:lang w:eastAsia="ru-RU"/>
              </w:rPr>
              <w:t xml:space="preserve"> развития </w:t>
            </w:r>
            <w:r w:rsidRPr="009E6200">
              <w:rPr>
                <w:lang w:eastAsia="ru-RU"/>
              </w:rPr>
              <w:lastRenderedPageBreak/>
              <w:t>неприемлемой токсичности</w:t>
            </w:r>
            <w:r w:rsidR="00341F48" w:rsidRPr="009E6200">
              <w:rPr>
                <w:lang w:eastAsia="ru-RU"/>
              </w:rPr>
              <w:t xml:space="preserve"> и/или</w:t>
            </w:r>
            <w:r w:rsidRPr="009E6200">
              <w:rPr>
                <w:lang w:eastAsia="ru-RU"/>
              </w:rPr>
              <w:t xml:space="preserve"> решения исследователя о необходимости выведения пациента из исследования в интересах пациента</w:t>
            </w:r>
            <w:r w:rsidR="00341F48" w:rsidRPr="009E6200">
              <w:rPr>
                <w:lang w:eastAsia="ru-RU"/>
              </w:rPr>
              <w:t xml:space="preserve"> и/или</w:t>
            </w:r>
            <w:r w:rsidRPr="009E6200">
              <w:rPr>
                <w:lang w:eastAsia="ru-RU"/>
              </w:rPr>
              <w:t xml:space="preserve"> отзыва информированного согласия или смерти пациента, в зависимости от того, что произойдет раньше. Максимальная продолжительность участия в основной части исследовании для одного пациента составит </w:t>
            </w:r>
            <w:bookmarkStart w:id="19" w:name="OLE_LINK_Max_duration"/>
            <w:sdt>
              <w:sdtPr>
                <w:rPr>
                  <w:lang w:eastAsia="ru-RU"/>
                </w:rPr>
                <w:id w:val="391239936"/>
                <w:placeholder>
                  <w:docPart w:val="43770E2BAE934AEE9BAEC16CFDE78516"/>
                </w:placeholder>
              </w:sdtPr>
              <w:sdtEndPr/>
              <w:sdtContent>
                <w:r w:rsidRPr="009E6200">
                  <w:rPr>
                    <w:lang w:eastAsia="ru-RU"/>
                  </w:rPr>
                  <w:t xml:space="preserve">не более </w:t>
                </w:r>
                <w:r w:rsidR="0079300E" w:rsidRPr="009E6200">
                  <w:rPr>
                    <w:lang w:eastAsia="ru-RU"/>
                  </w:rPr>
                  <w:t xml:space="preserve">6 </w:t>
                </w:r>
                <w:r w:rsidRPr="009E6200">
                  <w:rPr>
                    <w:lang w:eastAsia="ru-RU"/>
                  </w:rPr>
                  <w:t>месяцев от дня рандомизации</w:t>
                </w:r>
              </w:sdtContent>
            </w:sdt>
            <w:bookmarkEnd w:id="19"/>
            <w:r w:rsidRPr="009E6200">
              <w:rPr>
                <w:lang w:eastAsia="ru-RU"/>
              </w:rPr>
              <w:t xml:space="preserve">, в продленной </w:t>
            </w:r>
            <w:r w:rsidR="007E0256" w:rsidRPr="009E6200">
              <w:rPr>
                <w:lang w:eastAsia="ru-RU"/>
              </w:rPr>
              <w:t xml:space="preserve">части </w:t>
            </w:r>
            <w:r w:rsidR="003F58F0" w:rsidRPr="009E6200">
              <w:rPr>
                <w:lang w:eastAsia="ru-RU"/>
              </w:rPr>
              <w:t xml:space="preserve">еще 6 месяцев и далее в периоде последующего наблюдения и терапии (визиты 19+) </w:t>
            </w:r>
            <w:r w:rsidRPr="009E6200">
              <w:rPr>
                <w:lang w:eastAsia="ru-RU"/>
              </w:rPr>
              <w:t>– вплоть до прогрессирования заболевания</w:t>
            </w:r>
            <w:r w:rsidR="00D038FA" w:rsidRPr="009E6200">
              <w:rPr>
                <w:lang w:eastAsia="ru-RU"/>
              </w:rPr>
              <w:t xml:space="preserve">. </w:t>
            </w:r>
            <w:r w:rsidR="00D95203" w:rsidRPr="009E6200">
              <w:rPr>
                <w:lang w:eastAsia="ru-RU"/>
              </w:rPr>
              <w:t xml:space="preserve">В случае доказательства эквивалентности исследуемого препарата препарату сравнения по результатам основной </w:t>
            </w:r>
            <w:r w:rsidR="007E0256" w:rsidRPr="009E6200">
              <w:rPr>
                <w:lang w:eastAsia="ru-RU"/>
              </w:rPr>
              <w:t xml:space="preserve">части </w:t>
            </w:r>
            <w:r w:rsidR="00D95203" w:rsidRPr="009E6200">
              <w:rPr>
                <w:lang w:eastAsia="ru-RU"/>
              </w:rPr>
              <w:t xml:space="preserve">исследования, в рамках продленной </w:t>
            </w:r>
            <w:r w:rsidR="007E0256" w:rsidRPr="009E6200">
              <w:rPr>
                <w:lang w:eastAsia="ru-RU"/>
              </w:rPr>
              <w:t xml:space="preserve">части </w:t>
            </w:r>
            <w:r w:rsidR="003F58F0" w:rsidRPr="009E6200">
              <w:rPr>
                <w:lang w:eastAsia="ru-RU"/>
              </w:rPr>
              <w:t>или периода последующего наблюдения и терапии</w:t>
            </w:r>
            <w:r w:rsidR="00D038FA" w:rsidRPr="009E6200">
              <w:rPr>
                <w:lang w:eastAsia="ru-RU"/>
              </w:rPr>
              <w:t xml:space="preserve"> (визиты 19+)</w:t>
            </w:r>
            <w:r w:rsidR="003F58F0" w:rsidRPr="009E6200">
              <w:rPr>
                <w:lang w:eastAsia="ru-RU"/>
              </w:rPr>
              <w:t xml:space="preserve"> </w:t>
            </w:r>
            <w:r w:rsidR="00D95203" w:rsidRPr="009E6200">
              <w:rPr>
                <w:lang w:eastAsia="ru-RU"/>
              </w:rPr>
              <w:t>исследователь и пациент будут расслеплены, пациентам, получающим препарат сравнения Авастин</w:t>
            </w:r>
            <w:r w:rsidR="00D95203" w:rsidRPr="009E6200">
              <w:rPr>
                <w:vertAlign w:val="superscript"/>
                <w:lang w:eastAsia="ru-RU"/>
              </w:rPr>
              <w:t>®</w:t>
            </w:r>
            <w:r w:rsidR="00D95203" w:rsidRPr="009E6200">
              <w:rPr>
                <w:lang w:eastAsia="ru-RU"/>
              </w:rPr>
              <w:t xml:space="preserve"> </w:t>
            </w:r>
            <w:r w:rsidR="00F24F32" w:rsidRPr="009E6200">
              <w:rPr>
                <w:lang w:eastAsia="ru-RU"/>
              </w:rPr>
              <w:t xml:space="preserve">на ближайшем визите </w:t>
            </w:r>
            <w:r w:rsidR="00D95203" w:rsidRPr="009E6200">
              <w:rPr>
                <w:lang w:eastAsia="ru-RU"/>
              </w:rPr>
              <w:t xml:space="preserve">будет предложено продолжить лечение препаратом RPH-001. В случае отказа от перевода на лечение препаратом RPH-001 пациент </w:t>
            </w:r>
            <w:r w:rsidR="00033535" w:rsidRPr="009E6200">
              <w:rPr>
                <w:lang w:eastAsia="ru-RU"/>
              </w:rPr>
              <w:t xml:space="preserve">прекращает терапию в рамках </w:t>
            </w:r>
            <w:r w:rsidR="00D95203" w:rsidRPr="009E6200">
              <w:rPr>
                <w:lang w:eastAsia="ru-RU"/>
              </w:rPr>
              <w:t>исследования.</w:t>
            </w:r>
            <w:r w:rsidR="00033535" w:rsidRPr="009E6200">
              <w:rPr>
                <w:lang w:eastAsia="ru-RU"/>
              </w:rPr>
              <w:t xml:space="preserve"> После этого для оценки дожития с пациентом будет </w:t>
            </w:r>
            <w:r w:rsidR="00DB589B" w:rsidRPr="00DB589B">
              <w:rPr>
                <w:rFonts w:eastAsia="Times New Roman" w:cs="Times New Roman"/>
                <w:lang w:eastAsia="ru-RU"/>
              </w:rPr>
              <w:t>поддерживаться телефонный контакт каждые 2 месяца (±14 дней) до 12 месяцев от момента рандомизации</w:t>
            </w:r>
            <w:r w:rsidR="00DB589B">
              <w:rPr>
                <w:lang w:eastAsia="ru-RU"/>
              </w:rPr>
              <w:t>.</w:t>
            </w:r>
          </w:p>
          <w:p w14:paraId="32BE6A27" w14:textId="00AE3D2A" w:rsidR="00B57692" w:rsidRPr="009E6200" w:rsidRDefault="00B57692" w:rsidP="007B46F5">
            <w:pPr>
              <w:jc w:val="both"/>
              <w:rPr>
                <w:lang w:eastAsia="ru-RU"/>
              </w:rPr>
            </w:pPr>
            <w:r w:rsidRPr="009E6200">
              <w:rPr>
                <w:lang w:eastAsia="ru-RU"/>
              </w:rPr>
              <w:t xml:space="preserve">Все обследования и сопутствующая терапия после завершения участия пациента </w:t>
            </w:r>
            <w:r w:rsidR="00D038FA" w:rsidRPr="009E6200">
              <w:rPr>
                <w:lang w:eastAsia="ru-RU"/>
              </w:rPr>
              <w:t xml:space="preserve">в </w:t>
            </w:r>
            <w:r w:rsidRPr="009E6200">
              <w:rPr>
                <w:lang w:eastAsia="ru-RU"/>
              </w:rPr>
              <w:t>исследовани</w:t>
            </w:r>
            <w:r w:rsidR="00D038FA" w:rsidRPr="009E6200">
              <w:rPr>
                <w:lang w:eastAsia="ru-RU"/>
              </w:rPr>
              <w:t>и</w:t>
            </w:r>
            <w:r w:rsidRPr="009E6200">
              <w:rPr>
                <w:lang w:eastAsia="ru-RU"/>
              </w:rPr>
              <w:t xml:space="preserve"> будут осуществляться по обеспечению через систему здравоохранения (в рамках рутинной клинической практики).</w:t>
            </w:r>
          </w:p>
        </w:tc>
      </w:tr>
      <w:tr w:rsidR="00F46B68" w:rsidRPr="009E6200" w14:paraId="725C5666" w14:textId="77777777" w:rsidTr="007B46F5">
        <w:tc>
          <w:tcPr>
            <w:tcW w:w="1170" w:type="pct"/>
            <w:tcBorders>
              <w:top w:val="single" w:sz="4" w:space="0" w:color="00000A"/>
              <w:left w:val="single" w:sz="4" w:space="0" w:color="00000A"/>
              <w:bottom w:val="single" w:sz="4" w:space="0" w:color="00000A"/>
              <w:right w:val="single" w:sz="4" w:space="0" w:color="00000A"/>
            </w:tcBorders>
            <w:shd w:val="clear" w:color="auto" w:fill="auto"/>
            <w:tcMar>
              <w:top w:w="0" w:type="dxa"/>
              <w:left w:w="57" w:type="dxa"/>
              <w:bottom w:w="0" w:type="dxa"/>
              <w:right w:w="57" w:type="dxa"/>
            </w:tcMar>
          </w:tcPr>
          <w:p w14:paraId="37CDB07F" w14:textId="77777777" w:rsidR="007F47FD" w:rsidRPr="009E6200" w:rsidRDefault="007F47FD" w:rsidP="007B46F5">
            <w:pPr>
              <w:pStyle w:val="SDText"/>
              <w:jc w:val="both"/>
              <w:rPr>
                <w:b/>
                <w:lang w:eastAsia="ru-RU"/>
              </w:rPr>
            </w:pPr>
            <w:r w:rsidRPr="009E6200">
              <w:rPr>
                <w:b/>
                <w:lang w:eastAsia="ru-RU"/>
              </w:rPr>
              <w:lastRenderedPageBreak/>
              <w:t>Визиты пациентов</w:t>
            </w:r>
          </w:p>
        </w:tc>
        <w:bookmarkStart w:id="20" w:name="OLE_LINK_Raspisanie_visitov" w:displacedByCustomXml="next"/>
        <w:sdt>
          <w:sdtPr>
            <w:rPr>
              <w:lang w:eastAsia="ru-RU"/>
            </w:rPr>
            <w:alias w:val="Расписание визитов"/>
            <w:tag w:val="Расписание визитов"/>
            <w:id w:val="146247942"/>
            <w:placeholder>
              <w:docPart w:val="DefaultPlaceholder_-1854013440"/>
            </w:placeholder>
          </w:sdtPr>
          <w:sdtEndPr/>
          <w:sdtContent>
            <w:sdt>
              <w:sdtPr>
                <w:rPr>
                  <w:lang w:eastAsia="ru-RU"/>
                </w:rPr>
                <w:alias w:val="Расписание визитов"/>
                <w:tag w:val="Расписание визитов"/>
                <w:id w:val="1198120088"/>
                <w:placeholder>
                  <w:docPart w:val="162710C58EDA49BCA7E6B41996416895"/>
                </w:placeholder>
              </w:sdtPr>
              <w:sdtEndPr/>
              <w:sdtContent>
                <w:sdt>
                  <w:sdtPr>
                    <w:rPr>
                      <w:lang w:eastAsia="ru-RU"/>
                    </w:rPr>
                    <w:alias w:val="Расписание визитов"/>
                    <w:tag w:val="Расписание визитов"/>
                    <w:id w:val="365872294"/>
                    <w:placeholder>
                      <w:docPart w:val="5857E79C19DE4E3590E1903092F602CB"/>
                    </w:placeholder>
                  </w:sdtPr>
                  <w:sdtEndPr/>
                  <w:sdtContent>
                    <w:tc>
                      <w:tcPr>
                        <w:tcW w:w="3830" w:type="pct"/>
                        <w:tcBorders>
                          <w:top w:val="single" w:sz="4" w:space="0" w:color="00000A"/>
                          <w:left w:val="single" w:sz="4" w:space="0" w:color="00000A"/>
                          <w:bottom w:val="single" w:sz="4" w:space="0" w:color="00000A"/>
                          <w:right w:val="single" w:sz="4" w:space="0" w:color="00000A"/>
                        </w:tcBorders>
                        <w:shd w:val="clear" w:color="auto" w:fill="auto"/>
                        <w:tcMar>
                          <w:top w:w="0" w:type="dxa"/>
                          <w:left w:w="57" w:type="dxa"/>
                          <w:bottom w:w="0" w:type="dxa"/>
                          <w:right w:w="57" w:type="dxa"/>
                        </w:tcMar>
                      </w:tcPr>
                      <w:p w14:paraId="68F8C65C" w14:textId="77777777" w:rsidR="00AC4632" w:rsidRPr="009E6200" w:rsidRDefault="00AC4632" w:rsidP="007B46F5">
                        <w:pPr>
                          <w:pStyle w:val="SDText"/>
                          <w:jc w:val="both"/>
                          <w:rPr>
                            <w:b/>
                            <w:lang w:eastAsia="ru-RU"/>
                          </w:rPr>
                        </w:pPr>
                        <w:r w:rsidRPr="009E6200">
                          <w:rPr>
                            <w:b/>
                            <w:lang w:eastAsia="ru-RU"/>
                          </w:rPr>
                          <w:t>Визит 0 (скрининг), дни от -27 до 0.</w:t>
                        </w:r>
                      </w:p>
                      <w:p w14:paraId="2ADEA98A" w14:textId="77777777" w:rsidR="00AC4632" w:rsidRPr="009E6200" w:rsidRDefault="00AC4632" w:rsidP="007B46F5">
                        <w:pPr>
                          <w:pStyle w:val="SDText"/>
                          <w:jc w:val="both"/>
                          <w:rPr>
                            <w:lang w:eastAsia="ru-RU"/>
                          </w:rPr>
                        </w:pPr>
                        <w:r w:rsidRPr="009E6200">
                          <w:rPr>
                            <w:lang w:eastAsia="ru-RU"/>
                          </w:rPr>
                          <w:t>Перечень проводимых процедур:</w:t>
                        </w:r>
                      </w:p>
                      <w:p w14:paraId="3B1ADF1C" w14:textId="77777777" w:rsidR="00AC4632" w:rsidRPr="009E6200" w:rsidRDefault="00AC4632" w:rsidP="007B46F5">
                        <w:pPr>
                          <w:numPr>
                            <w:ilvl w:val="0"/>
                            <w:numId w:val="11"/>
                          </w:numPr>
                          <w:jc w:val="both"/>
                        </w:pPr>
                        <w:r w:rsidRPr="009E6200">
                          <w:t>Ознакомление с информацией об исследование и подписание формы информированного согласия;</w:t>
                        </w:r>
                      </w:p>
                      <w:p w14:paraId="10EE160F" w14:textId="77777777" w:rsidR="00AC4632" w:rsidRPr="009E6200" w:rsidRDefault="00AC4632" w:rsidP="007B46F5">
                        <w:pPr>
                          <w:numPr>
                            <w:ilvl w:val="0"/>
                            <w:numId w:val="11"/>
                          </w:numPr>
                          <w:jc w:val="both"/>
                        </w:pPr>
                        <w:r w:rsidRPr="009E6200">
                          <w:t>Сбор жалоб;</w:t>
                        </w:r>
                      </w:p>
                      <w:p w14:paraId="18D0EB9C" w14:textId="77777777" w:rsidR="00AC4632" w:rsidRPr="009E6200" w:rsidRDefault="00AC4632" w:rsidP="007B46F5">
                        <w:pPr>
                          <w:numPr>
                            <w:ilvl w:val="0"/>
                            <w:numId w:val="11"/>
                          </w:numPr>
                          <w:jc w:val="both"/>
                        </w:pPr>
                        <w:r w:rsidRPr="009E6200">
                          <w:t>Сбор анамнестических, демографических и антропометрических (масса тела, рост) данных;</w:t>
                        </w:r>
                      </w:p>
                      <w:p w14:paraId="21EB6EF4" w14:textId="77777777" w:rsidR="001310EA" w:rsidRPr="009E6200" w:rsidRDefault="001310EA" w:rsidP="007B46F5">
                        <w:pPr>
                          <w:numPr>
                            <w:ilvl w:val="0"/>
                            <w:numId w:val="11"/>
                          </w:numPr>
                          <w:jc w:val="both"/>
                        </w:pPr>
                        <w:r w:rsidRPr="009E6200">
                          <w:t>Оценка статуса курения;</w:t>
                        </w:r>
                      </w:p>
                      <w:p w14:paraId="600C51B8" w14:textId="77777777" w:rsidR="00AC4632" w:rsidRPr="009E6200" w:rsidRDefault="00AC4632" w:rsidP="007B46F5">
                        <w:pPr>
                          <w:numPr>
                            <w:ilvl w:val="0"/>
                            <w:numId w:val="11"/>
                          </w:numPr>
                          <w:jc w:val="both"/>
                        </w:pPr>
                        <w:r w:rsidRPr="009E6200">
                          <w:t>Регистрация сопутствующей терапии;</w:t>
                        </w:r>
                      </w:p>
                      <w:p w14:paraId="53A7D9D5" w14:textId="77777777" w:rsidR="00AC4632" w:rsidRPr="009E6200" w:rsidRDefault="00AC4632" w:rsidP="007B46F5">
                        <w:pPr>
                          <w:numPr>
                            <w:ilvl w:val="0"/>
                            <w:numId w:val="11"/>
                          </w:numPr>
                          <w:jc w:val="both"/>
                        </w:pPr>
                        <w:r w:rsidRPr="009E6200">
                          <w:t>Физикальный осмотр;</w:t>
                        </w:r>
                      </w:p>
                      <w:p w14:paraId="695C9FFC" w14:textId="77777777" w:rsidR="00AC4632" w:rsidRPr="009E6200" w:rsidRDefault="00AC4632" w:rsidP="007B46F5">
                        <w:pPr>
                          <w:numPr>
                            <w:ilvl w:val="0"/>
                            <w:numId w:val="11"/>
                          </w:numPr>
                          <w:jc w:val="both"/>
                        </w:pPr>
                        <w:r w:rsidRPr="009E6200">
                          <w:t xml:space="preserve">Оценка статуса по </w:t>
                        </w:r>
                        <w:r w:rsidRPr="009E6200">
                          <w:rPr>
                            <w:lang w:val="en-US"/>
                          </w:rPr>
                          <w:t>ECOG;</w:t>
                        </w:r>
                      </w:p>
                      <w:p w14:paraId="21727E0F" w14:textId="77777777" w:rsidR="00AC4632" w:rsidRPr="009E6200" w:rsidRDefault="00AC4632" w:rsidP="007B46F5">
                        <w:pPr>
                          <w:numPr>
                            <w:ilvl w:val="0"/>
                            <w:numId w:val="11"/>
                          </w:numPr>
                          <w:jc w:val="both"/>
                        </w:pPr>
                        <w:r w:rsidRPr="009E6200">
                          <w:t>Оценка жизненно важных показателей (артериальное давление [АД], частота сердечных сокращений [ЧСС], частота дыхательных движений [ЧДД], температура тела);</w:t>
                        </w:r>
                      </w:p>
                      <w:p w14:paraId="405AD46D" w14:textId="77777777" w:rsidR="00AC4632" w:rsidRPr="009E6200" w:rsidRDefault="00AC4632" w:rsidP="007B46F5">
                        <w:pPr>
                          <w:numPr>
                            <w:ilvl w:val="0"/>
                            <w:numId w:val="11"/>
                          </w:numPr>
                          <w:jc w:val="both"/>
                        </w:pPr>
                        <w:r w:rsidRPr="009E6200">
                          <w:t>Клинический анализ крови;</w:t>
                        </w:r>
                      </w:p>
                      <w:p w14:paraId="77941E4E" w14:textId="77777777" w:rsidR="00AC4632" w:rsidRPr="009E6200" w:rsidRDefault="00AC4632" w:rsidP="007B46F5">
                        <w:pPr>
                          <w:numPr>
                            <w:ilvl w:val="0"/>
                            <w:numId w:val="11"/>
                          </w:numPr>
                          <w:jc w:val="both"/>
                        </w:pPr>
                        <w:r w:rsidRPr="009E6200">
                          <w:t>Биохимический анализ крови (аланинаминотрансфераза [АЛТ], аспартатаминотрансфераза [АСТ], билирубин, щелочная фосфатаза [ЩФ], общий белок, альбумин, глюкоза, мочевина, креатинин);</w:t>
                        </w:r>
                      </w:p>
                      <w:p w14:paraId="3A29FAA5" w14:textId="308CE726" w:rsidR="00AC4632" w:rsidRPr="009E6200" w:rsidRDefault="00D64D1A" w:rsidP="007B46F5">
                        <w:pPr>
                          <w:numPr>
                            <w:ilvl w:val="0"/>
                            <w:numId w:val="11"/>
                          </w:numPr>
                          <w:jc w:val="both"/>
                        </w:pPr>
                        <w:r>
                          <w:t>Коагулограмма (</w:t>
                        </w:r>
                        <w:r w:rsidR="00AC4632" w:rsidRPr="009E6200">
                          <w:t>Активированное частичное тромбопластиновое время (АЧТВ), протромбиновое время (ПВ), фибриноген, международное нормализованное отношение (МНО)</w:t>
                        </w:r>
                        <w:r>
                          <w:t>)</w:t>
                        </w:r>
                        <w:r w:rsidR="00AC4632" w:rsidRPr="009E6200">
                          <w:t>;</w:t>
                        </w:r>
                      </w:p>
                      <w:p w14:paraId="7781639B" w14:textId="74FBCA59" w:rsidR="00AC4632" w:rsidRPr="009E6200" w:rsidRDefault="00AC4632" w:rsidP="007B46F5">
                        <w:pPr>
                          <w:numPr>
                            <w:ilvl w:val="0"/>
                            <w:numId w:val="11"/>
                          </w:numPr>
                          <w:jc w:val="both"/>
                        </w:pPr>
                        <w:r w:rsidRPr="009E6200">
                          <w:t xml:space="preserve">Поверхностный антиген </w:t>
                        </w:r>
                        <w:r w:rsidR="005D5947" w:rsidRPr="009E6200">
                          <w:t xml:space="preserve">вируса </w:t>
                        </w:r>
                        <w:r w:rsidRPr="009E6200">
                          <w:t xml:space="preserve">гепатита </w:t>
                        </w:r>
                        <w:r w:rsidRPr="009E6200">
                          <w:rPr>
                            <w:lang w:val="en-US"/>
                          </w:rPr>
                          <w:t>B</w:t>
                        </w:r>
                        <w:r w:rsidRPr="009E6200">
                          <w:t xml:space="preserve"> (hepatitis В surface antigen, </w:t>
                        </w:r>
                        <w:r w:rsidRPr="009E6200">
                          <w:rPr>
                            <w:lang w:val="en-US"/>
                          </w:rPr>
                          <w:t>HBs</w:t>
                        </w:r>
                        <w:r w:rsidRPr="009E6200">
                          <w:t>-</w:t>
                        </w:r>
                        <w:r w:rsidRPr="009E6200">
                          <w:rPr>
                            <w:lang w:val="en-US"/>
                          </w:rPr>
                          <w:t>Ag</w:t>
                        </w:r>
                        <w:r w:rsidRPr="009E6200">
                          <w:t xml:space="preserve">), антитела к антигенам вируса гепатита </w:t>
                        </w:r>
                        <w:r w:rsidRPr="009E6200">
                          <w:rPr>
                            <w:lang w:val="en-US"/>
                          </w:rPr>
                          <w:t>C</w:t>
                        </w:r>
                        <w:r w:rsidRPr="009E6200">
                          <w:t xml:space="preserve"> (антитела к hepаtitis C virus, анти-</w:t>
                        </w:r>
                        <w:r w:rsidRPr="009E6200">
                          <w:rPr>
                            <w:lang w:val="en-US"/>
                          </w:rPr>
                          <w:t>HCV</w:t>
                        </w:r>
                        <w:r w:rsidRPr="009E6200">
                          <w:t>), антитела к антигенам вируса иммунодефицита человека (анти-ВИЧ), анализ на сифилис. Возможен учет результатов исследований, выполненных в течение 60 дней до визита скрининга;</w:t>
                        </w:r>
                      </w:p>
                      <w:p w14:paraId="39D71F14" w14:textId="77777777" w:rsidR="00AC4632" w:rsidRPr="009E6200" w:rsidRDefault="00AC4632" w:rsidP="007B46F5">
                        <w:pPr>
                          <w:numPr>
                            <w:ilvl w:val="0"/>
                            <w:numId w:val="11"/>
                          </w:numPr>
                          <w:jc w:val="both"/>
                        </w:pPr>
                        <w:r w:rsidRPr="009E6200">
                          <w:t>Общий анализ мочи;</w:t>
                        </w:r>
                      </w:p>
                      <w:p w14:paraId="0CD02027" w14:textId="77777777" w:rsidR="00AC4632" w:rsidRPr="009E6200" w:rsidRDefault="00AC4632" w:rsidP="007B46F5">
                        <w:pPr>
                          <w:numPr>
                            <w:ilvl w:val="0"/>
                            <w:numId w:val="11"/>
                          </w:numPr>
                          <w:jc w:val="both"/>
                        </w:pPr>
                        <w:r w:rsidRPr="009E6200">
                          <w:t>Тест на беременность (для женщин детородного возраста с сохраненным репродуктивным потенциалом);</w:t>
                        </w:r>
                      </w:p>
                      <w:p w14:paraId="276E4280" w14:textId="77777777" w:rsidR="00AC4632" w:rsidRPr="009E6200" w:rsidRDefault="00AC4632" w:rsidP="007B46F5">
                        <w:pPr>
                          <w:numPr>
                            <w:ilvl w:val="0"/>
                            <w:numId w:val="11"/>
                          </w:numPr>
                          <w:jc w:val="both"/>
                        </w:pPr>
                        <w:r w:rsidRPr="009E6200">
                          <w:t>Электрокардиография (ЭКГ);</w:t>
                        </w:r>
                      </w:p>
                      <w:p w14:paraId="4F6E1188" w14:textId="482F21D0" w:rsidR="00927593" w:rsidRDefault="002E738B" w:rsidP="007B46F5">
                        <w:pPr>
                          <w:numPr>
                            <w:ilvl w:val="0"/>
                            <w:numId w:val="11"/>
                          </w:numPr>
                          <w:jc w:val="both"/>
                        </w:pPr>
                        <w:r w:rsidRPr="009E6200">
                          <w:t>Исходная о</w:t>
                        </w:r>
                        <w:r w:rsidR="00980269" w:rsidRPr="009E6200">
                          <w:t>ценка очагов</w:t>
                        </w:r>
                        <w:r w:rsidRPr="009E6200">
                          <w:t xml:space="preserve"> с определением </w:t>
                        </w:r>
                        <w:r w:rsidR="007047BD" w:rsidRPr="009E6200">
                          <w:t xml:space="preserve">целевых (для </w:t>
                        </w:r>
                        <w:r w:rsidR="007B2603" w:rsidRPr="009E6200">
                          <w:t xml:space="preserve">последующей </w:t>
                        </w:r>
                        <w:r w:rsidR="007047BD" w:rsidRPr="009E6200">
                          <w:t xml:space="preserve">количественной оценки) и нецелевых (для </w:t>
                        </w:r>
                        <w:r w:rsidR="007B2603" w:rsidRPr="009E6200">
                          <w:t xml:space="preserve">последующей </w:t>
                        </w:r>
                        <w:r w:rsidR="007047BD" w:rsidRPr="009E6200">
                          <w:t xml:space="preserve">качественной оценки) поражений: для оценки могут использоваться </w:t>
                        </w:r>
                        <w:r w:rsidR="008F44B6" w:rsidRPr="009E6200">
                          <w:t xml:space="preserve">данные результатов следующих исследований, выполненных в течение 28 дней до скрининга или в период скрининга: </w:t>
                        </w:r>
                        <w:r w:rsidR="00980269" w:rsidRPr="009E6200">
                          <w:t xml:space="preserve"> </w:t>
                        </w:r>
                        <w:r w:rsidR="008F44B6" w:rsidRPr="009E6200">
                          <w:t>к</w:t>
                        </w:r>
                        <w:r w:rsidR="00AC4632" w:rsidRPr="009E6200">
                          <w:t>омпьютерная томография (КТ)</w:t>
                        </w:r>
                        <w:r w:rsidR="00394E09">
                          <w:t xml:space="preserve"> </w:t>
                        </w:r>
                        <w:r w:rsidR="00AC4632" w:rsidRPr="009E6200">
                          <w:t>органов грудной клетки</w:t>
                        </w:r>
                        <w:r w:rsidR="00992FD6">
                          <w:t xml:space="preserve"> </w:t>
                        </w:r>
                        <w:r w:rsidR="00DB589B">
                          <w:t xml:space="preserve">и брюшной полости </w:t>
                        </w:r>
                        <w:r w:rsidR="00DB589B" w:rsidDel="00DB589B">
                          <w:t xml:space="preserve"> </w:t>
                        </w:r>
                        <w:r w:rsidR="006C281D" w:rsidRPr="00E4053F">
                          <w:t>(с контрастированием)</w:t>
                        </w:r>
                        <w:r w:rsidR="00AC4632" w:rsidRPr="009E6200">
                          <w:t xml:space="preserve"> + КТ (с контрастированием) или магнитно-резонансная томография (МРТ) (с контрастированием)</w:t>
                        </w:r>
                        <w:r w:rsidR="008F44B6" w:rsidRPr="009E6200">
                          <w:t xml:space="preserve"> всех </w:t>
                        </w:r>
                        <w:r w:rsidR="007F0EAC" w:rsidRPr="009E6200">
                          <w:t xml:space="preserve">применимых </w:t>
                        </w:r>
                        <w:r w:rsidR="008F44B6" w:rsidRPr="009E6200">
                          <w:t xml:space="preserve">областей с </w:t>
                        </w:r>
                        <w:r w:rsidR="001E7232" w:rsidRPr="009E6200">
                          <w:t>первичной опухолью</w:t>
                        </w:r>
                        <w:r w:rsidR="008F44B6" w:rsidRPr="009E6200">
                          <w:t xml:space="preserve"> и ранее выявленными метастазами или при подозрении на метастазы:</w:t>
                        </w:r>
                        <w:r w:rsidR="00AC4632" w:rsidRPr="009E6200">
                          <w:t xml:space="preserve"> головы, шеи, органов брюшной полости и малого таза</w:t>
                        </w:r>
                        <w:r w:rsidR="007F0EAC" w:rsidRPr="009E6200">
                          <w:t>, и т.д.</w:t>
                        </w:r>
                        <w:r w:rsidR="00AC4632" w:rsidRPr="009E6200">
                          <w:t>;</w:t>
                        </w:r>
                      </w:p>
                      <w:p w14:paraId="4F02D97A" w14:textId="2CFC0251" w:rsidR="00DB589B" w:rsidRPr="00DB589B" w:rsidRDefault="00DB589B" w:rsidP="007B46F5">
                        <w:pPr>
                          <w:numPr>
                            <w:ilvl w:val="0"/>
                            <w:numId w:val="11"/>
                          </w:numPr>
                          <w:jc w:val="both"/>
                          <w:rPr>
                            <w:rFonts w:eastAsia="Times New Roman" w:cs="Times New Roman"/>
                          </w:rPr>
                        </w:pPr>
                        <w:r w:rsidRPr="00DB589B">
                          <w:rPr>
                            <w:rFonts w:eastAsia="Times New Roman" w:cs="Times New Roman"/>
                          </w:rPr>
                          <w:t>Биопсия первичной опухоли или метастаза (в зависимости от того, что доступнее) для анализа на наличие мутаций, определяющих чувствительность опухоли к таргетной терапии (определение мутаций осуществляется по назначению врача-исследователя)</w:t>
                        </w:r>
                        <w:r w:rsidR="008B2453">
                          <w:rPr>
                            <w:rFonts w:eastAsia="Times New Roman" w:cs="Times New Roman"/>
                          </w:rPr>
                          <w:t>, если анализ на указанные мутации не выполнен ранее</w:t>
                        </w:r>
                        <w:r w:rsidRPr="00DB589B">
                          <w:rPr>
                            <w:rFonts w:eastAsia="Times New Roman" w:cs="Times New Roman"/>
                          </w:rPr>
                          <w:t>;</w:t>
                        </w:r>
                      </w:p>
                      <w:p w14:paraId="50578BAA" w14:textId="49B89E44" w:rsidR="00AC4632" w:rsidRPr="009E6200" w:rsidRDefault="00AC4632" w:rsidP="007B46F5">
                        <w:pPr>
                          <w:numPr>
                            <w:ilvl w:val="0"/>
                            <w:numId w:val="11"/>
                          </w:numPr>
                          <w:jc w:val="both"/>
                        </w:pPr>
                        <w:r w:rsidRPr="009E6200">
                          <w:t>При наличии анамнеза эрозивно-язвенных поражений желудочно-кишечного тракта (ЖКТ) или наличия значимых жалоб/симптомов, предполагающих такое поражение</w:t>
                        </w:r>
                        <w:r w:rsidR="002E738B" w:rsidRPr="009E6200">
                          <w:t xml:space="preserve"> (в случае если подобное исследование не выполнено в течение 28 дней до скрининга)</w:t>
                        </w:r>
                        <w:r w:rsidRPr="009E6200">
                          <w:t xml:space="preserve"> - </w:t>
                        </w:r>
                        <w:r w:rsidR="006648BF" w:rsidRPr="006648BF">
                          <w:rPr>
                            <w:rFonts w:eastAsia="Times New Roman" w:cs="Times New Roman"/>
                          </w:rPr>
                          <w:t>эзофагогастродуоденоскопия (ЭГДС) и колоноскопия;</w:t>
                        </w:r>
                      </w:p>
                      <w:p w14:paraId="4995EAF3" w14:textId="77777777" w:rsidR="00AC4632" w:rsidRPr="009E6200" w:rsidRDefault="00AC4632" w:rsidP="007B46F5">
                        <w:pPr>
                          <w:numPr>
                            <w:ilvl w:val="0"/>
                            <w:numId w:val="11"/>
                          </w:numPr>
                          <w:jc w:val="both"/>
                        </w:pPr>
                        <w:r w:rsidRPr="009E6200">
                          <w:t>Оценка критериев включения/невключения;</w:t>
                        </w:r>
                      </w:p>
                      <w:p w14:paraId="59EE2954" w14:textId="3E56E4A1" w:rsidR="00B217D7" w:rsidRDefault="00AC4632" w:rsidP="007B46F5">
                        <w:pPr>
                          <w:numPr>
                            <w:ilvl w:val="0"/>
                            <w:numId w:val="11"/>
                          </w:numPr>
                          <w:jc w:val="both"/>
                        </w:pPr>
                        <w:r w:rsidRPr="009E6200">
                          <w:t>Оценка серьезных нежелательных явлений (СНЯ)</w:t>
                        </w:r>
                        <w:r w:rsidR="00896DC9">
                          <w:t>, связанных с процедурами исследования</w:t>
                        </w:r>
                        <w:r w:rsidRPr="009E6200">
                          <w:t>.</w:t>
                        </w:r>
                      </w:p>
                      <w:p w14:paraId="268DCF01" w14:textId="77777777" w:rsidR="00887681" w:rsidRDefault="00887681" w:rsidP="007B46F5">
                        <w:pPr>
                          <w:ind w:left="720"/>
                          <w:jc w:val="both"/>
                        </w:pPr>
                      </w:p>
                      <w:p w14:paraId="557D4A78" w14:textId="14DAEC56" w:rsidR="00AC4632" w:rsidRDefault="00AC4632" w:rsidP="007B46F5">
                        <w:pPr>
                          <w:jc w:val="both"/>
                          <w:rPr>
                            <w:b/>
                            <w:u w:val="single"/>
                          </w:rPr>
                        </w:pPr>
                        <w:r w:rsidRPr="00B217D7">
                          <w:rPr>
                            <w:b/>
                            <w:u w:val="single"/>
                          </w:rPr>
                          <w:t xml:space="preserve">Основная </w:t>
                        </w:r>
                        <w:r w:rsidR="007E0256" w:rsidRPr="00B217D7">
                          <w:rPr>
                            <w:b/>
                            <w:u w:val="single"/>
                          </w:rPr>
                          <w:t xml:space="preserve">часть </w:t>
                        </w:r>
                        <w:r w:rsidRPr="00B217D7">
                          <w:rPr>
                            <w:b/>
                            <w:u w:val="single"/>
                          </w:rPr>
                          <w:t>исследования</w:t>
                        </w:r>
                      </w:p>
                      <w:p w14:paraId="2DA95305" w14:textId="77777777" w:rsidR="00887681" w:rsidRPr="00B217D7" w:rsidRDefault="00887681" w:rsidP="007B46F5">
                        <w:pPr>
                          <w:jc w:val="both"/>
                        </w:pPr>
                      </w:p>
                      <w:p w14:paraId="429EB27D" w14:textId="0730010C" w:rsidR="00AC4632" w:rsidRPr="00B217D7" w:rsidRDefault="00AC4632" w:rsidP="007B46F5">
                        <w:pPr>
                          <w:jc w:val="both"/>
                          <w:rPr>
                            <w:b/>
                          </w:rPr>
                        </w:pPr>
                        <w:r w:rsidRPr="00B217D7">
                          <w:rPr>
                            <w:b/>
                          </w:rPr>
                          <w:t xml:space="preserve">Визит 1 (рандомизация), день 1, неделя 1 </w:t>
                        </w:r>
                        <w:r w:rsidR="006648BF" w:rsidRPr="006648BF">
                          <w:rPr>
                            <w:rFonts w:eastAsia="Times New Roman" w:cs="Times New Roman"/>
                            <w:b/>
                          </w:rPr>
                          <w:t>(цикл 1):</w:t>
                        </w:r>
                      </w:p>
                      <w:p w14:paraId="5D323788" w14:textId="77777777" w:rsidR="00AC4632" w:rsidRPr="009E6200" w:rsidRDefault="00AC4632" w:rsidP="007B46F5">
                        <w:pPr>
                          <w:jc w:val="both"/>
                        </w:pPr>
                        <w:r w:rsidRPr="009E6200">
                          <w:t>Обследование и лечение пациентов в рамках каждого цикла может быть проведено в ходе госпитализации, в формате дневного стационара или амбулаторно (в соответствии в принятой практикой в клиническом центре). Перечень проводимых процедур исследования:</w:t>
                        </w:r>
                      </w:p>
                      <w:p w14:paraId="6A89393D" w14:textId="77777777" w:rsidR="00AC4632" w:rsidRPr="009E6200" w:rsidRDefault="00AC4632" w:rsidP="007B46F5">
                        <w:pPr>
                          <w:numPr>
                            <w:ilvl w:val="0"/>
                            <w:numId w:val="11"/>
                          </w:numPr>
                          <w:jc w:val="both"/>
                        </w:pPr>
                        <w:r w:rsidRPr="009E6200">
                          <w:t>Сбор жалоб;</w:t>
                        </w:r>
                      </w:p>
                      <w:p w14:paraId="2D65DB63" w14:textId="77777777" w:rsidR="00AC4632" w:rsidRPr="009E6200" w:rsidRDefault="00AC4632" w:rsidP="007B46F5">
                        <w:pPr>
                          <w:numPr>
                            <w:ilvl w:val="0"/>
                            <w:numId w:val="11"/>
                          </w:numPr>
                          <w:jc w:val="both"/>
                        </w:pPr>
                        <w:r w:rsidRPr="009E6200">
                          <w:t>Регистрация сопутствующей терапии;</w:t>
                        </w:r>
                      </w:p>
                      <w:p w14:paraId="379E32F7" w14:textId="77777777" w:rsidR="00AC4632" w:rsidRPr="009E6200" w:rsidRDefault="00AC4632" w:rsidP="007B46F5">
                        <w:pPr>
                          <w:numPr>
                            <w:ilvl w:val="0"/>
                            <w:numId w:val="11"/>
                          </w:numPr>
                          <w:jc w:val="both"/>
                        </w:pPr>
                        <w:r w:rsidRPr="009E6200">
                          <w:t>Физикальный осмотр;</w:t>
                        </w:r>
                      </w:p>
                      <w:p w14:paraId="4B160AF1" w14:textId="77777777" w:rsidR="00AC4632" w:rsidRPr="009E6200" w:rsidRDefault="00AC4632" w:rsidP="007B46F5">
                        <w:pPr>
                          <w:numPr>
                            <w:ilvl w:val="0"/>
                            <w:numId w:val="11"/>
                          </w:numPr>
                          <w:jc w:val="both"/>
                        </w:pPr>
                        <w:r w:rsidRPr="009E6200">
                          <w:t xml:space="preserve">Оценка статуса по </w:t>
                        </w:r>
                        <w:r w:rsidRPr="009E6200">
                          <w:rPr>
                            <w:lang w:val="en-US"/>
                          </w:rPr>
                          <w:t>ECOG;</w:t>
                        </w:r>
                      </w:p>
                      <w:p w14:paraId="27AE97E5" w14:textId="77777777" w:rsidR="00AC4632" w:rsidRPr="009E6200" w:rsidRDefault="00AC4632" w:rsidP="007B46F5">
                        <w:pPr>
                          <w:numPr>
                            <w:ilvl w:val="0"/>
                            <w:numId w:val="11"/>
                          </w:numPr>
                          <w:jc w:val="both"/>
                        </w:pPr>
                        <w:r w:rsidRPr="009E6200">
                          <w:t>Измерение массы тела;</w:t>
                        </w:r>
                      </w:p>
                      <w:p w14:paraId="7005E595" w14:textId="77777777" w:rsidR="00AC4632" w:rsidRPr="009E6200" w:rsidRDefault="00AC4632" w:rsidP="007B46F5">
                        <w:pPr>
                          <w:numPr>
                            <w:ilvl w:val="0"/>
                            <w:numId w:val="11"/>
                          </w:numPr>
                          <w:jc w:val="both"/>
                        </w:pPr>
                        <w:r w:rsidRPr="009E6200">
                          <w:t>Оценка жизненно важных показателей (АД, ЧСС, ЧДД, температура тела);</w:t>
                        </w:r>
                      </w:p>
                      <w:p w14:paraId="2D458A94" w14:textId="77777777" w:rsidR="00AC4632" w:rsidRPr="009E6200" w:rsidRDefault="00AC4632" w:rsidP="007B46F5">
                        <w:pPr>
                          <w:numPr>
                            <w:ilvl w:val="0"/>
                            <w:numId w:val="11"/>
                          </w:numPr>
                          <w:jc w:val="both"/>
                        </w:pPr>
                        <w:r w:rsidRPr="009E6200">
                          <w:t>Следующие обследования необходимо повторить на рандомизации только в том случае, если с момента предыдущего обследования (в ходе скрининга) прошло более 7 дней:</w:t>
                        </w:r>
                      </w:p>
                      <w:p w14:paraId="5FE21692" w14:textId="77777777" w:rsidR="00AC4632" w:rsidRPr="009E6200" w:rsidRDefault="00AC4632" w:rsidP="007B46F5">
                        <w:pPr>
                          <w:numPr>
                            <w:ilvl w:val="1"/>
                            <w:numId w:val="11"/>
                          </w:numPr>
                          <w:jc w:val="both"/>
                        </w:pPr>
                        <w:r w:rsidRPr="009E6200">
                          <w:t>Клинический анализ крови;</w:t>
                        </w:r>
                      </w:p>
                      <w:p w14:paraId="7F88D1D3" w14:textId="4F7AAC27" w:rsidR="00AC4632" w:rsidRDefault="00AC4632" w:rsidP="007B46F5">
                        <w:pPr>
                          <w:numPr>
                            <w:ilvl w:val="1"/>
                            <w:numId w:val="11"/>
                          </w:numPr>
                          <w:jc w:val="both"/>
                        </w:pPr>
                        <w:r w:rsidRPr="009E6200">
                          <w:t>Биохимический анализ крови (АЛТ, АСТ, билирубин, ЩФ, общий белок, альбумин, глюкоза, мочевина, креатинин);</w:t>
                        </w:r>
                      </w:p>
                      <w:p w14:paraId="2F229033" w14:textId="77777777" w:rsidR="00AC4632" w:rsidRPr="009E6200" w:rsidRDefault="00AC4632" w:rsidP="007B46F5">
                        <w:pPr>
                          <w:numPr>
                            <w:ilvl w:val="1"/>
                            <w:numId w:val="11"/>
                          </w:numPr>
                          <w:jc w:val="both"/>
                        </w:pPr>
                        <w:r w:rsidRPr="009E6200">
                          <w:t>Общий анализ мочи;</w:t>
                        </w:r>
                      </w:p>
                      <w:p w14:paraId="431CFD5E" w14:textId="6408C524" w:rsidR="008B2453" w:rsidRDefault="00AC4632" w:rsidP="007B46F5">
                        <w:pPr>
                          <w:numPr>
                            <w:ilvl w:val="1"/>
                            <w:numId w:val="11"/>
                          </w:numPr>
                          <w:jc w:val="both"/>
                        </w:pPr>
                        <w:r w:rsidRPr="009E6200">
                          <w:t>ЭКГ;</w:t>
                        </w:r>
                      </w:p>
                      <w:p w14:paraId="62962861" w14:textId="0AE60483" w:rsidR="008B2453" w:rsidRPr="008C68D8" w:rsidRDefault="008B2453" w:rsidP="007B46F5">
                        <w:pPr>
                          <w:numPr>
                            <w:ilvl w:val="0"/>
                            <w:numId w:val="11"/>
                          </w:numPr>
                          <w:jc w:val="both"/>
                        </w:pPr>
                        <w:r w:rsidRPr="00030BF5">
                          <w:rPr>
                            <w:rFonts w:eastAsia="Times New Roman" w:cs="Times New Roman"/>
                          </w:rPr>
                          <w:t>Оценка скорости клубочковой фильтрации (СКФ);</w:t>
                        </w:r>
                      </w:p>
                      <w:p w14:paraId="73745527" w14:textId="3018E69F" w:rsidR="00AC4632" w:rsidRPr="009E6200" w:rsidRDefault="00AC4632" w:rsidP="007B46F5">
                        <w:pPr>
                          <w:numPr>
                            <w:ilvl w:val="0"/>
                            <w:numId w:val="11"/>
                          </w:numPr>
                          <w:jc w:val="both"/>
                        </w:pPr>
                        <w:r w:rsidRPr="009E6200">
                          <w:t>Анализ крови на уровень антител к бевацизумабу;</w:t>
                        </w:r>
                      </w:p>
                      <w:p w14:paraId="50F3B15A" w14:textId="77777777" w:rsidR="00AC4632" w:rsidRPr="009E6200" w:rsidRDefault="00AC4632" w:rsidP="007B46F5">
                        <w:pPr>
                          <w:numPr>
                            <w:ilvl w:val="0"/>
                            <w:numId w:val="11"/>
                          </w:numPr>
                          <w:jc w:val="both"/>
                        </w:pPr>
                        <w:r w:rsidRPr="009E6200">
                          <w:t>Тест на беременность (для женщин детородного возраста с сохраненным репродуктивным потенциалом);</w:t>
                        </w:r>
                      </w:p>
                      <w:p w14:paraId="2FE7B106" w14:textId="77777777" w:rsidR="00AC4632" w:rsidRPr="009E6200" w:rsidRDefault="00AC4632" w:rsidP="007B46F5">
                        <w:pPr>
                          <w:numPr>
                            <w:ilvl w:val="0"/>
                            <w:numId w:val="11"/>
                          </w:numPr>
                          <w:jc w:val="both"/>
                        </w:pPr>
                        <w:r w:rsidRPr="009E6200">
                          <w:t>Оценка критериев включения/невключения;</w:t>
                        </w:r>
                      </w:p>
                      <w:p w14:paraId="667EF929" w14:textId="77777777" w:rsidR="00AC4632" w:rsidRPr="009E6200" w:rsidRDefault="00AC4632" w:rsidP="007B46F5">
                        <w:pPr>
                          <w:numPr>
                            <w:ilvl w:val="0"/>
                            <w:numId w:val="11"/>
                          </w:numPr>
                          <w:jc w:val="both"/>
                        </w:pPr>
                        <w:r w:rsidRPr="009E6200">
                          <w:t>Рандомизация</w:t>
                        </w:r>
                        <w:r w:rsidR="00001A27" w:rsidRPr="009E6200">
                          <w:t xml:space="preserve"> </w:t>
                        </w:r>
                        <w:r w:rsidR="00DB16D2" w:rsidRPr="009E6200">
                          <w:rPr>
                            <w:lang w:eastAsia="ru-RU"/>
                          </w:rPr>
                          <w:t>с использованием электронной системы (</w:t>
                        </w:r>
                        <w:r w:rsidR="00DB16D2" w:rsidRPr="009E6200">
                          <w:rPr>
                            <w:lang w:val="en-US" w:eastAsia="ru-RU"/>
                          </w:rPr>
                          <w:t>IWRS</w:t>
                        </w:r>
                        <w:r w:rsidR="00DB16D2" w:rsidRPr="009E6200">
                          <w:rPr>
                            <w:lang w:eastAsia="ru-RU"/>
                          </w:rPr>
                          <w:t xml:space="preserve">) с распределением пациентов по группам терапии в соотношении 1:1 и стратификацией </w:t>
                        </w:r>
                        <w:r w:rsidR="0040320D" w:rsidRPr="009E6200">
                          <w:rPr>
                            <w:lang w:eastAsia="ru-RU"/>
                          </w:rPr>
                          <w:t>по характеру заболевания (в</w:t>
                        </w:r>
                        <w:r w:rsidR="0040320D" w:rsidRPr="009E6200">
                          <w:t>первые диагностированный или рецидивирующий неплоскоклеточный НМРЛ), полу и курению (</w:t>
                        </w:r>
                        <w:r w:rsidR="00FC0098" w:rsidRPr="009E6200">
                          <w:t xml:space="preserve">группа высокого риска по курению: стаж курения 20 пачка/лет и более, продолжающие курить пациенты или пациенты, бросившие курить менее чем за 15 лет до визита рандомизации; группа низкого риска по курению: пациенты, которые </w:t>
                        </w:r>
                        <w:r w:rsidR="0040320D" w:rsidRPr="009E6200">
                          <w:t xml:space="preserve">никогда не курили </w:t>
                        </w:r>
                        <w:r w:rsidR="00FC0098" w:rsidRPr="009E6200">
                          <w:t>или бросили курить более чем за 15 лет до визита рандомизации);</w:t>
                        </w:r>
                      </w:p>
                      <w:p w14:paraId="30298CC3" w14:textId="77777777" w:rsidR="00AC4632" w:rsidRPr="009E6200" w:rsidRDefault="00AC4632" w:rsidP="007B46F5">
                        <w:pPr>
                          <w:numPr>
                            <w:ilvl w:val="0"/>
                            <w:numId w:val="11"/>
                          </w:numPr>
                          <w:jc w:val="both"/>
                        </w:pPr>
                        <w:r w:rsidRPr="009E6200">
                          <w:t>Первое введение препаратов химиотерапии и бевацизумаба (исследуемого препарата или препарата сравнения);</w:t>
                        </w:r>
                      </w:p>
                      <w:p w14:paraId="3B51B338" w14:textId="1F866D1B" w:rsidR="008B2453" w:rsidRDefault="008B2453" w:rsidP="007B46F5">
                        <w:pPr>
                          <w:numPr>
                            <w:ilvl w:val="0"/>
                            <w:numId w:val="11"/>
                          </w:numPr>
                          <w:jc w:val="both"/>
                        </w:pPr>
                        <w:r w:rsidRPr="008B2453">
                          <w:rPr>
                            <w:rFonts w:eastAsia="Times New Roman" w:cs="Times New Roman"/>
                          </w:rPr>
                          <w:t>Оценка НЯ (с момента первого введения препарата) и СНЯ;</w:t>
                        </w:r>
                      </w:p>
                      <w:p w14:paraId="25F45EF7" w14:textId="3A1EC6E1" w:rsidR="00AC4632" w:rsidRDefault="00AC4632" w:rsidP="007B46F5">
                        <w:pPr>
                          <w:numPr>
                            <w:ilvl w:val="0"/>
                            <w:numId w:val="11"/>
                          </w:numPr>
                          <w:jc w:val="both"/>
                        </w:pPr>
                        <w:r w:rsidRPr="009E6200">
                          <w:t>Оценка критериев исключения (с момента первого введения препарата).</w:t>
                        </w:r>
                      </w:p>
                      <w:p w14:paraId="49C07C94" w14:textId="77777777" w:rsidR="00887681" w:rsidRPr="009E6200" w:rsidRDefault="00887681" w:rsidP="007B46F5">
                        <w:pPr>
                          <w:ind w:left="720"/>
                          <w:jc w:val="both"/>
                        </w:pPr>
                      </w:p>
                      <w:p w14:paraId="2AEC01FF" w14:textId="77777777" w:rsidR="00AC4632" w:rsidRPr="009E6200" w:rsidRDefault="00AC4632" w:rsidP="007B46F5">
                        <w:pPr>
                          <w:jc w:val="both"/>
                          <w:rPr>
                            <w:b/>
                          </w:rPr>
                        </w:pPr>
                        <w:r w:rsidRPr="009E6200">
                          <w:rPr>
                            <w:b/>
                          </w:rPr>
                          <w:t>Визит 2, день 22</w:t>
                        </w:r>
                        <w:r w:rsidRPr="009E6200">
                          <w:rPr>
                            <w:rFonts w:cs="Times New Roman"/>
                            <w:b/>
                          </w:rPr>
                          <w:t>±</w:t>
                        </w:r>
                        <w:r w:rsidRPr="009E6200">
                          <w:rPr>
                            <w:b/>
                          </w:rPr>
                          <w:t>4, неделя 4 (цикл 2):</w:t>
                        </w:r>
                      </w:p>
                      <w:p w14:paraId="3B156C6D" w14:textId="77777777" w:rsidR="00AC4632" w:rsidRPr="009E6200" w:rsidRDefault="00DF78FE" w:rsidP="007B46F5">
                        <w:pPr>
                          <w:jc w:val="both"/>
                        </w:pPr>
                        <w:r w:rsidRPr="009E6200">
                          <w:t>Обследование и лечение пациентов в рамках каждого цикла может быть проведено в ходе госпитализации, в формате дневного стационара или амбулаторно (в соответствии в принятой практикой в клиническом центре).</w:t>
                        </w:r>
                        <w:r w:rsidR="00AC4632" w:rsidRPr="009E6200">
                          <w:t xml:space="preserve"> Перечень проводимых процедур исследования:</w:t>
                        </w:r>
                      </w:p>
                      <w:p w14:paraId="3FED74CE" w14:textId="77777777" w:rsidR="00AC4632" w:rsidRPr="009E6200" w:rsidRDefault="00AC4632" w:rsidP="007B46F5">
                        <w:pPr>
                          <w:numPr>
                            <w:ilvl w:val="0"/>
                            <w:numId w:val="11"/>
                          </w:numPr>
                          <w:jc w:val="both"/>
                        </w:pPr>
                        <w:r w:rsidRPr="009E6200">
                          <w:t>Сбор жалоб;</w:t>
                        </w:r>
                      </w:p>
                      <w:p w14:paraId="13A6C932" w14:textId="77777777" w:rsidR="00AC4632" w:rsidRPr="009E6200" w:rsidRDefault="00AC4632" w:rsidP="007B46F5">
                        <w:pPr>
                          <w:numPr>
                            <w:ilvl w:val="0"/>
                            <w:numId w:val="11"/>
                          </w:numPr>
                          <w:jc w:val="both"/>
                        </w:pPr>
                        <w:r w:rsidRPr="009E6200">
                          <w:t>Регистрация сопутствующей терапии;</w:t>
                        </w:r>
                      </w:p>
                      <w:p w14:paraId="00814C26" w14:textId="77777777" w:rsidR="00AC4632" w:rsidRPr="009E6200" w:rsidRDefault="00AC4632" w:rsidP="007B46F5">
                        <w:pPr>
                          <w:numPr>
                            <w:ilvl w:val="0"/>
                            <w:numId w:val="11"/>
                          </w:numPr>
                          <w:jc w:val="both"/>
                        </w:pPr>
                        <w:r w:rsidRPr="009E6200">
                          <w:t>Физикальный осмотр;</w:t>
                        </w:r>
                      </w:p>
                      <w:p w14:paraId="7B52FE21" w14:textId="77777777" w:rsidR="00AC4632" w:rsidRPr="009E6200" w:rsidRDefault="00AC4632" w:rsidP="007B46F5">
                        <w:pPr>
                          <w:numPr>
                            <w:ilvl w:val="0"/>
                            <w:numId w:val="11"/>
                          </w:numPr>
                          <w:jc w:val="both"/>
                        </w:pPr>
                        <w:r w:rsidRPr="009E6200">
                          <w:t xml:space="preserve">Оценка статуса по </w:t>
                        </w:r>
                        <w:r w:rsidRPr="009E6200">
                          <w:rPr>
                            <w:lang w:val="en-US"/>
                          </w:rPr>
                          <w:t>ECOG;</w:t>
                        </w:r>
                      </w:p>
                      <w:p w14:paraId="39EC3E43" w14:textId="77777777" w:rsidR="00AC4632" w:rsidRPr="009E6200" w:rsidRDefault="00AC4632" w:rsidP="007B46F5">
                        <w:pPr>
                          <w:numPr>
                            <w:ilvl w:val="0"/>
                            <w:numId w:val="11"/>
                          </w:numPr>
                          <w:jc w:val="both"/>
                        </w:pPr>
                        <w:r w:rsidRPr="009E6200">
                          <w:t>Измерение массы тела;</w:t>
                        </w:r>
                      </w:p>
                      <w:p w14:paraId="371D6289" w14:textId="77777777" w:rsidR="00AC4632" w:rsidRPr="009E6200" w:rsidRDefault="00AC4632" w:rsidP="007B46F5">
                        <w:pPr>
                          <w:numPr>
                            <w:ilvl w:val="0"/>
                            <w:numId w:val="11"/>
                          </w:numPr>
                          <w:jc w:val="both"/>
                        </w:pPr>
                        <w:r w:rsidRPr="009E6200">
                          <w:t>Оценка жизненно важных показателей (АД, ЧСС, ЧДД, температура тела);</w:t>
                        </w:r>
                      </w:p>
                      <w:p w14:paraId="2F3C10BF" w14:textId="77777777" w:rsidR="008B2453" w:rsidRPr="008B2453" w:rsidRDefault="008B2453" w:rsidP="007B46F5">
                        <w:pPr>
                          <w:numPr>
                            <w:ilvl w:val="0"/>
                            <w:numId w:val="11"/>
                          </w:numPr>
                          <w:jc w:val="both"/>
                          <w:rPr>
                            <w:rFonts w:eastAsia="Times New Roman" w:cs="Times New Roman"/>
                          </w:rPr>
                        </w:pPr>
                        <w:r w:rsidRPr="008B2453">
                          <w:rPr>
                            <w:rFonts w:eastAsia="Times New Roman" w:cs="Times New Roman"/>
                          </w:rPr>
                          <w:t>Клинический анализ крови;</w:t>
                        </w:r>
                      </w:p>
                      <w:p w14:paraId="0194B026" w14:textId="77777777" w:rsidR="00AC4632" w:rsidRPr="009E6200" w:rsidRDefault="00AC4632" w:rsidP="007B46F5">
                        <w:pPr>
                          <w:numPr>
                            <w:ilvl w:val="0"/>
                            <w:numId w:val="11"/>
                          </w:numPr>
                          <w:jc w:val="both"/>
                        </w:pPr>
                        <w:r w:rsidRPr="009E6200">
                          <w:t>Биохимический анализ крови (АЛТ, АСТ, билирубин, ЩФ, общий белок, альбумин, глюкоза, мочевина, креатинин);</w:t>
                        </w:r>
                      </w:p>
                      <w:p w14:paraId="403649E4" w14:textId="77777777" w:rsidR="00AC4632" w:rsidRPr="009E6200" w:rsidRDefault="00AC4632" w:rsidP="007B46F5">
                        <w:pPr>
                          <w:numPr>
                            <w:ilvl w:val="0"/>
                            <w:numId w:val="11"/>
                          </w:numPr>
                          <w:jc w:val="both"/>
                        </w:pPr>
                        <w:r w:rsidRPr="009E6200">
                          <w:t>Оценка СКФ для коррекции дозы карбоплатина;</w:t>
                        </w:r>
                      </w:p>
                      <w:p w14:paraId="7DBD907C" w14:textId="77777777" w:rsidR="00AC4632" w:rsidRPr="009E6200" w:rsidRDefault="00AC4632" w:rsidP="007B46F5">
                        <w:pPr>
                          <w:numPr>
                            <w:ilvl w:val="0"/>
                            <w:numId w:val="11"/>
                          </w:numPr>
                          <w:jc w:val="both"/>
                        </w:pPr>
                        <w:r w:rsidRPr="009E6200">
                          <w:t>Тест на беременность (для женщин детородного возраста с сохраненным репродуктивным потенциалом);</w:t>
                        </w:r>
                      </w:p>
                      <w:p w14:paraId="6C5CD67C" w14:textId="77777777" w:rsidR="00AC4632" w:rsidRPr="009E6200" w:rsidRDefault="00AC4632" w:rsidP="007B46F5">
                        <w:pPr>
                          <w:numPr>
                            <w:ilvl w:val="0"/>
                            <w:numId w:val="11"/>
                          </w:numPr>
                          <w:jc w:val="both"/>
                        </w:pPr>
                        <w:r w:rsidRPr="009E6200">
                          <w:t>Общий анализ мочи;</w:t>
                        </w:r>
                      </w:p>
                      <w:p w14:paraId="409D538D" w14:textId="14E9FB5B" w:rsidR="00AC4632" w:rsidRDefault="00AC4632" w:rsidP="007B46F5">
                        <w:pPr>
                          <w:numPr>
                            <w:ilvl w:val="0"/>
                            <w:numId w:val="11"/>
                          </w:numPr>
                          <w:jc w:val="both"/>
                        </w:pPr>
                        <w:r w:rsidRPr="009E6200">
                          <w:t>ЭКГ;</w:t>
                        </w:r>
                      </w:p>
                      <w:p w14:paraId="6E9B0F7A" w14:textId="77777777" w:rsidR="00AC4632" w:rsidRPr="009E6200" w:rsidRDefault="00AC4632" w:rsidP="007B46F5">
                        <w:pPr>
                          <w:numPr>
                            <w:ilvl w:val="0"/>
                            <w:numId w:val="11"/>
                          </w:numPr>
                          <w:jc w:val="both"/>
                        </w:pPr>
                        <w:r w:rsidRPr="009E6200">
                          <w:t>Оценка НЯ и СНЯ;</w:t>
                        </w:r>
                      </w:p>
                      <w:p w14:paraId="4DADB18F" w14:textId="77777777" w:rsidR="00AC4632" w:rsidRPr="009E6200" w:rsidRDefault="00AC4632" w:rsidP="007B46F5">
                        <w:pPr>
                          <w:numPr>
                            <w:ilvl w:val="0"/>
                            <w:numId w:val="11"/>
                          </w:numPr>
                          <w:jc w:val="both"/>
                        </w:pPr>
                        <w:r w:rsidRPr="009E6200">
                          <w:t>Оценка критериев исключения;</w:t>
                        </w:r>
                      </w:p>
                      <w:p w14:paraId="1B8186B4" w14:textId="71CDF4F7" w:rsidR="00AC4632" w:rsidRDefault="00AC4632" w:rsidP="007B46F5">
                        <w:pPr>
                          <w:numPr>
                            <w:ilvl w:val="0"/>
                            <w:numId w:val="11"/>
                          </w:numPr>
                          <w:jc w:val="both"/>
                        </w:pPr>
                        <w:r w:rsidRPr="009E6200">
                          <w:t xml:space="preserve">Если допустимо </w:t>
                        </w:r>
                        <w:r w:rsidR="00354F85" w:rsidRPr="009E6200">
                          <w:t xml:space="preserve">с учетом наличия и выраженности </w:t>
                        </w:r>
                        <w:r w:rsidRPr="009E6200">
                          <w:t>токсичности, второе введение препаратов химиотерапии и бевацизумаба.</w:t>
                        </w:r>
                      </w:p>
                      <w:p w14:paraId="053B97E7" w14:textId="77777777" w:rsidR="00887681" w:rsidRPr="009E6200" w:rsidRDefault="00887681" w:rsidP="007B46F5">
                        <w:pPr>
                          <w:ind w:left="720"/>
                          <w:jc w:val="both"/>
                        </w:pPr>
                      </w:p>
                      <w:p w14:paraId="5319735E" w14:textId="77777777" w:rsidR="00AC4632" w:rsidRPr="009E6200" w:rsidRDefault="00AC4632" w:rsidP="007B46F5">
                        <w:pPr>
                          <w:jc w:val="both"/>
                          <w:rPr>
                            <w:b/>
                          </w:rPr>
                        </w:pPr>
                        <w:r w:rsidRPr="009E6200">
                          <w:rPr>
                            <w:b/>
                          </w:rPr>
                          <w:t>Визит 3, день 43</w:t>
                        </w:r>
                        <w:r w:rsidRPr="009E6200">
                          <w:rPr>
                            <w:rFonts w:cs="Times New Roman"/>
                            <w:b/>
                          </w:rPr>
                          <w:t>±</w:t>
                        </w:r>
                        <w:r w:rsidRPr="009E6200">
                          <w:rPr>
                            <w:b/>
                          </w:rPr>
                          <w:t>4, неделя 7 (цикл 3):</w:t>
                        </w:r>
                      </w:p>
                      <w:p w14:paraId="126BBE09" w14:textId="77777777" w:rsidR="00AC4632" w:rsidRPr="009E6200" w:rsidRDefault="00DF78FE" w:rsidP="007B46F5">
                        <w:pPr>
                          <w:jc w:val="both"/>
                        </w:pPr>
                        <w:r w:rsidRPr="009E6200">
                          <w:t xml:space="preserve">Обследование и лечение пациентов в рамках каждого цикла может быть проведено в ходе госпитализации, в формате дневного стационара или амбулаторно (в соответствии в принятой практикой в клиническом центре). </w:t>
                        </w:r>
                        <w:r w:rsidR="00AC4632" w:rsidRPr="009E6200">
                          <w:t>Перечень проводимых процедур исследования:</w:t>
                        </w:r>
                      </w:p>
                      <w:p w14:paraId="4A660D6D" w14:textId="77777777" w:rsidR="00AC4632" w:rsidRPr="009E6200" w:rsidRDefault="00AC4632" w:rsidP="007B46F5">
                        <w:pPr>
                          <w:numPr>
                            <w:ilvl w:val="0"/>
                            <w:numId w:val="11"/>
                          </w:numPr>
                          <w:jc w:val="both"/>
                        </w:pPr>
                        <w:r w:rsidRPr="009E6200">
                          <w:t>Сбор жалоб;</w:t>
                        </w:r>
                      </w:p>
                      <w:p w14:paraId="481DE43E" w14:textId="77777777" w:rsidR="00AC4632" w:rsidRPr="009E6200" w:rsidRDefault="00AC4632" w:rsidP="007B46F5">
                        <w:pPr>
                          <w:numPr>
                            <w:ilvl w:val="0"/>
                            <w:numId w:val="11"/>
                          </w:numPr>
                          <w:jc w:val="both"/>
                        </w:pPr>
                        <w:r w:rsidRPr="009E6200">
                          <w:t>Регистрация сопутствующей терапии;</w:t>
                        </w:r>
                      </w:p>
                      <w:p w14:paraId="3DC9E99A" w14:textId="77777777" w:rsidR="00AC4632" w:rsidRPr="009E6200" w:rsidRDefault="00AC4632" w:rsidP="007B46F5">
                        <w:pPr>
                          <w:numPr>
                            <w:ilvl w:val="0"/>
                            <w:numId w:val="11"/>
                          </w:numPr>
                          <w:jc w:val="both"/>
                        </w:pPr>
                        <w:r w:rsidRPr="009E6200">
                          <w:t>Физикальный осмотр;</w:t>
                        </w:r>
                      </w:p>
                      <w:p w14:paraId="061392F0" w14:textId="77777777" w:rsidR="00AC4632" w:rsidRPr="009E6200" w:rsidRDefault="00AC4632" w:rsidP="007B46F5">
                        <w:pPr>
                          <w:numPr>
                            <w:ilvl w:val="0"/>
                            <w:numId w:val="11"/>
                          </w:numPr>
                          <w:jc w:val="both"/>
                        </w:pPr>
                        <w:r w:rsidRPr="009E6200">
                          <w:t xml:space="preserve">Оценка статуса по </w:t>
                        </w:r>
                        <w:r w:rsidRPr="009E6200">
                          <w:rPr>
                            <w:lang w:val="en-US"/>
                          </w:rPr>
                          <w:t>ECOG;</w:t>
                        </w:r>
                      </w:p>
                      <w:p w14:paraId="37F8BA6F" w14:textId="77777777" w:rsidR="00AC4632" w:rsidRPr="009E6200" w:rsidRDefault="00AC4632" w:rsidP="007B46F5">
                        <w:pPr>
                          <w:numPr>
                            <w:ilvl w:val="0"/>
                            <w:numId w:val="11"/>
                          </w:numPr>
                          <w:jc w:val="both"/>
                        </w:pPr>
                        <w:r w:rsidRPr="009E6200">
                          <w:t>Измерение массы тела</w:t>
                        </w:r>
                      </w:p>
                      <w:p w14:paraId="5C150578" w14:textId="77777777" w:rsidR="00AC4632" w:rsidRPr="009E6200" w:rsidRDefault="00AC4632" w:rsidP="007B46F5">
                        <w:pPr>
                          <w:numPr>
                            <w:ilvl w:val="0"/>
                            <w:numId w:val="11"/>
                          </w:numPr>
                          <w:jc w:val="both"/>
                        </w:pPr>
                        <w:r w:rsidRPr="009E6200">
                          <w:t>Оценка жизненно важных показателей (АД, ЧСС, ЧДД, температура тела);</w:t>
                        </w:r>
                      </w:p>
                      <w:p w14:paraId="2D7FC1EF" w14:textId="77777777" w:rsidR="00AC4632" w:rsidRPr="009E6200" w:rsidRDefault="00AC4632" w:rsidP="007B46F5">
                        <w:pPr>
                          <w:numPr>
                            <w:ilvl w:val="0"/>
                            <w:numId w:val="11"/>
                          </w:numPr>
                          <w:jc w:val="both"/>
                        </w:pPr>
                        <w:r w:rsidRPr="009E6200">
                          <w:t>Клинический анализ крови;</w:t>
                        </w:r>
                      </w:p>
                      <w:p w14:paraId="193FB289" w14:textId="77777777" w:rsidR="00AC4632" w:rsidRPr="009E6200" w:rsidRDefault="00AC4632" w:rsidP="007B46F5">
                        <w:pPr>
                          <w:numPr>
                            <w:ilvl w:val="0"/>
                            <w:numId w:val="11"/>
                          </w:numPr>
                          <w:jc w:val="both"/>
                        </w:pPr>
                        <w:r w:rsidRPr="009E6200">
                          <w:t>Биохимический анализ крови (АЛТ, АСТ, билирубин, ЩФ, общий белок, альбумин, глюкоза, мочевина креатинин);</w:t>
                        </w:r>
                      </w:p>
                      <w:p w14:paraId="3BB0FAE6" w14:textId="77777777" w:rsidR="00AC4632" w:rsidRPr="009E6200" w:rsidRDefault="00AC4632" w:rsidP="007B46F5">
                        <w:pPr>
                          <w:numPr>
                            <w:ilvl w:val="0"/>
                            <w:numId w:val="11"/>
                          </w:numPr>
                          <w:jc w:val="both"/>
                        </w:pPr>
                        <w:r w:rsidRPr="009E6200">
                          <w:t>Оценка СКФ для коррекции дозы карбоплатина;</w:t>
                        </w:r>
                      </w:p>
                      <w:p w14:paraId="0F962E30" w14:textId="1840E299" w:rsidR="00AC4632" w:rsidRPr="009E6200" w:rsidRDefault="00AC4632" w:rsidP="007B46F5">
                        <w:pPr>
                          <w:numPr>
                            <w:ilvl w:val="0"/>
                            <w:numId w:val="11"/>
                          </w:numPr>
                          <w:jc w:val="both"/>
                        </w:pPr>
                        <w:r w:rsidRPr="009E6200">
                          <w:t>Анализ крови на уровень антител к бевацизумабу</w:t>
                        </w:r>
                        <w:r w:rsidR="001C38E3" w:rsidRPr="009E6200">
                          <w:t xml:space="preserve"> (в случае выявления антител – анализ на уровень нейтрализующих антител)</w:t>
                        </w:r>
                        <w:r w:rsidRPr="009E6200">
                          <w:t>;</w:t>
                        </w:r>
                      </w:p>
                      <w:p w14:paraId="0F7698BE" w14:textId="77777777" w:rsidR="00AC4632" w:rsidRPr="009E6200" w:rsidRDefault="00AC4632" w:rsidP="007B46F5">
                        <w:pPr>
                          <w:numPr>
                            <w:ilvl w:val="0"/>
                            <w:numId w:val="11"/>
                          </w:numPr>
                          <w:jc w:val="both"/>
                        </w:pPr>
                        <w:r w:rsidRPr="009E6200">
                          <w:t>Общий анализ мочи;</w:t>
                        </w:r>
                      </w:p>
                      <w:p w14:paraId="53CE786E" w14:textId="77777777" w:rsidR="00AC4632" w:rsidRPr="009E6200" w:rsidRDefault="00AC4632" w:rsidP="007B46F5">
                        <w:pPr>
                          <w:numPr>
                            <w:ilvl w:val="0"/>
                            <w:numId w:val="11"/>
                          </w:numPr>
                          <w:jc w:val="both"/>
                        </w:pPr>
                        <w:r w:rsidRPr="009E6200">
                          <w:t>Тест на беременность (для женщин детородного возраста с сохраненным репродуктивным потенциалом);</w:t>
                        </w:r>
                      </w:p>
                      <w:p w14:paraId="32EEF1C6" w14:textId="77777777" w:rsidR="00AC4632" w:rsidRPr="009E6200" w:rsidRDefault="00AC4632" w:rsidP="007B46F5">
                        <w:pPr>
                          <w:numPr>
                            <w:ilvl w:val="0"/>
                            <w:numId w:val="11"/>
                          </w:numPr>
                          <w:jc w:val="both"/>
                        </w:pPr>
                        <w:r w:rsidRPr="009E6200">
                          <w:t>ЭКГ;</w:t>
                        </w:r>
                      </w:p>
                      <w:p w14:paraId="334AB866" w14:textId="0B74D740" w:rsidR="008B2453" w:rsidRPr="008B2453" w:rsidRDefault="008B2453" w:rsidP="007B46F5">
                        <w:pPr>
                          <w:numPr>
                            <w:ilvl w:val="0"/>
                            <w:numId w:val="11"/>
                          </w:numPr>
                          <w:jc w:val="both"/>
                          <w:rPr>
                            <w:rFonts w:eastAsia="Times New Roman" w:cs="Times New Roman"/>
                          </w:rPr>
                        </w:pPr>
                        <w:r w:rsidRPr="008B2453">
                          <w:rPr>
                            <w:rFonts w:eastAsia="Times New Roman" w:cs="Times New Roman"/>
                          </w:rPr>
                          <w:t>Оценка очагов с определением целевых (для количественной оценки) и нецелевых (для качественной оценки) поражений: КТ</w:t>
                        </w:r>
                        <w:r w:rsidRPr="008B2453">
                          <w:rPr>
                            <w:rFonts w:eastAsia="Times New Roman" w:cs="Times New Roman"/>
                            <w:szCs w:val="24"/>
                          </w:rPr>
                          <w:t xml:space="preserve"> </w:t>
                        </w:r>
                        <w:r w:rsidRPr="008B2453">
                          <w:rPr>
                            <w:rFonts w:eastAsia="Times New Roman" w:cs="Times New Roman"/>
                          </w:rPr>
                          <w:t>органов грудной клетки</w:t>
                        </w:r>
                        <w:r w:rsidR="00355B4D">
                          <w:rPr>
                            <w:rFonts w:eastAsia="Times New Roman" w:cs="Times New Roman"/>
                          </w:rPr>
                          <w:t xml:space="preserve"> и брюшной полости</w:t>
                        </w:r>
                        <w:r w:rsidRPr="008B2453">
                          <w:rPr>
                            <w:rFonts w:eastAsia="Times New Roman" w:cs="Times New Roman"/>
                          </w:rPr>
                          <w:t xml:space="preserve"> </w:t>
                        </w:r>
                        <w:r w:rsidRPr="008B2453">
                          <w:rPr>
                            <w:rFonts w:eastAsia="Times New Roman" w:cs="Times New Roman"/>
                            <w:szCs w:val="24"/>
                          </w:rPr>
                          <w:t>(с контрастированием)</w:t>
                        </w:r>
                        <w:r w:rsidRPr="008B2453">
                          <w:rPr>
                            <w:rFonts w:eastAsia="Times New Roman" w:cs="Times New Roman"/>
                          </w:rPr>
                          <w:t xml:space="preserve"> + КТ (с контрастированием) или МРТ (с контрастированием) всех применимых областей с первичной опухолью и ранее выявленными метастазами или при подозрении на метастазы: головы, шеи, органов брюшной полости и малого таза, и т.д. (для оценки очагов должен быть использован тот же метод обследования, что и на скрининге, если только у пациента не возникают противопоказания к использованию соответствующего метода);</w:t>
                        </w:r>
                      </w:p>
                      <w:p w14:paraId="7A848808" w14:textId="77777777" w:rsidR="00AC4632" w:rsidRPr="009E6200" w:rsidRDefault="00AC4632" w:rsidP="007B46F5">
                        <w:pPr>
                          <w:numPr>
                            <w:ilvl w:val="0"/>
                            <w:numId w:val="11"/>
                          </w:numPr>
                          <w:jc w:val="both"/>
                        </w:pPr>
                        <w:r w:rsidRPr="009E6200">
                          <w:t>Оценка НЯ и СНЯ;</w:t>
                        </w:r>
                      </w:p>
                      <w:p w14:paraId="4963A35A" w14:textId="77777777" w:rsidR="00AC4632" w:rsidRPr="009E6200" w:rsidRDefault="00AC4632" w:rsidP="007B46F5">
                        <w:pPr>
                          <w:numPr>
                            <w:ilvl w:val="0"/>
                            <w:numId w:val="11"/>
                          </w:numPr>
                          <w:jc w:val="both"/>
                        </w:pPr>
                        <w:r w:rsidRPr="009E6200">
                          <w:t>Оценка критериев исключения;</w:t>
                        </w:r>
                      </w:p>
                      <w:p w14:paraId="0E7E84B2" w14:textId="6D1CF655" w:rsidR="00AC4632" w:rsidRDefault="00AC4632" w:rsidP="007B46F5">
                        <w:pPr>
                          <w:numPr>
                            <w:ilvl w:val="0"/>
                            <w:numId w:val="11"/>
                          </w:numPr>
                          <w:jc w:val="both"/>
                        </w:pPr>
                        <w:r w:rsidRPr="009E6200">
                          <w:t xml:space="preserve">Если допустимо </w:t>
                        </w:r>
                        <w:r w:rsidR="00354F85" w:rsidRPr="009E6200">
                          <w:t xml:space="preserve">с учетом наличия и выраженности </w:t>
                        </w:r>
                        <w:r w:rsidRPr="009E6200">
                          <w:t>токсичности и при отсутствии прогрессирования заболевания, третье введение препаратов химиотерапии и бевацизумаба.</w:t>
                        </w:r>
                      </w:p>
                      <w:p w14:paraId="0B2314DE" w14:textId="77777777" w:rsidR="00887681" w:rsidRPr="009E6200" w:rsidRDefault="00887681" w:rsidP="007B46F5">
                        <w:pPr>
                          <w:ind w:left="720"/>
                          <w:jc w:val="both"/>
                        </w:pPr>
                      </w:p>
                      <w:p w14:paraId="26B561B4" w14:textId="77777777" w:rsidR="00AC4632" w:rsidRPr="009E6200" w:rsidRDefault="00AC4632" w:rsidP="007B46F5">
                        <w:pPr>
                          <w:jc w:val="both"/>
                          <w:rPr>
                            <w:b/>
                          </w:rPr>
                        </w:pPr>
                        <w:r w:rsidRPr="009E6200">
                          <w:rPr>
                            <w:b/>
                          </w:rPr>
                          <w:t>Визит 4, день 64</w:t>
                        </w:r>
                        <w:r w:rsidRPr="009E6200">
                          <w:rPr>
                            <w:rFonts w:cs="Times New Roman"/>
                            <w:b/>
                          </w:rPr>
                          <w:t>±</w:t>
                        </w:r>
                        <w:r w:rsidRPr="009E6200">
                          <w:rPr>
                            <w:b/>
                          </w:rPr>
                          <w:t>4, неделя 10 (цикл 4):</w:t>
                        </w:r>
                      </w:p>
                      <w:p w14:paraId="17720358" w14:textId="77777777" w:rsidR="00AC4632" w:rsidRPr="009E6200" w:rsidRDefault="00DF78FE" w:rsidP="007B46F5">
                        <w:pPr>
                          <w:jc w:val="both"/>
                        </w:pPr>
                        <w:r w:rsidRPr="009E6200">
                          <w:t>Обследование и лечение пациентов в рамках каждого цикла может быть проведено в ходе госпитализации, в формате дневного стационара или амбулаторно (в соответствии в принятой практикой в клиническом центре).</w:t>
                        </w:r>
                        <w:r w:rsidR="00AC4632" w:rsidRPr="009E6200">
                          <w:t xml:space="preserve"> Перечень проводимых процедур исследования:</w:t>
                        </w:r>
                      </w:p>
                      <w:p w14:paraId="0BF70F5A" w14:textId="77777777" w:rsidR="00AC4632" w:rsidRPr="009E6200" w:rsidRDefault="00AC4632" w:rsidP="007B46F5">
                        <w:pPr>
                          <w:numPr>
                            <w:ilvl w:val="0"/>
                            <w:numId w:val="11"/>
                          </w:numPr>
                          <w:jc w:val="both"/>
                        </w:pPr>
                        <w:r w:rsidRPr="009E6200">
                          <w:t>Сбор жалоб;</w:t>
                        </w:r>
                      </w:p>
                      <w:p w14:paraId="2014B502" w14:textId="77777777" w:rsidR="00AC4632" w:rsidRPr="009E6200" w:rsidRDefault="00AC4632" w:rsidP="007B46F5">
                        <w:pPr>
                          <w:numPr>
                            <w:ilvl w:val="0"/>
                            <w:numId w:val="11"/>
                          </w:numPr>
                          <w:jc w:val="both"/>
                        </w:pPr>
                        <w:r w:rsidRPr="009E6200">
                          <w:t>Регистрация сопутствующей терапии;</w:t>
                        </w:r>
                      </w:p>
                      <w:p w14:paraId="5570C1E0" w14:textId="77777777" w:rsidR="00AC4632" w:rsidRPr="009E6200" w:rsidRDefault="00AC4632" w:rsidP="007B46F5">
                        <w:pPr>
                          <w:numPr>
                            <w:ilvl w:val="0"/>
                            <w:numId w:val="11"/>
                          </w:numPr>
                          <w:jc w:val="both"/>
                        </w:pPr>
                        <w:r w:rsidRPr="009E6200">
                          <w:t>Физикальный осмотр;</w:t>
                        </w:r>
                      </w:p>
                      <w:p w14:paraId="61CA9866" w14:textId="77777777" w:rsidR="00AC4632" w:rsidRPr="009E6200" w:rsidRDefault="00AC4632" w:rsidP="007B46F5">
                        <w:pPr>
                          <w:numPr>
                            <w:ilvl w:val="0"/>
                            <w:numId w:val="11"/>
                          </w:numPr>
                          <w:jc w:val="both"/>
                        </w:pPr>
                        <w:r w:rsidRPr="009E6200">
                          <w:t xml:space="preserve">Оценка статуса по </w:t>
                        </w:r>
                        <w:r w:rsidRPr="009E6200">
                          <w:rPr>
                            <w:lang w:val="en-US"/>
                          </w:rPr>
                          <w:t>ECOG;</w:t>
                        </w:r>
                      </w:p>
                      <w:p w14:paraId="34455BB8" w14:textId="77777777" w:rsidR="00AC4632" w:rsidRPr="009E6200" w:rsidRDefault="00AC4632" w:rsidP="007B46F5">
                        <w:pPr>
                          <w:numPr>
                            <w:ilvl w:val="0"/>
                            <w:numId w:val="11"/>
                          </w:numPr>
                          <w:jc w:val="both"/>
                        </w:pPr>
                        <w:r w:rsidRPr="009E6200">
                          <w:t>Измерение массы тела;</w:t>
                        </w:r>
                      </w:p>
                      <w:p w14:paraId="63DC7370" w14:textId="77777777" w:rsidR="00AC4632" w:rsidRPr="009E6200" w:rsidRDefault="00AC4632" w:rsidP="007B46F5">
                        <w:pPr>
                          <w:numPr>
                            <w:ilvl w:val="0"/>
                            <w:numId w:val="11"/>
                          </w:numPr>
                          <w:jc w:val="both"/>
                        </w:pPr>
                        <w:r w:rsidRPr="009E6200">
                          <w:t>Оценка жизненно важных показателей (АД, ЧСС, ЧДД, температура тела);</w:t>
                        </w:r>
                      </w:p>
                      <w:p w14:paraId="1B458879" w14:textId="77777777" w:rsidR="00AC4632" w:rsidRPr="009E6200" w:rsidRDefault="00AC4632" w:rsidP="007B46F5">
                        <w:pPr>
                          <w:numPr>
                            <w:ilvl w:val="0"/>
                            <w:numId w:val="11"/>
                          </w:numPr>
                          <w:jc w:val="both"/>
                        </w:pPr>
                        <w:r w:rsidRPr="009E6200">
                          <w:t>Клинический анализ крови;</w:t>
                        </w:r>
                      </w:p>
                      <w:p w14:paraId="55915C4D" w14:textId="77777777" w:rsidR="00AC4632" w:rsidRPr="009E6200" w:rsidRDefault="00AC4632" w:rsidP="007B46F5">
                        <w:pPr>
                          <w:numPr>
                            <w:ilvl w:val="0"/>
                            <w:numId w:val="11"/>
                          </w:numPr>
                          <w:jc w:val="both"/>
                        </w:pPr>
                        <w:r w:rsidRPr="009E6200">
                          <w:t>Биохимический анализ крови (АЛТ, АСТ, билирубин, ЩФ, общий белок, альбумин, глюкоза, мочевина креатинин);</w:t>
                        </w:r>
                      </w:p>
                      <w:p w14:paraId="448EE7B7" w14:textId="77777777" w:rsidR="00AC4632" w:rsidRPr="009E6200" w:rsidRDefault="00AC4632" w:rsidP="007B46F5">
                        <w:pPr>
                          <w:numPr>
                            <w:ilvl w:val="0"/>
                            <w:numId w:val="11"/>
                          </w:numPr>
                          <w:jc w:val="both"/>
                        </w:pPr>
                        <w:r w:rsidRPr="009E6200">
                          <w:t>Оценка СКФ для коррекции дозы карбоплатина;</w:t>
                        </w:r>
                      </w:p>
                      <w:p w14:paraId="395C26FB" w14:textId="77777777" w:rsidR="00AC4632" w:rsidRPr="009E6200" w:rsidRDefault="00AC4632" w:rsidP="007B46F5">
                        <w:pPr>
                          <w:numPr>
                            <w:ilvl w:val="0"/>
                            <w:numId w:val="11"/>
                          </w:numPr>
                          <w:jc w:val="both"/>
                        </w:pPr>
                        <w:r w:rsidRPr="009E6200">
                          <w:t>Общий анализ мочи;</w:t>
                        </w:r>
                      </w:p>
                      <w:p w14:paraId="1F503A4F" w14:textId="77777777" w:rsidR="00AC4632" w:rsidRPr="009E6200" w:rsidRDefault="00AC4632" w:rsidP="007B46F5">
                        <w:pPr>
                          <w:numPr>
                            <w:ilvl w:val="0"/>
                            <w:numId w:val="11"/>
                          </w:numPr>
                          <w:jc w:val="both"/>
                        </w:pPr>
                        <w:r w:rsidRPr="009E6200">
                          <w:t>Тест на беременность (для женщин детородного возраста с сохраненным репродуктивным потенциалом);</w:t>
                        </w:r>
                      </w:p>
                      <w:p w14:paraId="63D9BB58" w14:textId="4914782A" w:rsidR="00AC4632" w:rsidRDefault="00AC4632" w:rsidP="007B46F5">
                        <w:pPr>
                          <w:numPr>
                            <w:ilvl w:val="0"/>
                            <w:numId w:val="11"/>
                          </w:numPr>
                          <w:jc w:val="both"/>
                        </w:pPr>
                        <w:r w:rsidRPr="009E6200">
                          <w:t>ЭКГ;</w:t>
                        </w:r>
                      </w:p>
                      <w:p w14:paraId="32F50639" w14:textId="77777777" w:rsidR="00AC4632" w:rsidRPr="009E6200" w:rsidRDefault="00AC4632" w:rsidP="007B46F5">
                        <w:pPr>
                          <w:numPr>
                            <w:ilvl w:val="0"/>
                            <w:numId w:val="11"/>
                          </w:numPr>
                          <w:jc w:val="both"/>
                        </w:pPr>
                        <w:r w:rsidRPr="009E6200">
                          <w:t>Оценка НЯ и СНЯ;</w:t>
                        </w:r>
                      </w:p>
                      <w:p w14:paraId="7CFC77B8" w14:textId="24441D68" w:rsidR="00AC4632" w:rsidRPr="009E6200" w:rsidRDefault="00AC4632" w:rsidP="007B46F5">
                        <w:pPr>
                          <w:numPr>
                            <w:ilvl w:val="0"/>
                            <w:numId w:val="11"/>
                          </w:numPr>
                          <w:jc w:val="both"/>
                        </w:pPr>
                        <w:r w:rsidRPr="009E6200">
                          <w:t xml:space="preserve">Если допустимо </w:t>
                        </w:r>
                        <w:r w:rsidR="00354F85" w:rsidRPr="009E6200">
                          <w:t xml:space="preserve">с учетом наличия и выраженности </w:t>
                        </w:r>
                        <w:r w:rsidRPr="009E6200">
                          <w:t>токсичности, четвертое введение препаратов химиотерапии и бевацизумаба;</w:t>
                        </w:r>
                      </w:p>
                      <w:p w14:paraId="7C89C4D4" w14:textId="2D73BD76" w:rsidR="00AC4632" w:rsidRDefault="00AC4632" w:rsidP="007B46F5">
                        <w:pPr>
                          <w:numPr>
                            <w:ilvl w:val="0"/>
                            <w:numId w:val="11"/>
                          </w:numPr>
                          <w:jc w:val="both"/>
                        </w:pPr>
                        <w:r w:rsidRPr="009E6200">
                          <w:t>Оценка критериев исключения.</w:t>
                        </w:r>
                      </w:p>
                      <w:p w14:paraId="4C381CCD" w14:textId="77777777" w:rsidR="00887681" w:rsidRPr="009E6200" w:rsidRDefault="00887681" w:rsidP="007B46F5">
                        <w:pPr>
                          <w:ind w:left="720"/>
                          <w:jc w:val="both"/>
                        </w:pPr>
                      </w:p>
                      <w:p w14:paraId="4C50E3F0" w14:textId="77777777" w:rsidR="00AC4632" w:rsidRPr="009E6200" w:rsidRDefault="00AC4632" w:rsidP="007B46F5">
                        <w:pPr>
                          <w:jc w:val="both"/>
                          <w:rPr>
                            <w:b/>
                          </w:rPr>
                        </w:pPr>
                        <w:r w:rsidRPr="009E6200">
                          <w:rPr>
                            <w:b/>
                          </w:rPr>
                          <w:t>Визит 5, день 85</w:t>
                        </w:r>
                        <w:r w:rsidRPr="009E6200">
                          <w:rPr>
                            <w:rFonts w:cs="Times New Roman"/>
                            <w:b/>
                          </w:rPr>
                          <w:t>±</w:t>
                        </w:r>
                        <w:r w:rsidRPr="009E6200">
                          <w:rPr>
                            <w:b/>
                          </w:rPr>
                          <w:t>4, неделя 13 (цикл 5):</w:t>
                        </w:r>
                      </w:p>
                      <w:p w14:paraId="56454FD1" w14:textId="77777777" w:rsidR="00AC4632" w:rsidRPr="009E6200" w:rsidRDefault="00DF78FE" w:rsidP="007B46F5">
                        <w:pPr>
                          <w:jc w:val="both"/>
                        </w:pPr>
                        <w:r w:rsidRPr="009E6200">
                          <w:t>Обследование и лечение пациентов в рамках каждого цикла может быть проведено в ходе госпитализации, в формате дневного стационара или амбулаторно (в соответствии в принятой практикой в клиническом центре).</w:t>
                        </w:r>
                        <w:r w:rsidR="00AC4632" w:rsidRPr="009E6200">
                          <w:t xml:space="preserve"> Перечень проводимых процедур исследования:</w:t>
                        </w:r>
                      </w:p>
                      <w:p w14:paraId="3C13F8C4" w14:textId="77777777" w:rsidR="00AC4632" w:rsidRPr="009E6200" w:rsidRDefault="00AC4632" w:rsidP="007B46F5">
                        <w:pPr>
                          <w:numPr>
                            <w:ilvl w:val="0"/>
                            <w:numId w:val="11"/>
                          </w:numPr>
                          <w:jc w:val="both"/>
                        </w:pPr>
                        <w:r w:rsidRPr="009E6200">
                          <w:t>Сбор жалоб;</w:t>
                        </w:r>
                      </w:p>
                      <w:p w14:paraId="653B49FF" w14:textId="77777777" w:rsidR="00AC4632" w:rsidRPr="009E6200" w:rsidRDefault="00AC4632" w:rsidP="007B46F5">
                        <w:pPr>
                          <w:numPr>
                            <w:ilvl w:val="0"/>
                            <w:numId w:val="11"/>
                          </w:numPr>
                          <w:jc w:val="both"/>
                        </w:pPr>
                        <w:r w:rsidRPr="009E6200">
                          <w:t>Регистрация сопутствующей терапии;</w:t>
                        </w:r>
                      </w:p>
                      <w:p w14:paraId="2E92B0D3" w14:textId="77777777" w:rsidR="00AC4632" w:rsidRPr="009E6200" w:rsidRDefault="00AC4632" w:rsidP="007B46F5">
                        <w:pPr>
                          <w:numPr>
                            <w:ilvl w:val="0"/>
                            <w:numId w:val="11"/>
                          </w:numPr>
                          <w:jc w:val="both"/>
                        </w:pPr>
                        <w:r w:rsidRPr="009E6200">
                          <w:t>Физикальный осмотр;</w:t>
                        </w:r>
                      </w:p>
                      <w:p w14:paraId="4C966BCA" w14:textId="77777777" w:rsidR="00AC4632" w:rsidRPr="009E6200" w:rsidRDefault="00AC4632" w:rsidP="007B46F5">
                        <w:pPr>
                          <w:numPr>
                            <w:ilvl w:val="0"/>
                            <w:numId w:val="11"/>
                          </w:numPr>
                          <w:jc w:val="both"/>
                        </w:pPr>
                        <w:r w:rsidRPr="009E6200">
                          <w:t xml:space="preserve">Оценка статуса по </w:t>
                        </w:r>
                        <w:r w:rsidRPr="009E6200">
                          <w:rPr>
                            <w:lang w:val="en-US"/>
                          </w:rPr>
                          <w:t>ECOG;</w:t>
                        </w:r>
                      </w:p>
                      <w:p w14:paraId="41B1F5C1" w14:textId="77777777" w:rsidR="00AC4632" w:rsidRPr="009E6200" w:rsidRDefault="00AC4632" w:rsidP="007B46F5">
                        <w:pPr>
                          <w:numPr>
                            <w:ilvl w:val="0"/>
                            <w:numId w:val="11"/>
                          </w:numPr>
                          <w:jc w:val="both"/>
                        </w:pPr>
                        <w:r w:rsidRPr="009E6200">
                          <w:t>Измерение массы тела;</w:t>
                        </w:r>
                      </w:p>
                      <w:p w14:paraId="632DD0FE" w14:textId="77777777" w:rsidR="00AC4632" w:rsidRPr="009E6200" w:rsidRDefault="00AC4632" w:rsidP="007B46F5">
                        <w:pPr>
                          <w:numPr>
                            <w:ilvl w:val="0"/>
                            <w:numId w:val="11"/>
                          </w:numPr>
                          <w:jc w:val="both"/>
                        </w:pPr>
                        <w:r w:rsidRPr="009E6200">
                          <w:t>Оценка жизненно важных показателей (АД, ЧСС, ЧДД, температура тела);</w:t>
                        </w:r>
                      </w:p>
                      <w:p w14:paraId="6FB77EFB" w14:textId="77777777" w:rsidR="00AC4632" w:rsidRPr="009E6200" w:rsidRDefault="00AC4632" w:rsidP="007B46F5">
                        <w:pPr>
                          <w:numPr>
                            <w:ilvl w:val="0"/>
                            <w:numId w:val="11"/>
                          </w:numPr>
                          <w:jc w:val="both"/>
                        </w:pPr>
                        <w:r w:rsidRPr="009E6200">
                          <w:t>Клинический анализ крови;</w:t>
                        </w:r>
                      </w:p>
                      <w:p w14:paraId="6D8F53CC" w14:textId="2777250F" w:rsidR="00AC4632" w:rsidRDefault="00AC4632" w:rsidP="007B46F5">
                        <w:pPr>
                          <w:numPr>
                            <w:ilvl w:val="0"/>
                            <w:numId w:val="11"/>
                          </w:numPr>
                          <w:jc w:val="both"/>
                        </w:pPr>
                        <w:r w:rsidRPr="009E6200">
                          <w:t>Биохимический анализ крови (АЛТ, АСТ, билирубин, ЩФ, общий белок, альбумин, глюкоза, мочевина креатинин);</w:t>
                        </w:r>
                      </w:p>
                      <w:p w14:paraId="20D57E74" w14:textId="6C6E60D9" w:rsidR="004B2477" w:rsidRPr="009E6200" w:rsidRDefault="004B2477" w:rsidP="007B46F5">
                        <w:pPr>
                          <w:numPr>
                            <w:ilvl w:val="0"/>
                            <w:numId w:val="11"/>
                          </w:numPr>
                          <w:jc w:val="both"/>
                        </w:pPr>
                        <w:r>
                          <w:t>Коагулограмма (</w:t>
                        </w:r>
                        <w:r w:rsidRPr="009E6200">
                          <w:t>Активированное частичное тромбопластиновое время (АЧТВ), протромбиновое время (ПВ), фибриноген, международное нормализованное отношение (МНО)</w:t>
                        </w:r>
                        <w:r>
                          <w:t>);</w:t>
                        </w:r>
                      </w:p>
                      <w:p w14:paraId="2E8EB99D" w14:textId="77777777" w:rsidR="00AC4632" w:rsidRPr="009E6200" w:rsidRDefault="00AC4632" w:rsidP="007B46F5">
                        <w:pPr>
                          <w:numPr>
                            <w:ilvl w:val="0"/>
                            <w:numId w:val="11"/>
                          </w:numPr>
                          <w:jc w:val="both"/>
                        </w:pPr>
                        <w:r w:rsidRPr="009E6200">
                          <w:t>Оценка СКФ для коррекции дозы карбоплатина;</w:t>
                        </w:r>
                      </w:p>
                      <w:p w14:paraId="4E80A41E" w14:textId="0F8F6333" w:rsidR="00AC4632" w:rsidRPr="009E6200" w:rsidRDefault="00AC4632" w:rsidP="007B46F5">
                        <w:pPr>
                          <w:numPr>
                            <w:ilvl w:val="0"/>
                            <w:numId w:val="11"/>
                          </w:numPr>
                          <w:jc w:val="both"/>
                        </w:pPr>
                        <w:r w:rsidRPr="009E6200">
                          <w:t>Анализ крови на уровень антител</w:t>
                        </w:r>
                        <w:r w:rsidR="007E0256" w:rsidRPr="009E6200">
                          <w:t xml:space="preserve"> к бевацизумабу (в случае выявления антител – анализ на уровень нейтрализующих антител)</w:t>
                        </w:r>
                        <w:r w:rsidRPr="009E6200">
                          <w:t>;</w:t>
                        </w:r>
                      </w:p>
                      <w:p w14:paraId="382504DD" w14:textId="77777777" w:rsidR="00AC4632" w:rsidRPr="009E6200" w:rsidRDefault="00AC4632" w:rsidP="007B46F5">
                        <w:pPr>
                          <w:numPr>
                            <w:ilvl w:val="0"/>
                            <w:numId w:val="11"/>
                          </w:numPr>
                          <w:jc w:val="both"/>
                        </w:pPr>
                        <w:r w:rsidRPr="009E6200">
                          <w:t>Общий анализ мочи;</w:t>
                        </w:r>
                      </w:p>
                      <w:p w14:paraId="7F3876AF" w14:textId="77777777" w:rsidR="00AC4632" w:rsidRPr="009E6200" w:rsidRDefault="00AC4632" w:rsidP="007B46F5">
                        <w:pPr>
                          <w:numPr>
                            <w:ilvl w:val="0"/>
                            <w:numId w:val="11"/>
                          </w:numPr>
                          <w:jc w:val="both"/>
                        </w:pPr>
                        <w:r w:rsidRPr="009E6200">
                          <w:t>Тест на беременность (для женщин детородного возраста с сохраненным репродуктивным потенциалом);</w:t>
                        </w:r>
                      </w:p>
                      <w:p w14:paraId="342E2710" w14:textId="77777777" w:rsidR="00AC4632" w:rsidRPr="009E6200" w:rsidRDefault="00AC4632" w:rsidP="007B46F5">
                        <w:pPr>
                          <w:numPr>
                            <w:ilvl w:val="0"/>
                            <w:numId w:val="11"/>
                          </w:numPr>
                          <w:jc w:val="both"/>
                        </w:pPr>
                        <w:r w:rsidRPr="009E6200">
                          <w:t>ЭКГ;</w:t>
                        </w:r>
                      </w:p>
                      <w:p w14:paraId="699D64A8" w14:textId="3A23D57E" w:rsidR="00AC4632" w:rsidRPr="009E6200" w:rsidRDefault="007F0EAC" w:rsidP="007B46F5">
                        <w:pPr>
                          <w:numPr>
                            <w:ilvl w:val="0"/>
                            <w:numId w:val="11"/>
                          </w:numPr>
                          <w:jc w:val="both"/>
                        </w:pPr>
                        <w:r w:rsidRPr="009E6200">
                          <w:t>Оценка очагов с определением целевых (для количественной оценки) и нецелевых (для кач</w:t>
                        </w:r>
                        <w:r w:rsidR="008C70C5">
                          <w:t xml:space="preserve">ественной оценки) поражений: </w:t>
                        </w:r>
                        <w:r w:rsidR="008B2453" w:rsidRPr="008B2453">
                          <w:rPr>
                            <w:rFonts w:eastAsia="Times New Roman" w:cs="Times New Roman"/>
                          </w:rPr>
                          <w:t>КТ</w:t>
                        </w:r>
                        <w:r w:rsidR="008B2453" w:rsidRPr="008B2453">
                          <w:rPr>
                            <w:rFonts w:eastAsia="Times New Roman" w:cs="Times New Roman"/>
                            <w:szCs w:val="24"/>
                          </w:rPr>
                          <w:t xml:space="preserve"> </w:t>
                        </w:r>
                        <w:r w:rsidR="008B2453" w:rsidRPr="008B2453">
                          <w:rPr>
                            <w:rFonts w:eastAsia="Times New Roman" w:cs="Times New Roman"/>
                          </w:rPr>
                          <w:t xml:space="preserve">органов грудной клетки </w:t>
                        </w:r>
                        <w:r w:rsidR="00725DF2">
                          <w:rPr>
                            <w:rFonts w:eastAsia="Times New Roman" w:cs="Times New Roman"/>
                          </w:rPr>
                          <w:t xml:space="preserve">и брюшной полости </w:t>
                        </w:r>
                        <w:r w:rsidR="008B2453" w:rsidRPr="008B2453">
                          <w:rPr>
                            <w:rFonts w:eastAsia="Times New Roman" w:cs="Times New Roman"/>
                            <w:szCs w:val="24"/>
                          </w:rPr>
                          <w:t>(с контрастированием)</w:t>
                        </w:r>
                        <w:r w:rsidR="008B2453" w:rsidRPr="008B2453">
                          <w:rPr>
                            <w:rFonts w:eastAsia="Times New Roman" w:cs="Times New Roman"/>
                          </w:rPr>
                          <w:t xml:space="preserve"> + КТ (с контрастированием) </w:t>
                        </w:r>
                        <w:r w:rsidRPr="009E6200">
                          <w:t>или МРТ (с контрастированием) всех применимых областей с первичной опухолью и ранее выявленными метастазами или при подозрении на метастазы: головы, шеи, органов брюшной полости и малого таза, и т.д. (для оценки очагов должен быть использован тот же метод обследования, что и на скрининге, если только у пациента не возникают противопоказания к использованию соответствующего метода)</w:t>
                        </w:r>
                        <w:r w:rsidR="00AC4632" w:rsidRPr="009E6200">
                          <w:t>;</w:t>
                        </w:r>
                      </w:p>
                      <w:p w14:paraId="562B64AF" w14:textId="77777777" w:rsidR="00AC4632" w:rsidRPr="009E6200" w:rsidRDefault="00AC4632" w:rsidP="007B46F5">
                        <w:pPr>
                          <w:numPr>
                            <w:ilvl w:val="0"/>
                            <w:numId w:val="11"/>
                          </w:numPr>
                          <w:jc w:val="both"/>
                        </w:pPr>
                        <w:r w:rsidRPr="009E6200">
                          <w:t>Оценка НЯ и СНЯ;</w:t>
                        </w:r>
                      </w:p>
                      <w:p w14:paraId="59C27DBE" w14:textId="77777777" w:rsidR="00AC4632" w:rsidRPr="009E6200" w:rsidRDefault="00AC4632" w:rsidP="007B46F5">
                        <w:pPr>
                          <w:numPr>
                            <w:ilvl w:val="0"/>
                            <w:numId w:val="11"/>
                          </w:numPr>
                          <w:jc w:val="both"/>
                        </w:pPr>
                        <w:r w:rsidRPr="009E6200">
                          <w:t>Оценка критериев исключения;</w:t>
                        </w:r>
                      </w:p>
                      <w:p w14:paraId="155EB8A5" w14:textId="6B0F9D34" w:rsidR="00AC4632" w:rsidRDefault="00AC4632" w:rsidP="007B46F5">
                        <w:pPr>
                          <w:numPr>
                            <w:ilvl w:val="0"/>
                            <w:numId w:val="11"/>
                          </w:numPr>
                          <w:jc w:val="both"/>
                        </w:pPr>
                        <w:r w:rsidRPr="009E6200">
                          <w:t xml:space="preserve">Если допустимо </w:t>
                        </w:r>
                        <w:r w:rsidR="00354F85" w:rsidRPr="009E6200">
                          <w:t xml:space="preserve">с учетом наличия и выраженности </w:t>
                        </w:r>
                        <w:r w:rsidRPr="009E6200">
                          <w:t>токсичности и при отсутствии прогрессирования заболевания, пятое введение препаратов химиотерапии и бевацизумаба.</w:t>
                        </w:r>
                      </w:p>
                      <w:p w14:paraId="510EC8EE" w14:textId="77777777" w:rsidR="00887681" w:rsidRPr="009E6200" w:rsidRDefault="00887681" w:rsidP="007B46F5">
                        <w:pPr>
                          <w:ind w:left="720"/>
                          <w:jc w:val="both"/>
                        </w:pPr>
                      </w:p>
                      <w:p w14:paraId="6DDE4484" w14:textId="77777777" w:rsidR="00AC4632" w:rsidRPr="009E6200" w:rsidRDefault="00AC4632" w:rsidP="007B46F5">
                        <w:pPr>
                          <w:jc w:val="both"/>
                          <w:rPr>
                            <w:b/>
                          </w:rPr>
                        </w:pPr>
                        <w:r w:rsidRPr="009E6200">
                          <w:rPr>
                            <w:b/>
                          </w:rPr>
                          <w:t>Визит 6, день 106</w:t>
                        </w:r>
                        <w:r w:rsidRPr="009E6200">
                          <w:rPr>
                            <w:rFonts w:cs="Times New Roman"/>
                            <w:b/>
                          </w:rPr>
                          <w:t>±</w:t>
                        </w:r>
                        <w:r w:rsidRPr="009E6200">
                          <w:rPr>
                            <w:b/>
                          </w:rPr>
                          <w:t>4, неделя 16 (цикл 6):</w:t>
                        </w:r>
                      </w:p>
                      <w:p w14:paraId="02F76D19" w14:textId="77777777" w:rsidR="00AC4632" w:rsidRPr="009E6200" w:rsidRDefault="00DF78FE" w:rsidP="007B46F5">
                        <w:pPr>
                          <w:jc w:val="both"/>
                        </w:pPr>
                        <w:r w:rsidRPr="009E6200">
                          <w:t>Обследование и лечение пациентов в рамках каждого цикла может быть проведено в ходе госпитализации, в формате дневного стационара или амбулаторно (в соответствии в принятой практикой в клиническом центре).</w:t>
                        </w:r>
                        <w:r w:rsidR="00AC4632" w:rsidRPr="009E6200">
                          <w:t xml:space="preserve"> Перечень проводимых процедур исследования:</w:t>
                        </w:r>
                      </w:p>
                      <w:p w14:paraId="69211658" w14:textId="77777777" w:rsidR="00AC4632" w:rsidRPr="009E6200" w:rsidRDefault="00AC4632" w:rsidP="007B46F5">
                        <w:pPr>
                          <w:numPr>
                            <w:ilvl w:val="0"/>
                            <w:numId w:val="11"/>
                          </w:numPr>
                          <w:jc w:val="both"/>
                        </w:pPr>
                        <w:r w:rsidRPr="009E6200">
                          <w:t>Сбор жалоб;</w:t>
                        </w:r>
                      </w:p>
                      <w:p w14:paraId="35632C00" w14:textId="77777777" w:rsidR="00AC4632" w:rsidRPr="009E6200" w:rsidRDefault="00AC4632" w:rsidP="007B46F5">
                        <w:pPr>
                          <w:numPr>
                            <w:ilvl w:val="0"/>
                            <w:numId w:val="11"/>
                          </w:numPr>
                          <w:jc w:val="both"/>
                        </w:pPr>
                        <w:r w:rsidRPr="009E6200">
                          <w:t>Регистрация сопутствующей терапии;</w:t>
                        </w:r>
                      </w:p>
                      <w:p w14:paraId="389BDA69" w14:textId="77777777" w:rsidR="00AC4632" w:rsidRPr="009E6200" w:rsidRDefault="00AC4632" w:rsidP="007B46F5">
                        <w:pPr>
                          <w:numPr>
                            <w:ilvl w:val="0"/>
                            <w:numId w:val="11"/>
                          </w:numPr>
                          <w:jc w:val="both"/>
                        </w:pPr>
                        <w:r w:rsidRPr="009E6200">
                          <w:t>Физикальный осмотр;</w:t>
                        </w:r>
                      </w:p>
                      <w:p w14:paraId="4E16C2E3" w14:textId="77777777" w:rsidR="00AC4632" w:rsidRPr="009E6200" w:rsidRDefault="00AC4632" w:rsidP="007B46F5">
                        <w:pPr>
                          <w:numPr>
                            <w:ilvl w:val="0"/>
                            <w:numId w:val="11"/>
                          </w:numPr>
                          <w:jc w:val="both"/>
                        </w:pPr>
                        <w:r w:rsidRPr="009E6200">
                          <w:t xml:space="preserve">Оценка статуса по </w:t>
                        </w:r>
                        <w:r w:rsidRPr="009E6200">
                          <w:rPr>
                            <w:lang w:val="en-US"/>
                          </w:rPr>
                          <w:t>ECOG;</w:t>
                        </w:r>
                      </w:p>
                      <w:p w14:paraId="5A3F6903" w14:textId="77777777" w:rsidR="00AC4632" w:rsidRPr="009E6200" w:rsidRDefault="00AC4632" w:rsidP="007B46F5">
                        <w:pPr>
                          <w:numPr>
                            <w:ilvl w:val="0"/>
                            <w:numId w:val="11"/>
                          </w:numPr>
                          <w:jc w:val="both"/>
                        </w:pPr>
                        <w:r w:rsidRPr="009E6200">
                          <w:t>Измерение массы тела;</w:t>
                        </w:r>
                      </w:p>
                      <w:p w14:paraId="4DAC7D2B" w14:textId="77777777" w:rsidR="00AC4632" w:rsidRPr="009E6200" w:rsidRDefault="00AC4632" w:rsidP="007B46F5">
                        <w:pPr>
                          <w:numPr>
                            <w:ilvl w:val="0"/>
                            <w:numId w:val="11"/>
                          </w:numPr>
                          <w:jc w:val="both"/>
                        </w:pPr>
                        <w:r w:rsidRPr="009E6200">
                          <w:t>Оценка жизненно важных показателей (АД, ЧСС, ЧДД, температура тела);</w:t>
                        </w:r>
                      </w:p>
                      <w:p w14:paraId="6D4AB5BB" w14:textId="77777777" w:rsidR="00AC4632" w:rsidRPr="009E6200" w:rsidRDefault="00AC4632" w:rsidP="007B46F5">
                        <w:pPr>
                          <w:numPr>
                            <w:ilvl w:val="0"/>
                            <w:numId w:val="11"/>
                          </w:numPr>
                          <w:jc w:val="both"/>
                        </w:pPr>
                        <w:r w:rsidRPr="009E6200">
                          <w:t>Клинический анализ крови;</w:t>
                        </w:r>
                      </w:p>
                      <w:p w14:paraId="662AC257" w14:textId="77777777" w:rsidR="00AC4632" w:rsidRPr="009E6200" w:rsidRDefault="00AC4632" w:rsidP="007B46F5">
                        <w:pPr>
                          <w:numPr>
                            <w:ilvl w:val="0"/>
                            <w:numId w:val="11"/>
                          </w:numPr>
                          <w:jc w:val="both"/>
                        </w:pPr>
                        <w:r w:rsidRPr="009E6200">
                          <w:t>Биохимический анализ крови (АЛТ, АСТ, билирубин, ЩФ, общий белок, альбумин, глюкоза, мочевина креатинин);</w:t>
                        </w:r>
                      </w:p>
                      <w:p w14:paraId="116E63BE" w14:textId="77777777" w:rsidR="00AC4632" w:rsidRPr="009E6200" w:rsidRDefault="00AC4632" w:rsidP="007B46F5">
                        <w:pPr>
                          <w:numPr>
                            <w:ilvl w:val="0"/>
                            <w:numId w:val="11"/>
                          </w:numPr>
                          <w:jc w:val="both"/>
                        </w:pPr>
                        <w:r w:rsidRPr="009E6200">
                          <w:t>Оценка СКФ для коррекции дозы карбоплатина;</w:t>
                        </w:r>
                      </w:p>
                      <w:p w14:paraId="52F52539" w14:textId="77777777" w:rsidR="00AC4632" w:rsidRPr="009E6200" w:rsidRDefault="00AC4632" w:rsidP="007B46F5">
                        <w:pPr>
                          <w:numPr>
                            <w:ilvl w:val="0"/>
                            <w:numId w:val="11"/>
                          </w:numPr>
                          <w:jc w:val="both"/>
                        </w:pPr>
                        <w:r w:rsidRPr="009E6200">
                          <w:t>Общий анализ мочи;</w:t>
                        </w:r>
                      </w:p>
                      <w:p w14:paraId="21A1D433" w14:textId="77777777" w:rsidR="00AC4632" w:rsidRPr="009E6200" w:rsidRDefault="00AC4632" w:rsidP="007B46F5">
                        <w:pPr>
                          <w:numPr>
                            <w:ilvl w:val="0"/>
                            <w:numId w:val="11"/>
                          </w:numPr>
                          <w:jc w:val="both"/>
                        </w:pPr>
                        <w:r w:rsidRPr="009E6200">
                          <w:t>Тест на беременность (для женщин детородного возраста с сохраненным репродуктивным потенциалом);</w:t>
                        </w:r>
                      </w:p>
                      <w:p w14:paraId="58566FDC" w14:textId="77777777" w:rsidR="00AC4632" w:rsidRPr="009E6200" w:rsidRDefault="00AC4632" w:rsidP="007B46F5">
                        <w:pPr>
                          <w:numPr>
                            <w:ilvl w:val="0"/>
                            <w:numId w:val="11"/>
                          </w:numPr>
                          <w:jc w:val="both"/>
                        </w:pPr>
                        <w:r w:rsidRPr="009E6200">
                          <w:t>ЭКГ;</w:t>
                        </w:r>
                      </w:p>
                      <w:p w14:paraId="070E21C4" w14:textId="77777777" w:rsidR="00AC4632" w:rsidRPr="009E6200" w:rsidRDefault="00AC4632" w:rsidP="007B46F5">
                        <w:pPr>
                          <w:numPr>
                            <w:ilvl w:val="0"/>
                            <w:numId w:val="11"/>
                          </w:numPr>
                          <w:jc w:val="both"/>
                        </w:pPr>
                        <w:r w:rsidRPr="009E6200">
                          <w:t>Оценка НЯ и СНЯ;</w:t>
                        </w:r>
                      </w:p>
                      <w:p w14:paraId="443223AF" w14:textId="77777777" w:rsidR="00AC4632" w:rsidRPr="009E6200" w:rsidRDefault="00AC4632" w:rsidP="007B46F5">
                        <w:pPr>
                          <w:numPr>
                            <w:ilvl w:val="0"/>
                            <w:numId w:val="11"/>
                          </w:numPr>
                          <w:jc w:val="both"/>
                        </w:pPr>
                        <w:r w:rsidRPr="009E6200">
                          <w:t>Оценка критериев исключения;</w:t>
                        </w:r>
                      </w:p>
                      <w:p w14:paraId="528FD55A" w14:textId="1529E7ED" w:rsidR="00AC4632" w:rsidRDefault="00AC4632" w:rsidP="007B46F5">
                        <w:pPr>
                          <w:numPr>
                            <w:ilvl w:val="0"/>
                            <w:numId w:val="11"/>
                          </w:numPr>
                          <w:jc w:val="both"/>
                        </w:pPr>
                        <w:r w:rsidRPr="009E6200">
                          <w:t xml:space="preserve">Если допустимо с учетом </w:t>
                        </w:r>
                        <w:r w:rsidR="00354F85" w:rsidRPr="009E6200">
                          <w:t xml:space="preserve">наличия и выраженности </w:t>
                        </w:r>
                        <w:r w:rsidRPr="009E6200">
                          <w:t>токсичности и при отсутствии прогрессирования заболевания, шестое введение препаратов химиотерапии и бевацизумаба.</w:t>
                        </w:r>
                      </w:p>
                      <w:p w14:paraId="03B32C78" w14:textId="77777777" w:rsidR="00887681" w:rsidRPr="009E6200" w:rsidRDefault="00887681" w:rsidP="007B46F5">
                        <w:pPr>
                          <w:ind w:left="720"/>
                          <w:jc w:val="both"/>
                        </w:pPr>
                      </w:p>
                      <w:p w14:paraId="72F8C34C" w14:textId="77777777" w:rsidR="00AC4632" w:rsidRPr="009E6200" w:rsidRDefault="00AC4632" w:rsidP="007B46F5">
                        <w:pPr>
                          <w:jc w:val="both"/>
                          <w:rPr>
                            <w:b/>
                          </w:rPr>
                        </w:pPr>
                        <w:r w:rsidRPr="009E6200">
                          <w:rPr>
                            <w:b/>
                          </w:rPr>
                          <w:t>Визит 7, день 127</w:t>
                        </w:r>
                        <w:r w:rsidRPr="009E6200">
                          <w:rPr>
                            <w:rFonts w:cs="Times New Roman"/>
                            <w:b/>
                          </w:rPr>
                          <w:t>±</w:t>
                        </w:r>
                        <w:r w:rsidRPr="009E6200">
                          <w:rPr>
                            <w:b/>
                          </w:rPr>
                          <w:t>4, неделя 19 (цикл 7 для бевацизумаба):</w:t>
                        </w:r>
                      </w:p>
                      <w:p w14:paraId="4C692023" w14:textId="77777777" w:rsidR="00AC4632" w:rsidRPr="009E6200" w:rsidRDefault="00DF78FE" w:rsidP="007B46F5">
                        <w:pPr>
                          <w:jc w:val="both"/>
                        </w:pPr>
                        <w:r w:rsidRPr="009E6200">
                          <w:t>Обследование и лечение пациентов в рамках каждого цикла может быть проведено в ходе госпитализации, в формате дневного стационара или амбулаторно (в соответствии в принятой практикой в клиническом центре).</w:t>
                        </w:r>
                        <w:r w:rsidR="00AC4632" w:rsidRPr="009E6200">
                          <w:t xml:space="preserve"> Перечень проводимых процедур исследования:</w:t>
                        </w:r>
                      </w:p>
                      <w:p w14:paraId="7802BD59" w14:textId="77777777" w:rsidR="00AC4632" w:rsidRPr="009E6200" w:rsidRDefault="00AC4632" w:rsidP="007B46F5">
                        <w:pPr>
                          <w:numPr>
                            <w:ilvl w:val="0"/>
                            <w:numId w:val="11"/>
                          </w:numPr>
                          <w:jc w:val="both"/>
                        </w:pPr>
                        <w:r w:rsidRPr="009E6200">
                          <w:t>Сбор жалоб;</w:t>
                        </w:r>
                      </w:p>
                      <w:p w14:paraId="1C26E8FC" w14:textId="77777777" w:rsidR="00AC4632" w:rsidRPr="009E6200" w:rsidRDefault="00AC4632" w:rsidP="007B46F5">
                        <w:pPr>
                          <w:numPr>
                            <w:ilvl w:val="0"/>
                            <w:numId w:val="11"/>
                          </w:numPr>
                          <w:jc w:val="both"/>
                        </w:pPr>
                        <w:r w:rsidRPr="009E6200">
                          <w:t>Регистрация сопутствующей терапии;</w:t>
                        </w:r>
                      </w:p>
                      <w:p w14:paraId="1BC4C385" w14:textId="77777777" w:rsidR="00AC4632" w:rsidRPr="009E6200" w:rsidRDefault="00AC4632" w:rsidP="007B46F5">
                        <w:pPr>
                          <w:numPr>
                            <w:ilvl w:val="0"/>
                            <w:numId w:val="11"/>
                          </w:numPr>
                          <w:jc w:val="both"/>
                        </w:pPr>
                        <w:r w:rsidRPr="009E6200">
                          <w:t>Физикальный осмотр;</w:t>
                        </w:r>
                      </w:p>
                      <w:p w14:paraId="668D9317" w14:textId="77777777" w:rsidR="00AC4632" w:rsidRPr="009E6200" w:rsidRDefault="00AC4632" w:rsidP="007B46F5">
                        <w:pPr>
                          <w:numPr>
                            <w:ilvl w:val="0"/>
                            <w:numId w:val="11"/>
                          </w:numPr>
                          <w:jc w:val="both"/>
                        </w:pPr>
                        <w:r w:rsidRPr="009E6200">
                          <w:t xml:space="preserve">Оценка статуса по </w:t>
                        </w:r>
                        <w:r w:rsidRPr="009E6200">
                          <w:rPr>
                            <w:lang w:val="en-US"/>
                          </w:rPr>
                          <w:t>ECOG;</w:t>
                        </w:r>
                      </w:p>
                      <w:p w14:paraId="6050C806" w14:textId="77777777" w:rsidR="00AC4632" w:rsidRPr="009E6200" w:rsidRDefault="00AC4632" w:rsidP="007B46F5">
                        <w:pPr>
                          <w:numPr>
                            <w:ilvl w:val="0"/>
                            <w:numId w:val="11"/>
                          </w:numPr>
                          <w:jc w:val="both"/>
                        </w:pPr>
                        <w:r w:rsidRPr="009E6200">
                          <w:t>Измерение массы тела;</w:t>
                        </w:r>
                      </w:p>
                      <w:p w14:paraId="161672E3" w14:textId="77777777" w:rsidR="00AC4632" w:rsidRPr="009E6200" w:rsidRDefault="00AC4632" w:rsidP="007B46F5">
                        <w:pPr>
                          <w:numPr>
                            <w:ilvl w:val="0"/>
                            <w:numId w:val="11"/>
                          </w:numPr>
                          <w:jc w:val="both"/>
                        </w:pPr>
                        <w:r w:rsidRPr="009E6200">
                          <w:t>Оценка жизненно важных показателей (АД, ЧСС, ЧДД, температура тела);</w:t>
                        </w:r>
                      </w:p>
                      <w:p w14:paraId="764226BC" w14:textId="77777777" w:rsidR="00AC4632" w:rsidRPr="009E6200" w:rsidRDefault="00AC4632" w:rsidP="007B46F5">
                        <w:pPr>
                          <w:numPr>
                            <w:ilvl w:val="0"/>
                            <w:numId w:val="11"/>
                          </w:numPr>
                          <w:jc w:val="both"/>
                        </w:pPr>
                        <w:r w:rsidRPr="009E6200">
                          <w:t>Клинический анализ крови;</w:t>
                        </w:r>
                      </w:p>
                      <w:p w14:paraId="62D4E3F2" w14:textId="77777777" w:rsidR="00AC4632" w:rsidRPr="009E6200" w:rsidRDefault="00AC4632" w:rsidP="007B46F5">
                        <w:pPr>
                          <w:numPr>
                            <w:ilvl w:val="0"/>
                            <w:numId w:val="11"/>
                          </w:numPr>
                          <w:jc w:val="both"/>
                        </w:pPr>
                        <w:r w:rsidRPr="009E6200">
                          <w:t>Биохимический анализ крови (АЛТ, АСТ, билирубин, ЩФ, общий белок, альбумин, глюкоза, мочевина креатинин);</w:t>
                        </w:r>
                      </w:p>
                      <w:p w14:paraId="1C399940" w14:textId="1DB999C3" w:rsidR="00AC4632" w:rsidRPr="009E6200" w:rsidRDefault="00AC4632" w:rsidP="007B46F5">
                        <w:pPr>
                          <w:numPr>
                            <w:ilvl w:val="0"/>
                            <w:numId w:val="11"/>
                          </w:numPr>
                          <w:jc w:val="both"/>
                        </w:pPr>
                        <w:r w:rsidRPr="009E6200">
                          <w:t>Оценка СКФ (</w:t>
                        </w:r>
                        <w:r w:rsidR="00BA3D53" w:rsidRPr="009E6200">
                          <w:t xml:space="preserve">для оценки возможности выполнения исследования и выбора контрастного препарата, </w:t>
                        </w:r>
                        <w:r w:rsidRPr="009E6200">
                          <w:t xml:space="preserve">если планируется выполнение КТ </w:t>
                        </w:r>
                        <w:r w:rsidR="001C42C2" w:rsidRPr="009E6200">
                          <w:t xml:space="preserve">или МРТ </w:t>
                        </w:r>
                        <w:r w:rsidRPr="009E6200">
                          <w:t>с контрастированием);</w:t>
                        </w:r>
                      </w:p>
                      <w:p w14:paraId="68B8FA06" w14:textId="079376C7" w:rsidR="00AC4632" w:rsidRPr="009E6200" w:rsidRDefault="00AC4632" w:rsidP="007B46F5">
                        <w:pPr>
                          <w:numPr>
                            <w:ilvl w:val="0"/>
                            <w:numId w:val="11"/>
                          </w:numPr>
                          <w:jc w:val="both"/>
                        </w:pPr>
                        <w:r w:rsidRPr="009E6200">
                          <w:t>Анализ крови на уровень антител к бевацизумабу</w:t>
                        </w:r>
                        <w:r w:rsidR="007E0256" w:rsidRPr="009E6200">
                          <w:t xml:space="preserve"> (в случае выявления антител – анализ на уровень нейтрализующих антител)</w:t>
                        </w:r>
                        <w:r w:rsidRPr="009E6200">
                          <w:t>;</w:t>
                        </w:r>
                      </w:p>
                      <w:p w14:paraId="1B5CA6DA" w14:textId="77777777" w:rsidR="00AC4632" w:rsidRPr="009E6200" w:rsidRDefault="00AC4632" w:rsidP="007B46F5">
                        <w:pPr>
                          <w:numPr>
                            <w:ilvl w:val="0"/>
                            <w:numId w:val="11"/>
                          </w:numPr>
                          <w:jc w:val="both"/>
                        </w:pPr>
                        <w:r w:rsidRPr="009E6200">
                          <w:t>Общий анализ мочи;</w:t>
                        </w:r>
                      </w:p>
                      <w:p w14:paraId="4C79B789" w14:textId="77777777" w:rsidR="00AC4632" w:rsidRPr="009E6200" w:rsidRDefault="00AC4632" w:rsidP="007B46F5">
                        <w:pPr>
                          <w:numPr>
                            <w:ilvl w:val="0"/>
                            <w:numId w:val="11"/>
                          </w:numPr>
                          <w:jc w:val="both"/>
                        </w:pPr>
                        <w:r w:rsidRPr="009E6200">
                          <w:t>Тест на беременность (для женщин детородного возраста с сохраненным репродуктивным потенциалом);</w:t>
                        </w:r>
                      </w:p>
                      <w:p w14:paraId="7482E167" w14:textId="77777777" w:rsidR="00AC4632" w:rsidRPr="009E6200" w:rsidRDefault="00AC4632" w:rsidP="007B46F5">
                        <w:pPr>
                          <w:numPr>
                            <w:ilvl w:val="0"/>
                            <w:numId w:val="11"/>
                          </w:numPr>
                          <w:jc w:val="both"/>
                        </w:pPr>
                        <w:r w:rsidRPr="009E6200">
                          <w:t>ЭКГ;</w:t>
                        </w:r>
                      </w:p>
                      <w:p w14:paraId="141DAC1E" w14:textId="2B0ACA8F" w:rsidR="008B2453" w:rsidRPr="008B2453" w:rsidRDefault="008B2453" w:rsidP="007B46F5">
                        <w:pPr>
                          <w:numPr>
                            <w:ilvl w:val="0"/>
                            <w:numId w:val="11"/>
                          </w:numPr>
                          <w:jc w:val="both"/>
                          <w:rPr>
                            <w:rFonts w:eastAsia="Times New Roman" w:cs="Times New Roman"/>
                          </w:rPr>
                        </w:pPr>
                        <w:r w:rsidRPr="008B2453">
                          <w:rPr>
                            <w:rFonts w:eastAsia="Times New Roman" w:cs="Times New Roman"/>
                          </w:rPr>
                          <w:t>Оценка очагов с определением целевых (для количественной оценки) и нецелевых (для качественной оценки) поражений: КТ</w:t>
                        </w:r>
                        <w:r w:rsidRPr="008B2453">
                          <w:rPr>
                            <w:rFonts w:eastAsia="Times New Roman" w:cs="Times New Roman"/>
                            <w:szCs w:val="24"/>
                          </w:rPr>
                          <w:t xml:space="preserve"> </w:t>
                        </w:r>
                        <w:r w:rsidRPr="008B2453">
                          <w:rPr>
                            <w:rFonts w:eastAsia="Times New Roman" w:cs="Times New Roman"/>
                          </w:rPr>
                          <w:t xml:space="preserve">органов грудной клетки </w:t>
                        </w:r>
                        <w:r w:rsidR="00725DF2">
                          <w:rPr>
                            <w:rFonts w:eastAsia="Times New Roman" w:cs="Times New Roman"/>
                          </w:rPr>
                          <w:t xml:space="preserve">и брюшной полости </w:t>
                        </w:r>
                        <w:r w:rsidRPr="008B2453">
                          <w:rPr>
                            <w:rFonts w:eastAsia="Times New Roman" w:cs="Times New Roman"/>
                            <w:szCs w:val="24"/>
                          </w:rPr>
                          <w:t>(с контрастированием)</w:t>
                        </w:r>
                        <w:r w:rsidRPr="008B2453">
                          <w:rPr>
                            <w:rFonts w:eastAsia="Times New Roman" w:cs="Times New Roman"/>
                          </w:rPr>
                          <w:t xml:space="preserve"> + КТ (с контрастированием) или МРТ (с контрастированием) всех применимых областей с первичной опухолью и ранее выявленными метастазами или при подозрении на метастазы: головы, шеи, органов брюшной полости и малого таза, и т.д. (для оценки очагов должен быть использован тот же метод обследования, что и на скрининге, если только у пациента не возникают противопоказания к использованию соответствующего метода);</w:t>
                        </w:r>
                      </w:p>
                      <w:p w14:paraId="23716883" w14:textId="77777777" w:rsidR="00AC4632" w:rsidRPr="009E6200" w:rsidRDefault="00AC4632" w:rsidP="007B46F5">
                        <w:pPr>
                          <w:numPr>
                            <w:ilvl w:val="0"/>
                            <w:numId w:val="11"/>
                          </w:numPr>
                          <w:jc w:val="both"/>
                        </w:pPr>
                        <w:r w:rsidRPr="009E6200">
                          <w:t>Оценка НЯ и СНЯ;</w:t>
                        </w:r>
                      </w:p>
                      <w:p w14:paraId="50C3375D" w14:textId="77777777" w:rsidR="00AC4632" w:rsidRPr="009E6200" w:rsidRDefault="00AC4632" w:rsidP="007B46F5">
                        <w:pPr>
                          <w:numPr>
                            <w:ilvl w:val="0"/>
                            <w:numId w:val="11"/>
                          </w:numPr>
                          <w:jc w:val="both"/>
                        </w:pPr>
                        <w:r w:rsidRPr="009E6200">
                          <w:t>Оценка критериев исключения;</w:t>
                        </w:r>
                      </w:p>
                      <w:p w14:paraId="6C2FD974" w14:textId="7A5BB138" w:rsidR="00AC4632" w:rsidRDefault="00AC4632" w:rsidP="007B46F5">
                        <w:pPr>
                          <w:numPr>
                            <w:ilvl w:val="0"/>
                            <w:numId w:val="11"/>
                          </w:numPr>
                          <w:jc w:val="both"/>
                        </w:pPr>
                        <w:r w:rsidRPr="009E6200">
                          <w:t xml:space="preserve">Если допустимо с учетом </w:t>
                        </w:r>
                        <w:r w:rsidR="00354F85" w:rsidRPr="009E6200">
                          <w:t xml:space="preserve">наличия и выраженности </w:t>
                        </w:r>
                        <w:r w:rsidRPr="009E6200">
                          <w:t>токсичности и при отсутствии прогрессирования заболевания, седьмое введение бевацизумаба.</w:t>
                        </w:r>
                      </w:p>
                      <w:p w14:paraId="2AAAA329" w14:textId="77777777" w:rsidR="00887681" w:rsidRPr="009E6200" w:rsidRDefault="00887681" w:rsidP="007B46F5">
                        <w:pPr>
                          <w:ind w:left="720"/>
                          <w:jc w:val="both"/>
                        </w:pPr>
                      </w:p>
                      <w:p w14:paraId="3E3D1006" w14:textId="677F4BAE" w:rsidR="0024536F" w:rsidRPr="009E6200" w:rsidRDefault="00AC4632" w:rsidP="007B46F5">
                        <w:pPr>
                          <w:jc w:val="both"/>
                          <w:rPr>
                            <w:b/>
                          </w:rPr>
                        </w:pPr>
                        <w:r w:rsidRPr="009E6200">
                          <w:rPr>
                            <w:b/>
                          </w:rPr>
                          <w:t>Визит 8</w:t>
                        </w:r>
                        <w:r w:rsidR="0024536F">
                          <w:rPr>
                            <w:b/>
                          </w:rPr>
                          <w:t xml:space="preserve">, </w:t>
                        </w:r>
                        <w:r w:rsidRPr="009E6200">
                          <w:rPr>
                            <w:b/>
                          </w:rPr>
                          <w:t>день 148</w:t>
                        </w:r>
                        <w:r w:rsidRPr="009E6200">
                          <w:rPr>
                            <w:rFonts w:cs="Times New Roman"/>
                            <w:b/>
                          </w:rPr>
                          <w:t>±</w:t>
                        </w:r>
                        <w:r w:rsidRPr="009E6200">
                          <w:rPr>
                            <w:b/>
                          </w:rPr>
                          <w:t>4, неделя 22</w:t>
                        </w:r>
                        <w:r w:rsidR="0024536F">
                          <w:rPr>
                            <w:b/>
                          </w:rPr>
                          <w:t xml:space="preserve"> (цикл 8</w:t>
                        </w:r>
                        <w:r w:rsidR="0024536F" w:rsidRPr="009E6200">
                          <w:rPr>
                            <w:b/>
                          </w:rPr>
                          <w:t xml:space="preserve"> для бевацизумаба):</w:t>
                        </w:r>
                      </w:p>
                      <w:p w14:paraId="1F570C1B" w14:textId="0EF8C064" w:rsidR="00AC4632" w:rsidRPr="009E6200" w:rsidRDefault="00DF78FE" w:rsidP="007B46F5">
                        <w:pPr>
                          <w:jc w:val="both"/>
                        </w:pPr>
                        <w:r w:rsidRPr="009E6200">
                          <w:t xml:space="preserve">Обследование и лечение пациентов в рамках каждого цикла может быть проведено в ходе госпитализации, в формате дневного стационара или амбулаторно (в соответствии </w:t>
                        </w:r>
                        <w:r w:rsidR="007F7AE4" w:rsidRPr="009E6200">
                          <w:t xml:space="preserve">с </w:t>
                        </w:r>
                        <w:r w:rsidRPr="009E6200">
                          <w:t>принятой практикой в клиническом центре).</w:t>
                        </w:r>
                        <w:r w:rsidR="00AC4632" w:rsidRPr="009E6200">
                          <w:t xml:space="preserve"> Перечень проводимых процедур исследования:</w:t>
                        </w:r>
                      </w:p>
                      <w:p w14:paraId="69782B18" w14:textId="77777777" w:rsidR="00AC4632" w:rsidRPr="009E6200" w:rsidRDefault="00AC4632" w:rsidP="007B46F5">
                        <w:pPr>
                          <w:numPr>
                            <w:ilvl w:val="0"/>
                            <w:numId w:val="11"/>
                          </w:numPr>
                          <w:jc w:val="both"/>
                        </w:pPr>
                        <w:r w:rsidRPr="009E6200">
                          <w:t>Сбор жалоб;</w:t>
                        </w:r>
                      </w:p>
                      <w:p w14:paraId="421A2CE8" w14:textId="77777777" w:rsidR="00AC4632" w:rsidRPr="009E6200" w:rsidRDefault="00AC4632" w:rsidP="007B46F5">
                        <w:pPr>
                          <w:numPr>
                            <w:ilvl w:val="0"/>
                            <w:numId w:val="11"/>
                          </w:numPr>
                          <w:jc w:val="both"/>
                        </w:pPr>
                        <w:r w:rsidRPr="009E6200">
                          <w:t>Регистрация сопутствующей терапии;</w:t>
                        </w:r>
                      </w:p>
                      <w:p w14:paraId="01399D6C" w14:textId="77777777" w:rsidR="00AC4632" w:rsidRPr="009E6200" w:rsidRDefault="00AC4632" w:rsidP="007B46F5">
                        <w:pPr>
                          <w:numPr>
                            <w:ilvl w:val="0"/>
                            <w:numId w:val="11"/>
                          </w:numPr>
                          <w:jc w:val="both"/>
                        </w:pPr>
                        <w:r w:rsidRPr="009E6200">
                          <w:t>Физикальный осмотр;</w:t>
                        </w:r>
                      </w:p>
                      <w:p w14:paraId="1A58E33F" w14:textId="77777777" w:rsidR="00AC4632" w:rsidRPr="009E6200" w:rsidRDefault="00AC4632" w:rsidP="007B46F5">
                        <w:pPr>
                          <w:numPr>
                            <w:ilvl w:val="0"/>
                            <w:numId w:val="11"/>
                          </w:numPr>
                          <w:jc w:val="both"/>
                        </w:pPr>
                        <w:r w:rsidRPr="009E6200">
                          <w:t xml:space="preserve">Оценка статуса по </w:t>
                        </w:r>
                        <w:r w:rsidRPr="009E6200">
                          <w:rPr>
                            <w:lang w:val="en-US"/>
                          </w:rPr>
                          <w:t>ECOG;</w:t>
                        </w:r>
                      </w:p>
                      <w:p w14:paraId="5F12A567" w14:textId="77777777" w:rsidR="00AC4632" w:rsidRPr="009E6200" w:rsidRDefault="00AC4632" w:rsidP="007B46F5">
                        <w:pPr>
                          <w:numPr>
                            <w:ilvl w:val="0"/>
                            <w:numId w:val="11"/>
                          </w:numPr>
                          <w:jc w:val="both"/>
                        </w:pPr>
                        <w:r w:rsidRPr="009E6200">
                          <w:t>Измерение массы тела;</w:t>
                        </w:r>
                      </w:p>
                      <w:p w14:paraId="69604AA0" w14:textId="77777777" w:rsidR="00AC4632" w:rsidRPr="009E6200" w:rsidRDefault="00AC4632" w:rsidP="007B46F5">
                        <w:pPr>
                          <w:numPr>
                            <w:ilvl w:val="0"/>
                            <w:numId w:val="11"/>
                          </w:numPr>
                          <w:jc w:val="both"/>
                        </w:pPr>
                        <w:r w:rsidRPr="009E6200">
                          <w:t>Оценка жизненно важных показателей (АД, ЧСС, ЧДД, температура тела);</w:t>
                        </w:r>
                      </w:p>
                      <w:p w14:paraId="2E1BDB5B" w14:textId="77777777" w:rsidR="00AC4632" w:rsidRPr="009E6200" w:rsidRDefault="00AC4632" w:rsidP="007B46F5">
                        <w:pPr>
                          <w:numPr>
                            <w:ilvl w:val="0"/>
                            <w:numId w:val="11"/>
                          </w:numPr>
                          <w:jc w:val="both"/>
                        </w:pPr>
                        <w:r w:rsidRPr="009E6200">
                          <w:t>Клинический анализ крови;</w:t>
                        </w:r>
                      </w:p>
                      <w:p w14:paraId="7DBAF5DE" w14:textId="77777777" w:rsidR="00AC4632" w:rsidRPr="009E6200" w:rsidRDefault="00AC4632" w:rsidP="007B46F5">
                        <w:pPr>
                          <w:numPr>
                            <w:ilvl w:val="0"/>
                            <w:numId w:val="11"/>
                          </w:numPr>
                          <w:jc w:val="both"/>
                        </w:pPr>
                        <w:r w:rsidRPr="009E6200">
                          <w:t>Биохимический анализ крови (АЛТ, АСТ, билирубин, ЩФ, общий белок, альбумин, глюкоза, мочевина креатинин);</w:t>
                        </w:r>
                      </w:p>
                      <w:p w14:paraId="08772E41" w14:textId="77777777" w:rsidR="00AC4632" w:rsidRPr="009E6200" w:rsidRDefault="00AC4632" w:rsidP="007B46F5">
                        <w:pPr>
                          <w:numPr>
                            <w:ilvl w:val="0"/>
                            <w:numId w:val="11"/>
                          </w:numPr>
                          <w:jc w:val="both"/>
                        </w:pPr>
                        <w:r w:rsidRPr="009E6200">
                          <w:t>Общий анализ мочи;</w:t>
                        </w:r>
                      </w:p>
                      <w:p w14:paraId="5F36169A" w14:textId="77777777" w:rsidR="00AC4632" w:rsidRPr="009E6200" w:rsidRDefault="00AC4632" w:rsidP="007B46F5">
                        <w:pPr>
                          <w:numPr>
                            <w:ilvl w:val="0"/>
                            <w:numId w:val="11"/>
                          </w:numPr>
                          <w:jc w:val="both"/>
                        </w:pPr>
                        <w:r w:rsidRPr="009E6200">
                          <w:t>Тест на беременность (для женщин детородного возраста с сохраненным репродуктивным потенциалом);</w:t>
                        </w:r>
                      </w:p>
                      <w:p w14:paraId="390E0B7B" w14:textId="77777777" w:rsidR="00AC4632" w:rsidRPr="009E6200" w:rsidRDefault="00AC4632" w:rsidP="007B46F5">
                        <w:pPr>
                          <w:numPr>
                            <w:ilvl w:val="0"/>
                            <w:numId w:val="11"/>
                          </w:numPr>
                          <w:jc w:val="both"/>
                        </w:pPr>
                        <w:r w:rsidRPr="009E6200">
                          <w:t>ЭКГ;</w:t>
                        </w:r>
                      </w:p>
                      <w:p w14:paraId="6ADB38FC" w14:textId="77777777" w:rsidR="00AC4632" w:rsidRPr="009E6200" w:rsidRDefault="00AC4632" w:rsidP="007B46F5">
                        <w:pPr>
                          <w:numPr>
                            <w:ilvl w:val="0"/>
                            <w:numId w:val="11"/>
                          </w:numPr>
                          <w:jc w:val="both"/>
                        </w:pPr>
                        <w:r w:rsidRPr="009E6200">
                          <w:t>Оценка НЯ и СНЯ;</w:t>
                        </w:r>
                      </w:p>
                      <w:p w14:paraId="77260A70" w14:textId="77777777" w:rsidR="00AC4632" w:rsidRPr="009E6200" w:rsidRDefault="00AC4632" w:rsidP="007B46F5">
                        <w:pPr>
                          <w:numPr>
                            <w:ilvl w:val="0"/>
                            <w:numId w:val="11"/>
                          </w:numPr>
                          <w:jc w:val="both"/>
                        </w:pPr>
                        <w:r w:rsidRPr="009E6200">
                          <w:t>Оценка критериев исключения;</w:t>
                        </w:r>
                      </w:p>
                      <w:p w14:paraId="096B644D" w14:textId="6F3AF15B" w:rsidR="00AC4632" w:rsidRDefault="00AC4632" w:rsidP="007B46F5">
                        <w:pPr>
                          <w:numPr>
                            <w:ilvl w:val="0"/>
                            <w:numId w:val="11"/>
                          </w:numPr>
                          <w:jc w:val="both"/>
                        </w:pPr>
                        <w:r w:rsidRPr="009E6200">
                          <w:t xml:space="preserve">Если допустимо с учетом </w:t>
                        </w:r>
                        <w:r w:rsidR="00354F85" w:rsidRPr="009E6200">
                          <w:t xml:space="preserve">наличия и выраженности </w:t>
                        </w:r>
                        <w:r w:rsidRPr="009E6200">
                          <w:t>токсичности и при отсутствии прогрессирования заболевания, очередное введение бевацизумаба.</w:t>
                        </w:r>
                      </w:p>
                      <w:p w14:paraId="434A19B5" w14:textId="77777777" w:rsidR="00887681" w:rsidRPr="009E6200" w:rsidRDefault="00887681" w:rsidP="007B46F5">
                        <w:pPr>
                          <w:ind w:left="720"/>
                          <w:jc w:val="both"/>
                        </w:pPr>
                      </w:p>
                      <w:p w14:paraId="53A5308B" w14:textId="1843333D" w:rsidR="008B2453" w:rsidRPr="008B2453" w:rsidRDefault="009560E5" w:rsidP="007B46F5">
                        <w:pPr>
                          <w:jc w:val="both"/>
                          <w:rPr>
                            <w:rFonts w:eastAsia="Times New Roman" w:cs="Times New Roman"/>
                            <w:b/>
                            <w:bCs/>
                          </w:rPr>
                        </w:pPr>
                        <w:r w:rsidRPr="009E6200">
                          <w:rPr>
                            <w:b/>
                            <w:bCs/>
                          </w:rPr>
                          <w:t>В</w:t>
                        </w:r>
                        <w:r w:rsidR="003771FB" w:rsidRPr="009E6200">
                          <w:rPr>
                            <w:b/>
                            <w:bCs/>
                          </w:rPr>
                          <w:t xml:space="preserve">изит </w:t>
                        </w:r>
                        <w:r w:rsidR="00D945DE" w:rsidRPr="009E6200">
                          <w:rPr>
                            <w:b/>
                            <w:bCs/>
                          </w:rPr>
                          <w:t>9</w:t>
                        </w:r>
                        <w:r w:rsidR="0024536F">
                          <w:rPr>
                            <w:rFonts w:eastAsia="Times New Roman" w:cs="Times New Roman"/>
                            <w:b/>
                            <w:bCs/>
                          </w:rPr>
                          <w:t xml:space="preserve">, </w:t>
                        </w:r>
                        <w:r w:rsidR="008B2453" w:rsidRPr="008B2453">
                          <w:rPr>
                            <w:rFonts w:eastAsia="Times New Roman" w:cs="Times New Roman"/>
                            <w:b/>
                            <w:bCs/>
                          </w:rPr>
                          <w:t>день 169±4, неделя 25</w:t>
                        </w:r>
                        <w:r w:rsidR="0024536F">
                          <w:rPr>
                            <w:rFonts w:eastAsia="Times New Roman" w:cs="Times New Roman"/>
                            <w:b/>
                            <w:bCs/>
                          </w:rPr>
                          <w:t xml:space="preserve"> (цикл 9 для бевацизумаба</w:t>
                        </w:r>
                        <w:r w:rsidR="008B2453" w:rsidRPr="008B2453">
                          <w:rPr>
                            <w:rFonts w:eastAsia="Times New Roman" w:cs="Times New Roman"/>
                            <w:b/>
                            <w:bCs/>
                          </w:rPr>
                          <w:t>)</w:t>
                        </w:r>
                      </w:p>
                      <w:p w14:paraId="12EE7F58" w14:textId="77777777" w:rsidR="009560E5" w:rsidRPr="009E6200" w:rsidRDefault="009560E5" w:rsidP="007B46F5">
                        <w:pPr>
                          <w:jc w:val="both"/>
                        </w:pPr>
                        <w:r w:rsidRPr="009E6200">
                          <w:t>Обследование и лечение пациентов в рамках каждого цикла может быть проведено в ходе госпитализации, в формате дневного стационара или амбулаторно (в соответствии с принятой практикой в клиническом центре). Перечень проводимых процедур исследования:</w:t>
                        </w:r>
                      </w:p>
                      <w:p w14:paraId="6298102F" w14:textId="77777777" w:rsidR="009560E5" w:rsidRPr="009E6200" w:rsidRDefault="009560E5" w:rsidP="007B46F5">
                        <w:pPr>
                          <w:numPr>
                            <w:ilvl w:val="0"/>
                            <w:numId w:val="11"/>
                          </w:numPr>
                          <w:jc w:val="both"/>
                        </w:pPr>
                        <w:r w:rsidRPr="009E6200">
                          <w:t>Сбор жалоб;</w:t>
                        </w:r>
                      </w:p>
                      <w:p w14:paraId="7EB1C445" w14:textId="77777777" w:rsidR="009560E5" w:rsidRPr="009E6200" w:rsidRDefault="009560E5" w:rsidP="007B46F5">
                        <w:pPr>
                          <w:numPr>
                            <w:ilvl w:val="0"/>
                            <w:numId w:val="11"/>
                          </w:numPr>
                          <w:jc w:val="both"/>
                        </w:pPr>
                        <w:r w:rsidRPr="009E6200">
                          <w:t>Регистрация сопутствующей терапии;</w:t>
                        </w:r>
                      </w:p>
                      <w:p w14:paraId="04C38C2C" w14:textId="77777777" w:rsidR="009560E5" w:rsidRPr="009E6200" w:rsidRDefault="009560E5" w:rsidP="007B46F5">
                        <w:pPr>
                          <w:numPr>
                            <w:ilvl w:val="0"/>
                            <w:numId w:val="11"/>
                          </w:numPr>
                          <w:jc w:val="both"/>
                        </w:pPr>
                        <w:r w:rsidRPr="009E6200">
                          <w:t>Физикальный осмотр;</w:t>
                        </w:r>
                      </w:p>
                      <w:p w14:paraId="5CE52643" w14:textId="77777777" w:rsidR="009560E5" w:rsidRPr="009E6200" w:rsidRDefault="009560E5" w:rsidP="007B46F5">
                        <w:pPr>
                          <w:numPr>
                            <w:ilvl w:val="0"/>
                            <w:numId w:val="11"/>
                          </w:numPr>
                          <w:jc w:val="both"/>
                        </w:pPr>
                        <w:r w:rsidRPr="009E6200">
                          <w:t xml:space="preserve">Оценка статуса по </w:t>
                        </w:r>
                        <w:r w:rsidRPr="009E6200">
                          <w:rPr>
                            <w:lang w:val="en-US"/>
                          </w:rPr>
                          <w:t>ECOG;</w:t>
                        </w:r>
                      </w:p>
                      <w:p w14:paraId="5DF9AD9B" w14:textId="77777777" w:rsidR="009560E5" w:rsidRPr="009E6200" w:rsidRDefault="009560E5" w:rsidP="007B46F5">
                        <w:pPr>
                          <w:numPr>
                            <w:ilvl w:val="0"/>
                            <w:numId w:val="11"/>
                          </w:numPr>
                          <w:jc w:val="both"/>
                        </w:pPr>
                        <w:r w:rsidRPr="009E6200">
                          <w:t>Измерение массы тела;</w:t>
                        </w:r>
                      </w:p>
                      <w:p w14:paraId="4E860845" w14:textId="77777777" w:rsidR="009560E5" w:rsidRPr="009E6200" w:rsidRDefault="009560E5" w:rsidP="007B46F5">
                        <w:pPr>
                          <w:numPr>
                            <w:ilvl w:val="0"/>
                            <w:numId w:val="11"/>
                          </w:numPr>
                          <w:jc w:val="both"/>
                        </w:pPr>
                        <w:r w:rsidRPr="009E6200">
                          <w:t>Оценка жизненно важных показателей (АД, ЧСС, ЧДД, температура тела);</w:t>
                        </w:r>
                      </w:p>
                      <w:p w14:paraId="06F82DAA" w14:textId="77777777" w:rsidR="009560E5" w:rsidRPr="009E6200" w:rsidRDefault="009560E5" w:rsidP="007B46F5">
                        <w:pPr>
                          <w:numPr>
                            <w:ilvl w:val="0"/>
                            <w:numId w:val="11"/>
                          </w:numPr>
                          <w:jc w:val="both"/>
                        </w:pPr>
                        <w:r w:rsidRPr="009E6200">
                          <w:t>Клинический анализ крови;</w:t>
                        </w:r>
                      </w:p>
                      <w:p w14:paraId="79FC8A20" w14:textId="0F4E9729" w:rsidR="009560E5" w:rsidRDefault="009560E5" w:rsidP="007B46F5">
                        <w:pPr>
                          <w:numPr>
                            <w:ilvl w:val="0"/>
                            <w:numId w:val="11"/>
                          </w:numPr>
                          <w:jc w:val="both"/>
                        </w:pPr>
                        <w:r w:rsidRPr="009E6200">
                          <w:t>Биохимический анализ крови (АЛТ, АСТ, билирубин, ЩФ, общий белок, альбумин, глюкоза, мочевина креатинин);</w:t>
                        </w:r>
                      </w:p>
                      <w:p w14:paraId="5509C008" w14:textId="6FF23623" w:rsidR="004B2477" w:rsidRPr="009E6200" w:rsidRDefault="004B2477" w:rsidP="007B46F5">
                        <w:pPr>
                          <w:numPr>
                            <w:ilvl w:val="0"/>
                            <w:numId w:val="11"/>
                          </w:numPr>
                          <w:jc w:val="both"/>
                        </w:pPr>
                        <w:r>
                          <w:t>Коагулограмма (</w:t>
                        </w:r>
                        <w:r w:rsidRPr="009E6200">
                          <w:t>Активированное частичное тромбопластиновое время (АЧТВ), протромбиновое время (ПВ), фибриноген, международное нормализованное отношение (МНО)</w:t>
                        </w:r>
                        <w:r>
                          <w:t>);</w:t>
                        </w:r>
                      </w:p>
                      <w:p w14:paraId="1953D638" w14:textId="0B305D11" w:rsidR="00BB3A26" w:rsidRPr="009E6200" w:rsidRDefault="00BB3A26" w:rsidP="007B46F5">
                        <w:pPr>
                          <w:pStyle w:val="ListParagraph"/>
                          <w:numPr>
                            <w:ilvl w:val="0"/>
                            <w:numId w:val="11"/>
                          </w:numPr>
                          <w:spacing w:line="240" w:lineRule="auto"/>
                          <w:rPr>
                            <w:lang w:val="ru-RU"/>
                          </w:rPr>
                        </w:pPr>
                        <w:r w:rsidRPr="009E6200">
                          <w:rPr>
                            <w:lang w:val="ru-RU"/>
                          </w:rPr>
                          <w:t>Анализ крови на уровень антител к бевацизумабу (в случае выявления антител – анализ на уровень нейтрализующих антител)</w:t>
                        </w:r>
                        <w:r w:rsidR="009C5020" w:rsidRPr="009E6200">
                          <w:rPr>
                            <w:lang w:val="ru-RU"/>
                          </w:rPr>
                          <w:t>;</w:t>
                        </w:r>
                      </w:p>
                      <w:p w14:paraId="404DD286" w14:textId="77777777" w:rsidR="00BB3A26" w:rsidRPr="009E6200" w:rsidRDefault="00BB3A26" w:rsidP="007B46F5">
                        <w:pPr>
                          <w:pStyle w:val="ListParagraph"/>
                          <w:numPr>
                            <w:ilvl w:val="0"/>
                            <w:numId w:val="11"/>
                          </w:numPr>
                          <w:spacing w:line="240" w:lineRule="auto"/>
                          <w:rPr>
                            <w:lang w:val="ru-RU"/>
                          </w:rPr>
                        </w:pPr>
                        <w:r w:rsidRPr="009E6200">
                          <w:rPr>
                            <w:lang w:val="ru-RU"/>
                          </w:rPr>
                          <w:t>Оценка СКФ (для оценки возможности выполнения исследования и выбора контрастного препарата, если планируется выполнение КТ или МРТ с контрастированием);</w:t>
                        </w:r>
                      </w:p>
                      <w:p w14:paraId="684BF6BE" w14:textId="77777777" w:rsidR="009560E5" w:rsidRPr="009E6200" w:rsidRDefault="009560E5" w:rsidP="007B46F5">
                        <w:pPr>
                          <w:numPr>
                            <w:ilvl w:val="0"/>
                            <w:numId w:val="11"/>
                          </w:numPr>
                          <w:jc w:val="both"/>
                        </w:pPr>
                        <w:r w:rsidRPr="009E6200">
                          <w:t>Общий анализ мочи;</w:t>
                        </w:r>
                      </w:p>
                      <w:p w14:paraId="4545C073" w14:textId="77777777" w:rsidR="009560E5" w:rsidRPr="009E6200" w:rsidRDefault="009560E5" w:rsidP="007B46F5">
                        <w:pPr>
                          <w:numPr>
                            <w:ilvl w:val="0"/>
                            <w:numId w:val="11"/>
                          </w:numPr>
                          <w:jc w:val="both"/>
                        </w:pPr>
                        <w:r w:rsidRPr="009E6200">
                          <w:t>Тест на беременность (для женщин детородного возраста с сохраненным репродуктивным потенциалом);</w:t>
                        </w:r>
                      </w:p>
                      <w:p w14:paraId="1FF4C50F" w14:textId="77777777" w:rsidR="009560E5" w:rsidRPr="009E6200" w:rsidRDefault="009560E5" w:rsidP="007B46F5">
                        <w:pPr>
                          <w:numPr>
                            <w:ilvl w:val="0"/>
                            <w:numId w:val="11"/>
                          </w:numPr>
                          <w:jc w:val="both"/>
                        </w:pPr>
                        <w:r w:rsidRPr="009E6200">
                          <w:t>ЭКГ;</w:t>
                        </w:r>
                      </w:p>
                      <w:p w14:paraId="209C5303" w14:textId="46BB82A2" w:rsidR="00BB3A26" w:rsidRPr="009E6200" w:rsidRDefault="008B2453" w:rsidP="007B46F5">
                        <w:pPr>
                          <w:pStyle w:val="ListParagraph"/>
                          <w:numPr>
                            <w:ilvl w:val="0"/>
                            <w:numId w:val="11"/>
                          </w:numPr>
                          <w:spacing w:line="240" w:lineRule="auto"/>
                          <w:rPr>
                            <w:lang w:val="ru-RU"/>
                          </w:rPr>
                        </w:pPr>
                        <w:r w:rsidRPr="008B2453">
                          <w:rPr>
                            <w:rFonts w:eastAsia="Times New Roman"/>
                            <w:kern w:val="0"/>
                            <w:szCs w:val="22"/>
                            <w:lang w:val="ru-RU"/>
                          </w:rPr>
                          <w:t xml:space="preserve">Оценка очагов с определением целевых (для количественной оценки) и нецелевых (для качественной оценки) поражений: КТ органов грудной клетки </w:t>
                        </w:r>
                        <w:r w:rsidR="0024536F">
                          <w:rPr>
                            <w:rFonts w:eastAsia="Times New Roman"/>
                            <w:kern w:val="0"/>
                            <w:szCs w:val="22"/>
                            <w:lang w:val="ru-RU"/>
                          </w:rPr>
                          <w:t xml:space="preserve">и брюшной полости </w:t>
                        </w:r>
                        <w:r w:rsidRPr="008B2453">
                          <w:rPr>
                            <w:rFonts w:eastAsia="Times New Roman"/>
                            <w:kern w:val="0"/>
                            <w:szCs w:val="24"/>
                            <w:lang w:val="ru-RU"/>
                          </w:rPr>
                          <w:t>(с контрастированием)</w:t>
                        </w:r>
                        <w:r w:rsidRPr="008B2453">
                          <w:rPr>
                            <w:rFonts w:eastAsia="Times New Roman"/>
                            <w:kern w:val="0"/>
                            <w:szCs w:val="22"/>
                            <w:lang w:val="ru-RU"/>
                          </w:rPr>
                          <w:t xml:space="preserve"> + КТ (с контрастированием) или МРТ (с контрастированием) всех применимых областей с первичной опухолью и ранее выявленными метастазами или при подозрении на метастазы: головы, шеи, органов брюшной полости и малого таза, и т.д. (для оценки очагов должен быть использован тот же метод обследования, что и на скрининге, если только у пациента не возникают противопоказания к использованию соответствующего метода);</w:t>
                        </w:r>
                      </w:p>
                      <w:p w14:paraId="31D1AE25" w14:textId="6E463A25" w:rsidR="00BB3A26" w:rsidRPr="009E6200" w:rsidRDefault="00BB3A26" w:rsidP="007B46F5">
                        <w:pPr>
                          <w:numPr>
                            <w:ilvl w:val="0"/>
                            <w:numId w:val="11"/>
                          </w:numPr>
                          <w:jc w:val="both"/>
                        </w:pPr>
                        <w:r w:rsidRPr="009E6200">
                          <w:t>Оценка НЯ и СНЯ;</w:t>
                        </w:r>
                      </w:p>
                      <w:p w14:paraId="17318C43" w14:textId="6E61C0F2" w:rsidR="00BB3A26" w:rsidRPr="009E6200" w:rsidRDefault="00BB3A26" w:rsidP="007B46F5">
                        <w:pPr>
                          <w:numPr>
                            <w:ilvl w:val="0"/>
                            <w:numId w:val="11"/>
                          </w:numPr>
                          <w:jc w:val="both"/>
                        </w:pPr>
                        <w:r w:rsidRPr="009E6200">
                          <w:t>Оценка критериев исключения;</w:t>
                        </w:r>
                      </w:p>
                      <w:p w14:paraId="28294ACC" w14:textId="3AB4FFDB" w:rsidR="00BB3A26" w:rsidRPr="009E6200" w:rsidRDefault="00BB3A26" w:rsidP="007B46F5">
                        <w:pPr>
                          <w:pStyle w:val="ListParagraph"/>
                          <w:numPr>
                            <w:ilvl w:val="0"/>
                            <w:numId w:val="11"/>
                          </w:numPr>
                          <w:spacing w:line="240" w:lineRule="auto"/>
                          <w:rPr>
                            <w:lang w:val="ru-RU"/>
                          </w:rPr>
                        </w:pPr>
                        <w:r w:rsidRPr="009E6200">
                          <w:rPr>
                            <w:lang w:val="ru-RU"/>
                          </w:rPr>
                          <w:t>Если допустимо с учетом наличия и выраженности токсичности и при отсутствии прогрессирования заболевания, очередное введение бевацизумаба;</w:t>
                        </w:r>
                      </w:p>
                      <w:p w14:paraId="4CC84E19" w14:textId="17F22FCF" w:rsidR="00653D43" w:rsidRPr="009E6200" w:rsidRDefault="00653D43" w:rsidP="007B46F5">
                        <w:pPr>
                          <w:pStyle w:val="ListParagraph"/>
                          <w:numPr>
                            <w:ilvl w:val="0"/>
                            <w:numId w:val="11"/>
                          </w:numPr>
                          <w:spacing w:line="240" w:lineRule="auto"/>
                          <w:rPr>
                            <w:lang w:val="ru-RU"/>
                          </w:rPr>
                        </w:pPr>
                        <w:r w:rsidRPr="009E6200">
                          <w:rPr>
                            <w:lang w:val="ru-RU"/>
                          </w:rPr>
                          <w:t>При сохранении клинической пользы от лечения бевацизумабом пациент информируется о продолжении участия в продленной части исследования.</w:t>
                        </w:r>
                      </w:p>
                      <w:p w14:paraId="3BAA7856" w14:textId="277A3E7F" w:rsidR="00AC4632" w:rsidRPr="009E6200" w:rsidRDefault="00AC4632" w:rsidP="007B46F5">
                        <w:pPr>
                          <w:jc w:val="both"/>
                          <w:rPr>
                            <w:b/>
                          </w:rPr>
                        </w:pPr>
                      </w:p>
                      <w:p w14:paraId="15D73E9B" w14:textId="0F3BF4C3" w:rsidR="00AC4632" w:rsidRPr="009E6200" w:rsidRDefault="00AC4632" w:rsidP="007B46F5">
                        <w:pPr>
                          <w:jc w:val="both"/>
                          <w:rPr>
                            <w:b/>
                          </w:rPr>
                        </w:pPr>
                        <w:r w:rsidRPr="009E6200">
                          <w:rPr>
                            <w:b/>
                            <w:u w:val="single"/>
                          </w:rPr>
                          <w:t xml:space="preserve">Продленная </w:t>
                        </w:r>
                        <w:r w:rsidR="007E0256" w:rsidRPr="009E6200">
                          <w:rPr>
                            <w:b/>
                            <w:u w:val="single"/>
                          </w:rPr>
                          <w:t xml:space="preserve">часть </w:t>
                        </w:r>
                        <w:r w:rsidRPr="009E6200">
                          <w:rPr>
                            <w:b/>
                            <w:u w:val="single"/>
                          </w:rPr>
                          <w:t>исследования</w:t>
                        </w:r>
                        <w:r w:rsidRPr="009E6200">
                          <w:rPr>
                            <w:b/>
                          </w:rPr>
                          <w:t xml:space="preserve"> (начиная с цикла 1</w:t>
                        </w:r>
                        <w:r w:rsidR="007C3787" w:rsidRPr="009E6200">
                          <w:rPr>
                            <w:b/>
                          </w:rPr>
                          <w:t>0</w:t>
                        </w:r>
                        <w:r w:rsidRPr="009E6200">
                          <w:rPr>
                            <w:b/>
                          </w:rPr>
                          <w:t xml:space="preserve">, неделя </w:t>
                        </w:r>
                        <w:r w:rsidR="007C3787" w:rsidRPr="009E6200">
                          <w:rPr>
                            <w:b/>
                          </w:rPr>
                          <w:t>28</w:t>
                        </w:r>
                        <w:r w:rsidRPr="009E6200">
                          <w:rPr>
                            <w:b/>
                          </w:rPr>
                          <w:t>)</w:t>
                        </w:r>
                        <w:r w:rsidR="003468F5" w:rsidRPr="009E6200">
                          <w:rPr>
                            <w:b/>
                          </w:rPr>
                          <w:t xml:space="preserve"> и период последующего наблюдения и терапии (визиты 19+)</w:t>
                        </w:r>
                      </w:p>
                      <w:p w14:paraId="7D897F18" w14:textId="38F22AC4" w:rsidR="00FB4293" w:rsidRDefault="007A571E" w:rsidP="007B46F5">
                        <w:pPr>
                          <w:jc w:val="both"/>
                          <w:rPr>
                            <w:bCs/>
                          </w:rPr>
                        </w:pPr>
                        <w:r w:rsidRPr="009E6200">
                          <w:rPr>
                            <w:bCs/>
                          </w:rPr>
                          <w:t xml:space="preserve">В случае, если пациенту после </w:t>
                        </w:r>
                        <w:r w:rsidR="007C3787" w:rsidRPr="009E6200">
                          <w:rPr>
                            <w:bCs/>
                          </w:rPr>
                          <w:t xml:space="preserve">6 месяцев </w:t>
                        </w:r>
                        <w:r w:rsidRPr="009E6200">
                          <w:rPr>
                            <w:bCs/>
                          </w:rPr>
                          <w:t xml:space="preserve">лечения все еще показан бевацизумаб, пациент </w:t>
                        </w:r>
                        <w:r w:rsidR="00773D82" w:rsidRPr="009E6200">
                          <w:rPr>
                            <w:bCs/>
                          </w:rPr>
                          <w:t>переходит</w:t>
                        </w:r>
                        <w:r w:rsidRPr="009E6200">
                          <w:rPr>
                            <w:bCs/>
                          </w:rPr>
                          <w:t xml:space="preserve"> в продленную </w:t>
                        </w:r>
                        <w:r w:rsidR="000B2B17" w:rsidRPr="009E6200">
                          <w:rPr>
                            <w:bCs/>
                          </w:rPr>
                          <w:t>часть</w:t>
                        </w:r>
                        <w:r w:rsidR="003468F5" w:rsidRPr="009E6200">
                          <w:rPr>
                            <w:bCs/>
                          </w:rPr>
                          <w:t xml:space="preserve"> (до визита 18 включительно) и далее в период последующего наблюдения и терапии (визиты 19+)</w:t>
                        </w:r>
                        <w:r w:rsidR="000B2B17" w:rsidRPr="009E6200">
                          <w:rPr>
                            <w:bCs/>
                          </w:rPr>
                          <w:t xml:space="preserve"> </w:t>
                        </w:r>
                        <w:r w:rsidRPr="009E6200">
                          <w:rPr>
                            <w:bCs/>
                          </w:rPr>
                          <w:t>монотерапии исследуемым препаратом RPH-001 или препаратом сравнения Авастин</w:t>
                        </w:r>
                        <w:r w:rsidRPr="009E6200">
                          <w:rPr>
                            <w:bCs/>
                            <w:vertAlign w:val="superscript"/>
                          </w:rPr>
                          <w:t>®</w:t>
                        </w:r>
                        <w:r w:rsidRPr="009E6200">
                          <w:rPr>
                            <w:bCs/>
                          </w:rPr>
                          <w:t xml:space="preserve"> в соответствии с рандомизационным кодом в заслепленном</w:t>
                        </w:r>
                        <w:r w:rsidR="001310EA" w:rsidRPr="009E6200">
                          <w:rPr>
                            <w:bCs/>
                          </w:rPr>
                          <w:t xml:space="preserve"> </w:t>
                        </w:r>
                        <w:r w:rsidR="001310EA" w:rsidRPr="009E6200">
                          <w:rPr>
                            <w:lang w:eastAsia="ru-RU"/>
                          </w:rPr>
                          <w:t xml:space="preserve">(до получения результатов </w:t>
                        </w:r>
                        <w:r w:rsidR="007E0256" w:rsidRPr="009E6200">
                          <w:rPr>
                            <w:lang w:eastAsia="ru-RU"/>
                          </w:rPr>
                          <w:t>основной части</w:t>
                        </w:r>
                        <w:r w:rsidR="001310EA" w:rsidRPr="009E6200">
                          <w:rPr>
                            <w:lang w:eastAsia="ru-RU"/>
                          </w:rPr>
                          <w:t xml:space="preserve"> исследования)</w:t>
                        </w:r>
                        <w:r w:rsidRPr="009E6200">
                          <w:rPr>
                            <w:bCs/>
                          </w:rPr>
                          <w:t xml:space="preserve"> режиме до прогрессирования заболевания (в соответствии с критериями ответа солидных опухолей  [response evaluation criteria in solid tumors,  RECIST версии 1.1] и/или развития неприемлемой токсичности и/или решения исследователя о необходимости выведения пациента из исследования в интересах пациента и/или отзыва информированного согласия или смерти пациента, в зависимости от того, что произойдет раньше. </w:t>
                        </w:r>
                        <w:r w:rsidR="00AC4632" w:rsidRPr="009E6200">
                          <w:rPr>
                            <w:bCs/>
                          </w:rPr>
                          <w:t xml:space="preserve">В </w:t>
                        </w:r>
                        <w:r w:rsidR="001D0045" w:rsidRPr="009E6200">
                          <w:rPr>
                            <w:bCs/>
                          </w:rPr>
                          <w:t xml:space="preserve">продленной </w:t>
                        </w:r>
                        <w:r w:rsidR="000B2B17" w:rsidRPr="009E6200">
                          <w:rPr>
                            <w:bCs/>
                          </w:rPr>
                          <w:t>част</w:t>
                        </w:r>
                        <w:r w:rsidR="001D0045" w:rsidRPr="009E6200">
                          <w:rPr>
                            <w:bCs/>
                          </w:rPr>
                          <w:t>и</w:t>
                        </w:r>
                        <w:r w:rsidR="000B2B17" w:rsidRPr="009E6200">
                          <w:rPr>
                            <w:bCs/>
                          </w:rPr>
                          <w:t xml:space="preserve"> </w:t>
                        </w:r>
                        <w:r w:rsidR="00AC4632" w:rsidRPr="009E6200">
                          <w:rPr>
                            <w:bCs/>
                          </w:rPr>
                          <w:t>исследования</w:t>
                        </w:r>
                        <w:r w:rsidR="003468F5" w:rsidRPr="009E6200">
                          <w:rPr>
                            <w:bCs/>
                          </w:rPr>
                          <w:t xml:space="preserve"> и в периоде последующего наблюдения и терапии</w:t>
                        </w:r>
                        <w:r w:rsidR="00AC4632" w:rsidRPr="009E6200">
                          <w:rPr>
                            <w:bCs/>
                          </w:rPr>
                          <w:t xml:space="preserve"> </w:t>
                        </w:r>
                        <w:r w:rsidR="001D0045" w:rsidRPr="009E6200">
                          <w:rPr>
                            <w:bCs/>
                          </w:rPr>
                          <w:t xml:space="preserve">продолжается </w:t>
                        </w:r>
                        <w:r w:rsidR="00AC4632" w:rsidRPr="009E6200">
                          <w:rPr>
                            <w:bCs/>
                          </w:rPr>
                          <w:t xml:space="preserve">(в </w:t>
                        </w:r>
                        <w:r w:rsidRPr="009E6200">
                          <w:rPr>
                            <w:bCs/>
                          </w:rPr>
                          <w:t xml:space="preserve">заслепленном </w:t>
                        </w:r>
                        <w:r w:rsidR="00AC4632" w:rsidRPr="009E6200">
                          <w:rPr>
                            <w:bCs/>
                          </w:rPr>
                          <w:t xml:space="preserve">режиме) </w:t>
                        </w:r>
                        <w:r w:rsidR="001D0045" w:rsidRPr="009E6200">
                          <w:rPr>
                            <w:bCs/>
                          </w:rPr>
                          <w:t xml:space="preserve">введение </w:t>
                        </w:r>
                        <w:r w:rsidR="00AC4632" w:rsidRPr="009E6200">
                          <w:rPr>
                            <w:bCs/>
                          </w:rPr>
                          <w:t>бевацизумаба каждые 3 недели (с окном ±4 дня).</w:t>
                        </w:r>
                        <w:r w:rsidR="00A53F40" w:rsidRPr="009E6200">
                          <w:rPr>
                            <w:bCs/>
                          </w:rPr>
                          <w:t xml:space="preserve"> После получения результатов окончательного анализа эффективности, в сл</w:t>
                        </w:r>
                        <w:r w:rsidRPr="009E6200">
                          <w:rPr>
                            <w:bCs/>
                          </w:rPr>
                          <w:t>у</w:t>
                        </w:r>
                        <w:r w:rsidR="00A53F40" w:rsidRPr="009E6200">
                          <w:rPr>
                            <w:bCs/>
                          </w:rPr>
                          <w:t xml:space="preserve">чае доказательства </w:t>
                        </w:r>
                        <w:r w:rsidR="001D0045" w:rsidRPr="009E6200">
                          <w:rPr>
                            <w:bCs/>
                          </w:rPr>
                          <w:t xml:space="preserve">эквивалентности </w:t>
                        </w:r>
                        <w:r w:rsidR="00A53F40" w:rsidRPr="009E6200">
                          <w:rPr>
                            <w:bCs/>
                          </w:rPr>
                          <w:t xml:space="preserve">исследуемого препарата </w:t>
                        </w:r>
                        <w:r w:rsidRPr="009E6200">
                          <w:rPr>
                            <w:bCs/>
                          </w:rPr>
                          <w:t xml:space="preserve">RPH-001 </w:t>
                        </w:r>
                        <w:r w:rsidR="00A53F40" w:rsidRPr="009E6200">
                          <w:rPr>
                            <w:bCs/>
                          </w:rPr>
                          <w:t xml:space="preserve">препарату сравнения </w:t>
                        </w:r>
                        <w:r w:rsidRPr="009E6200">
                          <w:rPr>
                            <w:bCs/>
                          </w:rPr>
                          <w:t>Авастин</w:t>
                        </w:r>
                        <w:r w:rsidRPr="009E6200">
                          <w:rPr>
                            <w:bCs/>
                            <w:vertAlign w:val="superscript"/>
                          </w:rPr>
                          <w:t>®</w:t>
                        </w:r>
                        <w:r w:rsidRPr="009E6200">
                          <w:rPr>
                            <w:bCs/>
                          </w:rPr>
                          <w:t xml:space="preserve"> </w:t>
                        </w:r>
                        <w:r w:rsidR="00211909" w:rsidRPr="009E6200">
                          <w:rPr>
                            <w:bCs/>
                          </w:rPr>
                          <w:t xml:space="preserve">на ближайшем визите </w:t>
                        </w:r>
                        <w:r w:rsidR="00A53F40" w:rsidRPr="009E6200">
                          <w:rPr>
                            <w:bCs/>
                          </w:rPr>
                          <w:t xml:space="preserve">пациентам в рамках продленной </w:t>
                        </w:r>
                        <w:r w:rsidR="000B2B17" w:rsidRPr="009E6200">
                          <w:rPr>
                            <w:bCs/>
                          </w:rPr>
                          <w:t xml:space="preserve">части </w:t>
                        </w:r>
                        <w:r w:rsidR="00A53F40" w:rsidRPr="009E6200">
                          <w:rPr>
                            <w:bCs/>
                          </w:rPr>
                          <w:t xml:space="preserve">исследования будет предложено перейти с лечения препаратом сравнения </w:t>
                        </w:r>
                        <w:r w:rsidR="00773D82" w:rsidRPr="009E6200">
                          <w:rPr>
                            <w:bCs/>
                          </w:rPr>
                          <w:t>Авастин</w:t>
                        </w:r>
                        <w:r w:rsidR="00773D82" w:rsidRPr="009E6200">
                          <w:rPr>
                            <w:bCs/>
                            <w:vertAlign w:val="superscript"/>
                          </w:rPr>
                          <w:t xml:space="preserve">® </w:t>
                        </w:r>
                        <w:r w:rsidR="00A53F40" w:rsidRPr="009E6200">
                          <w:rPr>
                            <w:bCs/>
                          </w:rPr>
                          <w:t>на лечение препаратом</w:t>
                        </w:r>
                        <w:r w:rsidR="00773D82" w:rsidRPr="009E6200">
                          <w:rPr>
                            <w:bCs/>
                          </w:rPr>
                          <w:t xml:space="preserve"> RPH-001</w:t>
                        </w:r>
                        <w:r w:rsidR="00A53F40" w:rsidRPr="009E6200">
                          <w:rPr>
                            <w:bCs/>
                          </w:rPr>
                          <w:t xml:space="preserve">. При отказе пациента от такого перевода пациент </w:t>
                        </w:r>
                        <w:r w:rsidR="00033535" w:rsidRPr="009E6200">
                          <w:rPr>
                            <w:bCs/>
                          </w:rPr>
                          <w:t>прекращает терапию в рамках</w:t>
                        </w:r>
                        <w:r w:rsidR="00A53F40" w:rsidRPr="009E6200">
                          <w:rPr>
                            <w:bCs/>
                          </w:rPr>
                          <w:t xml:space="preserve"> исследования.</w:t>
                        </w:r>
                        <w:r w:rsidR="00653D43" w:rsidRPr="009E6200">
                          <w:t xml:space="preserve"> </w:t>
                        </w:r>
                        <w:r w:rsidR="00033535" w:rsidRPr="009E6200">
                          <w:rPr>
                            <w:bCs/>
                          </w:rPr>
                          <w:t>П</w:t>
                        </w:r>
                        <w:r w:rsidR="00653D43" w:rsidRPr="009E6200">
                          <w:rPr>
                            <w:bCs/>
                          </w:rPr>
                          <w:t xml:space="preserve">осле этого для оценки дожития с пациентом будет поддерживаться телефонный </w:t>
                        </w:r>
                        <w:r w:rsidR="001470CF" w:rsidRPr="001470CF">
                          <w:rPr>
                            <w:rFonts w:eastAsia="Times New Roman" w:cs="Times New Roman"/>
                            <w:bCs/>
                          </w:rPr>
                          <w:t>контакт каждые 2 месяца (±14 дней) до 12 месяцев от момента рандомизации.</w:t>
                        </w:r>
                      </w:p>
                      <w:p w14:paraId="3D5F7EA4" w14:textId="77777777" w:rsidR="00887681" w:rsidRPr="009E6200" w:rsidRDefault="00887681" w:rsidP="007B46F5">
                        <w:pPr>
                          <w:jc w:val="both"/>
                          <w:rPr>
                            <w:bCs/>
                          </w:rPr>
                        </w:pPr>
                      </w:p>
                      <w:p w14:paraId="03AE1555" w14:textId="7934675B" w:rsidR="009560E5" w:rsidRPr="009E6200" w:rsidRDefault="009560E5" w:rsidP="007B46F5">
                        <w:pPr>
                          <w:jc w:val="both"/>
                          <w:rPr>
                            <w:b/>
                          </w:rPr>
                        </w:pPr>
                        <w:r w:rsidRPr="009E6200">
                          <w:rPr>
                            <w:b/>
                          </w:rPr>
                          <w:t>Визиты 10 (день 190±4, неделя 28), 11 (день 211±4, неделя 31), 13 (день 253±4, неделя 37), 14 (день 274, ±4 неделя 40), 16 (день 316±4, неделя 46) и 17 (день 337±4, неделя 49):</w:t>
                        </w:r>
                      </w:p>
                      <w:p w14:paraId="4A053A15" w14:textId="77777777" w:rsidR="009560E5" w:rsidRPr="009E6200" w:rsidRDefault="009560E5" w:rsidP="007B46F5">
                        <w:pPr>
                          <w:jc w:val="both"/>
                        </w:pPr>
                        <w:r w:rsidRPr="009E6200">
                          <w:t>Обследование и лечение пациентов в рамках каждого цикла может быть проведено в ходе госпитализации, в формате дневного стационара или амбулаторно (в соответствии с принятой практикой в клиническом центре). Перечень проводимых процедур исследования:</w:t>
                        </w:r>
                      </w:p>
                      <w:p w14:paraId="45920B8C" w14:textId="77777777" w:rsidR="009560E5" w:rsidRPr="009E6200" w:rsidRDefault="009560E5" w:rsidP="007B46F5">
                        <w:pPr>
                          <w:numPr>
                            <w:ilvl w:val="0"/>
                            <w:numId w:val="11"/>
                          </w:numPr>
                          <w:jc w:val="both"/>
                        </w:pPr>
                        <w:r w:rsidRPr="009E6200">
                          <w:t>Сбор жалоб;</w:t>
                        </w:r>
                      </w:p>
                      <w:p w14:paraId="0ED1E47C" w14:textId="77777777" w:rsidR="009560E5" w:rsidRPr="009E6200" w:rsidRDefault="009560E5" w:rsidP="007B46F5">
                        <w:pPr>
                          <w:numPr>
                            <w:ilvl w:val="0"/>
                            <w:numId w:val="11"/>
                          </w:numPr>
                          <w:jc w:val="both"/>
                        </w:pPr>
                        <w:r w:rsidRPr="009E6200">
                          <w:t>Регистрация сопутствующей терапии;</w:t>
                        </w:r>
                      </w:p>
                      <w:p w14:paraId="25372EBB" w14:textId="77777777" w:rsidR="009560E5" w:rsidRPr="009E6200" w:rsidRDefault="009560E5" w:rsidP="007B46F5">
                        <w:pPr>
                          <w:numPr>
                            <w:ilvl w:val="0"/>
                            <w:numId w:val="11"/>
                          </w:numPr>
                          <w:jc w:val="both"/>
                        </w:pPr>
                        <w:r w:rsidRPr="009E6200">
                          <w:t>Физикальный осмотр;</w:t>
                        </w:r>
                      </w:p>
                      <w:p w14:paraId="510892ED" w14:textId="77777777" w:rsidR="009560E5" w:rsidRPr="009E6200" w:rsidRDefault="009560E5" w:rsidP="007B46F5">
                        <w:pPr>
                          <w:numPr>
                            <w:ilvl w:val="0"/>
                            <w:numId w:val="11"/>
                          </w:numPr>
                          <w:jc w:val="both"/>
                        </w:pPr>
                        <w:r w:rsidRPr="009E6200">
                          <w:t xml:space="preserve">Оценка статуса по </w:t>
                        </w:r>
                        <w:r w:rsidRPr="009E6200">
                          <w:rPr>
                            <w:lang w:val="en-US"/>
                          </w:rPr>
                          <w:t>ECOG;</w:t>
                        </w:r>
                      </w:p>
                      <w:p w14:paraId="50F96384" w14:textId="77777777" w:rsidR="009560E5" w:rsidRPr="009E6200" w:rsidRDefault="009560E5" w:rsidP="007B46F5">
                        <w:pPr>
                          <w:numPr>
                            <w:ilvl w:val="0"/>
                            <w:numId w:val="11"/>
                          </w:numPr>
                          <w:jc w:val="both"/>
                        </w:pPr>
                        <w:r w:rsidRPr="009E6200">
                          <w:t>Измерение массы тела;</w:t>
                        </w:r>
                      </w:p>
                      <w:p w14:paraId="0A6B9B7E" w14:textId="77777777" w:rsidR="009560E5" w:rsidRPr="009E6200" w:rsidRDefault="009560E5" w:rsidP="007B46F5">
                        <w:pPr>
                          <w:numPr>
                            <w:ilvl w:val="0"/>
                            <w:numId w:val="11"/>
                          </w:numPr>
                          <w:jc w:val="both"/>
                        </w:pPr>
                        <w:r w:rsidRPr="009E6200">
                          <w:t>Оценка жизненно важных показателей (АД, ЧСС, ЧДД, температура тела);</w:t>
                        </w:r>
                      </w:p>
                      <w:p w14:paraId="5D38F0C3" w14:textId="77777777" w:rsidR="009560E5" w:rsidRPr="009E6200" w:rsidRDefault="009560E5" w:rsidP="007B46F5">
                        <w:pPr>
                          <w:numPr>
                            <w:ilvl w:val="0"/>
                            <w:numId w:val="11"/>
                          </w:numPr>
                          <w:jc w:val="both"/>
                        </w:pPr>
                        <w:r w:rsidRPr="009E6200">
                          <w:t>Клинический анализ крови;</w:t>
                        </w:r>
                      </w:p>
                      <w:p w14:paraId="6C794752" w14:textId="77777777" w:rsidR="009560E5" w:rsidRPr="009E6200" w:rsidRDefault="009560E5" w:rsidP="007B46F5">
                        <w:pPr>
                          <w:numPr>
                            <w:ilvl w:val="0"/>
                            <w:numId w:val="11"/>
                          </w:numPr>
                          <w:jc w:val="both"/>
                        </w:pPr>
                        <w:r w:rsidRPr="009E6200">
                          <w:t>Биохимический анализ крови (АЛТ, АСТ, билирубин, ЩФ, общий белок, альбумин, глюкоза, мочевина креатинин);</w:t>
                        </w:r>
                      </w:p>
                      <w:p w14:paraId="03B216DE" w14:textId="77777777" w:rsidR="009560E5" w:rsidRPr="009E6200" w:rsidRDefault="009560E5" w:rsidP="007B46F5">
                        <w:pPr>
                          <w:numPr>
                            <w:ilvl w:val="0"/>
                            <w:numId w:val="11"/>
                          </w:numPr>
                          <w:jc w:val="both"/>
                        </w:pPr>
                        <w:r w:rsidRPr="009E6200">
                          <w:t>Общий анализ мочи;</w:t>
                        </w:r>
                      </w:p>
                      <w:p w14:paraId="622402B6" w14:textId="77777777" w:rsidR="009560E5" w:rsidRPr="009E6200" w:rsidRDefault="009560E5" w:rsidP="007B46F5">
                        <w:pPr>
                          <w:numPr>
                            <w:ilvl w:val="0"/>
                            <w:numId w:val="11"/>
                          </w:numPr>
                          <w:jc w:val="both"/>
                        </w:pPr>
                        <w:r w:rsidRPr="009E6200">
                          <w:t>Тест на беременность (для женщин детородного возраста с сохраненным репродуктивным потенциалом);</w:t>
                        </w:r>
                      </w:p>
                      <w:p w14:paraId="10DBE9A2" w14:textId="77777777" w:rsidR="009560E5" w:rsidRPr="009E6200" w:rsidRDefault="009560E5" w:rsidP="007B46F5">
                        <w:pPr>
                          <w:numPr>
                            <w:ilvl w:val="0"/>
                            <w:numId w:val="11"/>
                          </w:numPr>
                          <w:jc w:val="both"/>
                        </w:pPr>
                        <w:r w:rsidRPr="009E6200">
                          <w:t>Оценка НЯ и СНЯ;</w:t>
                        </w:r>
                      </w:p>
                      <w:p w14:paraId="5F9EAC4A" w14:textId="19BB5201" w:rsidR="009560E5" w:rsidRDefault="009560E5" w:rsidP="007B46F5">
                        <w:pPr>
                          <w:numPr>
                            <w:ilvl w:val="0"/>
                            <w:numId w:val="11"/>
                          </w:numPr>
                          <w:jc w:val="both"/>
                        </w:pPr>
                        <w:r w:rsidRPr="009E6200">
                          <w:t>Оценка критериев исключения;</w:t>
                        </w:r>
                      </w:p>
                      <w:p w14:paraId="4245C256" w14:textId="19FA57D0" w:rsidR="008B1D71" w:rsidRPr="009E6200" w:rsidRDefault="008B1D71" w:rsidP="007B46F5">
                        <w:pPr>
                          <w:numPr>
                            <w:ilvl w:val="0"/>
                            <w:numId w:val="11"/>
                          </w:numPr>
                          <w:jc w:val="both"/>
                        </w:pPr>
                        <w:r w:rsidRPr="008B1D71">
                          <w:rPr>
                            <w:rFonts w:eastAsia="Times New Roman" w:cs="Times New Roman"/>
                          </w:rPr>
                          <w:t>Разослепление врача-исследователя и пациента в случае подтверждения эквивалентности препарата RPH-001 препарату Авастин</w:t>
                        </w:r>
                        <w:r w:rsidRPr="008B1D71">
                          <w:rPr>
                            <w:rFonts w:eastAsia="Times New Roman" w:cs="Times New Roman"/>
                            <w:vertAlign w:val="superscript"/>
                          </w:rPr>
                          <w:t>®</w:t>
                        </w:r>
                        <w:r w:rsidRPr="008B1D71">
                          <w:rPr>
                            <w:rFonts w:eastAsia="Times New Roman" w:cs="Times New Roman"/>
                          </w:rPr>
                          <w:t xml:space="preserve"> по результатам основной части исследования. После такого подтверждения предложение пациентам, получавшим Авастин</w:t>
                        </w:r>
                        <w:r w:rsidRPr="008B1D71">
                          <w:rPr>
                            <w:rFonts w:eastAsia="Times New Roman" w:cs="Times New Roman"/>
                            <w:vertAlign w:val="superscript"/>
                          </w:rPr>
                          <w:t>®</w:t>
                        </w:r>
                        <w:r w:rsidRPr="008B1D71">
                          <w:rPr>
                            <w:rFonts w:eastAsia="Times New Roman" w:cs="Times New Roman"/>
                          </w:rPr>
                          <w:t>, продолжить лечение препаратом RPH-001;</w:t>
                        </w:r>
                      </w:p>
                      <w:p w14:paraId="0C7928BA" w14:textId="654474D0" w:rsidR="009560E5" w:rsidRPr="009E6200" w:rsidRDefault="009560E5" w:rsidP="007B46F5">
                        <w:pPr>
                          <w:numPr>
                            <w:ilvl w:val="0"/>
                            <w:numId w:val="11"/>
                          </w:numPr>
                          <w:jc w:val="both"/>
                          <w:rPr>
                            <w:bCs/>
                          </w:rPr>
                        </w:pPr>
                        <w:r w:rsidRPr="009E6200">
                          <w:t>Если допустимо с учетом наличия и выраженности токсичности и при отсутствии прогрессирования заболевания, очередное введение бевацизумаба.</w:t>
                        </w:r>
                      </w:p>
                      <w:p w14:paraId="7ED3C147" w14:textId="77777777" w:rsidR="009560E5" w:rsidRPr="009E6200" w:rsidRDefault="009560E5" w:rsidP="007B46F5">
                        <w:pPr>
                          <w:jc w:val="both"/>
                          <w:rPr>
                            <w:bCs/>
                          </w:rPr>
                        </w:pPr>
                      </w:p>
                      <w:p w14:paraId="3F9D2C88" w14:textId="2FBF589E" w:rsidR="009560E5" w:rsidRPr="009E6200" w:rsidRDefault="00BB3A26" w:rsidP="007B46F5">
                        <w:pPr>
                          <w:jc w:val="both"/>
                          <w:rPr>
                            <w:b/>
                          </w:rPr>
                        </w:pPr>
                        <w:r w:rsidRPr="009E6200">
                          <w:rPr>
                            <w:b/>
                          </w:rPr>
                          <w:t>Визиты</w:t>
                        </w:r>
                        <w:r w:rsidR="009560E5" w:rsidRPr="009E6200">
                          <w:rPr>
                            <w:b/>
                          </w:rPr>
                          <w:t xml:space="preserve"> 12 (день 232±4, неделя 34), 15 (день 295±4, неделя 43) и 18 (день 358±4, неделя 52)</w:t>
                        </w:r>
                        <w:r w:rsidRPr="009E6200">
                          <w:rPr>
                            <w:b/>
                          </w:rPr>
                          <w:t>:</w:t>
                        </w:r>
                      </w:p>
                      <w:p w14:paraId="2A8376EC" w14:textId="77777777" w:rsidR="00BB3A26" w:rsidRPr="009E6200" w:rsidRDefault="00BB3A26" w:rsidP="007B46F5">
                        <w:pPr>
                          <w:jc w:val="both"/>
                        </w:pPr>
                        <w:r w:rsidRPr="009E6200">
                          <w:t>Обследование и лечение пациентов в рамках каждого цикла может быть проведено в ходе госпитализации, в формате дневного стационара или амбулаторно (в соответствии с принятой практикой в клиническом центре). Перечень проводимых процедур исследования:</w:t>
                        </w:r>
                      </w:p>
                      <w:p w14:paraId="10760AF0" w14:textId="77777777" w:rsidR="00BB3A26" w:rsidRPr="009E6200" w:rsidRDefault="00BB3A26" w:rsidP="007B46F5">
                        <w:pPr>
                          <w:numPr>
                            <w:ilvl w:val="0"/>
                            <w:numId w:val="11"/>
                          </w:numPr>
                          <w:jc w:val="both"/>
                        </w:pPr>
                        <w:r w:rsidRPr="009E6200">
                          <w:t>Сбор жалоб;</w:t>
                        </w:r>
                      </w:p>
                      <w:p w14:paraId="1B8E4C71" w14:textId="77777777" w:rsidR="00BB3A26" w:rsidRPr="009E6200" w:rsidRDefault="00BB3A26" w:rsidP="007B46F5">
                        <w:pPr>
                          <w:numPr>
                            <w:ilvl w:val="0"/>
                            <w:numId w:val="11"/>
                          </w:numPr>
                          <w:jc w:val="both"/>
                        </w:pPr>
                        <w:r w:rsidRPr="009E6200">
                          <w:t>Регистрация сопутствующей терапии;</w:t>
                        </w:r>
                      </w:p>
                      <w:p w14:paraId="3D1747D1" w14:textId="77777777" w:rsidR="00BB3A26" w:rsidRPr="009E6200" w:rsidRDefault="00BB3A26" w:rsidP="007B46F5">
                        <w:pPr>
                          <w:numPr>
                            <w:ilvl w:val="0"/>
                            <w:numId w:val="11"/>
                          </w:numPr>
                          <w:jc w:val="both"/>
                        </w:pPr>
                        <w:r w:rsidRPr="009E6200">
                          <w:t>Физикальный осмотр;</w:t>
                        </w:r>
                      </w:p>
                      <w:p w14:paraId="412B02AE" w14:textId="77777777" w:rsidR="00BB3A26" w:rsidRPr="009E6200" w:rsidRDefault="00BB3A26" w:rsidP="007B46F5">
                        <w:pPr>
                          <w:numPr>
                            <w:ilvl w:val="0"/>
                            <w:numId w:val="11"/>
                          </w:numPr>
                          <w:jc w:val="both"/>
                        </w:pPr>
                        <w:r w:rsidRPr="009E6200">
                          <w:t xml:space="preserve">Оценка статуса по </w:t>
                        </w:r>
                        <w:r w:rsidRPr="009E6200">
                          <w:rPr>
                            <w:lang w:val="en-US"/>
                          </w:rPr>
                          <w:t>ECOG;</w:t>
                        </w:r>
                      </w:p>
                      <w:p w14:paraId="2A129A50" w14:textId="77777777" w:rsidR="00BB3A26" w:rsidRPr="009E6200" w:rsidRDefault="00BB3A26" w:rsidP="007B46F5">
                        <w:pPr>
                          <w:numPr>
                            <w:ilvl w:val="0"/>
                            <w:numId w:val="11"/>
                          </w:numPr>
                          <w:jc w:val="both"/>
                        </w:pPr>
                        <w:r w:rsidRPr="009E6200">
                          <w:t>Измерение массы тела;</w:t>
                        </w:r>
                      </w:p>
                      <w:p w14:paraId="26B6C562" w14:textId="77777777" w:rsidR="00BB3A26" w:rsidRPr="009E6200" w:rsidRDefault="00BB3A26" w:rsidP="007B46F5">
                        <w:pPr>
                          <w:numPr>
                            <w:ilvl w:val="0"/>
                            <w:numId w:val="11"/>
                          </w:numPr>
                          <w:jc w:val="both"/>
                        </w:pPr>
                        <w:r w:rsidRPr="009E6200">
                          <w:t>Оценка жизненно важных показателей (АД, ЧСС, ЧДД, температура тела);</w:t>
                        </w:r>
                      </w:p>
                      <w:p w14:paraId="4CBEFDAB" w14:textId="77777777" w:rsidR="00BB3A26" w:rsidRPr="009E6200" w:rsidRDefault="00BB3A26" w:rsidP="007B46F5">
                        <w:pPr>
                          <w:numPr>
                            <w:ilvl w:val="0"/>
                            <w:numId w:val="11"/>
                          </w:numPr>
                          <w:jc w:val="both"/>
                        </w:pPr>
                        <w:r w:rsidRPr="009E6200">
                          <w:t>Клинический анализ крови;</w:t>
                        </w:r>
                      </w:p>
                      <w:p w14:paraId="56166462" w14:textId="75C528EC" w:rsidR="00BB3A26" w:rsidRDefault="00BB3A26" w:rsidP="007B46F5">
                        <w:pPr>
                          <w:numPr>
                            <w:ilvl w:val="0"/>
                            <w:numId w:val="11"/>
                          </w:numPr>
                          <w:jc w:val="both"/>
                        </w:pPr>
                        <w:r w:rsidRPr="009E6200">
                          <w:t>Биохимический анализ крови (АЛТ, АСТ, билирубин, ЩФ, общий белок, альбумин, глюкоза, мочевина креатинин);</w:t>
                        </w:r>
                      </w:p>
                      <w:p w14:paraId="27BFCAF7" w14:textId="0EF64E63" w:rsidR="004B2477" w:rsidRPr="009E6200" w:rsidRDefault="004B2477" w:rsidP="007B46F5">
                        <w:pPr>
                          <w:numPr>
                            <w:ilvl w:val="0"/>
                            <w:numId w:val="11"/>
                          </w:numPr>
                          <w:jc w:val="both"/>
                        </w:pPr>
                        <w:r>
                          <w:t>Коагулограмма (</w:t>
                        </w:r>
                        <w:r w:rsidRPr="009E6200">
                          <w:t>Активированное частичное тромбопластиновое время (АЧТВ), протромбиновое время (ПВ), фибриноген, международное нормализованное отношение (МНО)</w:t>
                        </w:r>
                        <w:r>
                          <w:t>);</w:t>
                        </w:r>
                      </w:p>
                      <w:p w14:paraId="473BB9F2" w14:textId="77777777" w:rsidR="00BB3A26" w:rsidRPr="009E6200" w:rsidRDefault="00BB3A26" w:rsidP="007B46F5">
                        <w:pPr>
                          <w:pStyle w:val="ListParagraph"/>
                          <w:numPr>
                            <w:ilvl w:val="0"/>
                            <w:numId w:val="11"/>
                          </w:numPr>
                          <w:spacing w:line="240" w:lineRule="auto"/>
                          <w:rPr>
                            <w:lang w:val="ru-RU"/>
                          </w:rPr>
                        </w:pPr>
                        <w:r w:rsidRPr="009E6200">
                          <w:rPr>
                            <w:lang w:val="ru-RU"/>
                          </w:rPr>
                          <w:t>Оценка СКФ (для оценки возможности выполнения исследования и выбора контрастного препарата, если планируется выполнение КТ или МРТ с контрастированием);</w:t>
                        </w:r>
                      </w:p>
                      <w:p w14:paraId="59594E42" w14:textId="77777777" w:rsidR="00BB3A26" w:rsidRPr="009E6200" w:rsidRDefault="00BB3A26" w:rsidP="007B46F5">
                        <w:pPr>
                          <w:numPr>
                            <w:ilvl w:val="0"/>
                            <w:numId w:val="11"/>
                          </w:numPr>
                          <w:jc w:val="both"/>
                        </w:pPr>
                        <w:r w:rsidRPr="009E6200">
                          <w:t>Общий анализ мочи;</w:t>
                        </w:r>
                      </w:p>
                      <w:p w14:paraId="521C0F8B" w14:textId="77777777" w:rsidR="00BB3A26" w:rsidRPr="009E6200" w:rsidRDefault="00BB3A26" w:rsidP="007B46F5">
                        <w:pPr>
                          <w:numPr>
                            <w:ilvl w:val="0"/>
                            <w:numId w:val="11"/>
                          </w:numPr>
                          <w:jc w:val="both"/>
                        </w:pPr>
                        <w:r w:rsidRPr="009E6200">
                          <w:t>Тест на беременность (для женщин детородного возраста с сохраненным репродуктивным потенциалом);</w:t>
                        </w:r>
                      </w:p>
                      <w:p w14:paraId="58C2D534" w14:textId="35E2C815" w:rsidR="00BB3A26" w:rsidRDefault="00BB3A26" w:rsidP="007B46F5">
                        <w:pPr>
                          <w:pStyle w:val="ListParagraph"/>
                          <w:numPr>
                            <w:ilvl w:val="0"/>
                            <w:numId w:val="11"/>
                          </w:numPr>
                          <w:spacing w:line="240" w:lineRule="auto"/>
                          <w:rPr>
                            <w:lang w:val="ru-RU"/>
                          </w:rPr>
                        </w:pPr>
                        <w:r w:rsidRPr="009E6200">
                          <w:rPr>
                            <w:lang w:val="ru-RU"/>
                          </w:rPr>
                          <w:t xml:space="preserve">Оценка очагов с определением целевых (для количественной оценки) и нецелевых (для качественной оценки) поражений: </w:t>
                        </w:r>
                        <w:r w:rsidR="001470CF" w:rsidRPr="001470CF">
                          <w:rPr>
                            <w:rFonts w:eastAsia="Times New Roman"/>
                            <w:kern w:val="0"/>
                            <w:szCs w:val="22"/>
                            <w:lang w:val="ru-RU"/>
                          </w:rPr>
                          <w:t xml:space="preserve">КТ органов грудной клетки </w:t>
                        </w:r>
                        <w:r w:rsidR="0024536F">
                          <w:rPr>
                            <w:rFonts w:eastAsia="Times New Roman"/>
                            <w:kern w:val="0"/>
                            <w:szCs w:val="22"/>
                            <w:lang w:val="ru-RU"/>
                          </w:rPr>
                          <w:t xml:space="preserve">и брюшной полости </w:t>
                        </w:r>
                        <w:r w:rsidR="001470CF" w:rsidRPr="001470CF">
                          <w:rPr>
                            <w:rFonts w:eastAsia="Times New Roman"/>
                            <w:kern w:val="0"/>
                            <w:szCs w:val="22"/>
                            <w:lang w:val="ru-RU"/>
                          </w:rPr>
                          <w:t xml:space="preserve">(с контрастированием) </w:t>
                        </w:r>
                        <w:r w:rsidRPr="009E6200">
                          <w:rPr>
                            <w:lang w:val="ru-RU"/>
                          </w:rPr>
                          <w:t>+ КТ (с контрастированием) или МРТ (с контрастированием) всех применимых областей с первичной опухолью и ранее выявленными метастазами или при подозрении на метастазы: головы, шеи, органов брюшной полости и малого таза, и т.д. (для оценки очагов должен быть использован тот же метод обследования, что и на скрининге, если только у пациента не возникают противопоказания к использованию соответствующего метода);</w:t>
                        </w:r>
                      </w:p>
                      <w:p w14:paraId="1BA3CC3D" w14:textId="77777777" w:rsidR="00394E09" w:rsidRPr="009E6200" w:rsidRDefault="00394E09" w:rsidP="007B46F5">
                        <w:pPr>
                          <w:pStyle w:val="ListParagraph"/>
                          <w:spacing w:line="240" w:lineRule="auto"/>
                          <w:ind w:left="720"/>
                          <w:rPr>
                            <w:lang w:val="ru-RU"/>
                          </w:rPr>
                        </w:pPr>
                      </w:p>
                      <w:p w14:paraId="457A0B20" w14:textId="77777777" w:rsidR="00BB3A26" w:rsidRPr="009E6200" w:rsidRDefault="00BB3A26" w:rsidP="007B46F5">
                        <w:pPr>
                          <w:numPr>
                            <w:ilvl w:val="0"/>
                            <w:numId w:val="11"/>
                          </w:numPr>
                          <w:jc w:val="both"/>
                        </w:pPr>
                        <w:r w:rsidRPr="009E6200">
                          <w:t>Оценка НЯ и СНЯ;</w:t>
                        </w:r>
                      </w:p>
                      <w:p w14:paraId="76099F4A" w14:textId="3213FF12" w:rsidR="00BB3A26" w:rsidRPr="009E6200" w:rsidRDefault="00BB3A26" w:rsidP="007B46F5">
                        <w:pPr>
                          <w:numPr>
                            <w:ilvl w:val="0"/>
                            <w:numId w:val="11"/>
                          </w:numPr>
                          <w:jc w:val="both"/>
                        </w:pPr>
                        <w:r w:rsidRPr="009E6200">
                          <w:t>Оценка критериев исключения;</w:t>
                        </w:r>
                      </w:p>
                      <w:p w14:paraId="3341438B" w14:textId="77777777" w:rsidR="001470CF" w:rsidRPr="001470CF" w:rsidRDefault="001470CF" w:rsidP="007B46F5">
                        <w:pPr>
                          <w:numPr>
                            <w:ilvl w:val="0"/>
                            <w:numId w:val="11"/>
                          </w:numPr>
                          <w:jc w:val="both"/>
                          <w:rPr>
                            <w:rFonts w:eastAsia="Times New Roman" w:cs="Times New Roman"/>
                          </w:rPr>
                        </w:pPr>
                        <w:r w:rsidRPr="001470CF">
                          <w:rPr>
                            <w:rFonts w:eastAsia="Times New Roman" w:cs="Times New Roman"/>
                          </w:rPr>
                          <w:t>Разослепление врача-исследователя и пациента в случае подтверждения эквивалентности препарата RPH-001 препарату Авастин</w:t>
                        </w:r>
                        <w:r w:rsidRPr="001470CF">
                          <w:rPr>
                            <w:rFonts w:eastAsia="Times New Roman" w:cs="Times New Roman"/>
                            <w:vertAlign w:val="superscript"/>
                          </w:rPr>
                          <w:t>®</w:t>
                        </w:r>
                        <w:r w:rsidRPr="001470CF">
                          <w:rPr>
                            <w:rFonts w:eastAsia="Times New Roman" w:cs="Times New Roman"/>
                          </w:rPr>
                          <w:t xml:space="preserve"> по результатам основной части исследования. После такого подтверждения предложение пациентам, получавшим Авастин</w:t>
                        </w:r>
                        <w:r w:rsidRPr="001470CF">
                          <w:rPr>
                            <w:rFonts w:eastAsia="Times New Roman" w:cs="Times New Roman"/>
                            <w:vertAlign w:val="superscript"/>
                          </w:rPr>
                          <w:t>®</w:t>
                        </w:r>
                        <w:r w:rsidRPr="001470CF">
                          <w:rPr>
                            <w:rFonts w:eastAsia="Times New Roman" w:cs="Times New Roman"/>
                          </w:rPr>
                          <w:t>, продолжить лечение препаратом RPH-001;</w:t>
                        </w:r>
                      </w:p>
                      <w:p w14:paraId="5AB77C64" w14:textId="11CF0ECC" w:rsidR="00BB3A26" w:rsidRPr="009E6200" w:rsidRDefault="00BB3A26" w:rsidP="007B46F5">
                        <w:pPr>
                          <w:numPr>
                            <w:ilvl w:val="0"/>
                            <w:numId w:val="11"/>
                          </w:numPr>
                          <w:jc w:val="both"/>
                          <w:rPr>
                            <w:bCs/>
                          </w:rPr>
                        </w:pPr>
                        <w:r w:rsidRPr="009E6200">
                          <w:t>Если допустимо с учетом наличия и выраженности токсичности и при отсутствии прогрессирования заболевания, очередное введение бевацизумаба;</w:t>
                        </w:r>
                      </w:p>
                      <w:p w14:paraId="7BCE9FEB" w14:textId="77777777" w:rsidR="009C5020" w:rsidRPr="009E6200" w:rsidRDefault="009C5020" w:rsidP="007B46F5">
                        <w:pPr>
                          <w:jc w:val="both"/>
                          <w:rPr>
                            <w:bCs/>
                          </w:rPr>
                        </w:pPr>
                      </w:p>
                      <w:p w14:paraId="69CDB5C0" w14:textId="73C5D12B" w:rsidR="00BB3A26" w:rsidRPr="009E6200" w:rsidRDefault="009C5020" w:rsidP="007B46F5">
                        <w:pPr>
                          <w:jc w:val="both"/>
                          <w:rPr>
                            <w:b/>
                          </w:rPr>
                        </w:pPr>
                        <w:r w:rsidRPr="009E6200">
                          <w:rPr>
                            <w:b/>
                          </w:rPr>
                          <w:t xml:space="preserve">На Визитах 15 (день 295±4, неделя 43) и 18 (день 358±4, неделя 52) </w:t>
                        </w:r>
                        <w:r w:rsidRPr="009E6200">
                          <w:rPr>
                            <w:bCs/>
                          </w:rPr>
                          <w:t>в дополнение к указанным</w:t>
                        </w:r>
                        <w:r w:rsidR="00211909" w:rsidRPr="009E6200">
                          <w:rPr>
                            <w:bCs/>
                          </w:rPr>
                          <w:t xml:space="preserve"> для этих ви</w:t>
                        </w:r>
                        <w:r w:rsidR="00867606" w:rsidRPr="009E6200">
                          <w:rPr>
                            <w:bCs/>
                          </w:rPr>
                          <w:t>з</w:t>
                        </w:r>
                        <w:r w:rsidR="00211909" w:rsidRPr="009E6200">
                          <w:rPr>
                            <w:bCs/>
                          </w:rPr>
                          <w:t>итов</w:t>
                        </w:r>
                        <w:r w:rsidRPr="009E6200">
                          <w:rPr>
                            <w:bCs/>
                          </w:rPr>
                          <w:t xml:space="preserve"> процедурам выполняется </w:t>
                        </w:r>
                        <w:r w:rsidR="0009540C" w:rsidRPr="009E6200">
                          <w:rPr>
                            <w:bCs/>
                          </w:rPr>
                          <w:t xml:space="preserve">анализ </w:t>
                        </w:r>
                        <w:r w:rsidR="00211909" w:rsidRPr="009E6200">
                          <w:rPr>
                            <w:bCs/>
                          </w:rPr>
                          <w:t>крови</w:t>
                        </w:r>
                        <w:r w:rsidR="00867606" w:rsidRPr="009E6200">
                          <w:rPr>
                            <w:bCs/>
                          </w:rPr>
                          <w:t xml:space="preserve"> </w:t>
                        </w:r>
                        <w:r w:rsidR="00211909" w:rsidRPr="009E6200">
                          <w:rPr>
                            <w:bCs/>
                          </w:rPr>
                          <w:t>на уровень антител к бевацизумабу (в случае выявления антител – анализ на уровень нейтрализующих антител), а на Визите 18 также ЭКГ.</w:t>
                        </w:r>
                      </w:p>
                      <w:p w14:paraId="1CB890D0" w14:textId="58CD6C09" w:rsidR="002C39AF" w:rsidRPr="009E6200" w:rsidRDefault="008A78E4" w:rsidP="007B46F5">
                        <w:pPr>
                          <w:jc w:val="both"/>
                          <w:rPr>
                            <w:bCs/>
                          </w:rPr>
                        </w:pPr>
                        <w:r w:rsidRPr="009E6200">
                          <w:rPr>
                            <w:bCs/>
                          </w:rPr>
                          <w:t xml:space="preserve">После завершения участия пациента в продленной части исследования </w:t>
                        </w:r>
                        <w:r w:rsidR="000C0243" w:rsidRPr="009E6200">
                          <w:rPr>
                            <w:bCs/>
                          </w:rPr>
                          <w:t xml:space="preserve">(т.е. есть после прохождения процедур Визита 18), </w:t>
                        </w:r>
                        <w:r w:rsidRPr="009E6200">
                          <w:rPr>
                            <w:bCs/>
                          </w:rPr>
                          <w:t xml:space="preserve">если пациенту все еще будет показан бевацизумаб, </w:t>
                        </w:r>
                        <w:r w:rsidR="00F40EA4" w:rsidRPr="009E6200">
                          <w:rPr>
                            <w:bCs/>
                          </w:rPr>
                          <w:t xml:space="preserve">в рамках периода последующего наблюдения и терапии </w:t>
                        </w:r>
                        <w:r w:rsidRPr="009E6200">
                          <w:rPr>
                            <w:bCs/>
                          </w:rPr>
                          <w:t xml:space="preserve">он будет обеспечиваться исследуемым препаратом </w:t>
                        </w:r>
                        <w:r w:rsidR="000C0243" w:rsidRPr="009E6200">
                          <w:rPr>
                            <w:bCs/>
                          </w:rPr>
                          <w:t>RPH-001</w:t>
                        </w:r>
                        <w:r w:rsidR="003468F5" w:rsidRPr="009E6200">
                          <w:rPr>
                            <w:bCs/>
                          </w:rPr>
                          <w:t>/препаратом сравнения Авастин</w:t>
                        </w:r>
                        <w:r w:rsidR="000C0243" w:rsidRPr="009E6200">
                          <w:rPr>
                            <w:bCs/>
                          </w:rPr>
                          <w:t xml:space="preserve"> до тех пор, пока будет сохраняться польза для пациента от такого лечения по мнению лечащего врача. </w:t>
                        </w:r>
                        <w:r w:rsidR="003468F5" w:rsidRPr="009E6200">
                          <w:rPr>
                            <w:bCs/>
                          </w:rPr>
                          <w:t xml:space="preserve"> </w:t>
                        </w:r>
                        <w:r w:rsidR="004174B6" w:rsidRPr="009E6200">
                          <w:rPr>
                            <w:bCs/>
                          </w:rPr>
                          <w:t xml:space="preserve">В периоде последующего наблюдения и терапии продолжаются (в заслепленном режиме) введения бевацизумаба каждые 3 недели (с окном ±4 дня). </w:t>
                        </w:r>
                        <w:r w:rsidR="003468F5" w:rsidRPr="009E6200">
                          <w:rPr>
                            <w:bCs/>
                          </w:rPr>
                          <w:t>После получения результатов окончательного анализа эффективности по результатам основной части исследования, в случае доказательства эквивалентности исследуемого препарата RPH-001 препарату сравнения Авастин</w:t>
                        </w:r>
                        <w:r w:rsidR="003468F5" w:rsidRPr="009E6200">
                          <w:rPr>
                            <w:bCs/>
                            <w:vertAlign w:val="superscript"/>
                          </w:rPr>
                          <w:t>®</w:t>
                        </w:r>
                        <w:r w:rsidR="003468F5" w:rsidRPr="009E6200">
                          <w:rPr>
                            <w:bCs/>
                          </w:rPr>
                          <w:t xml:space="preserve"> на ближайшем визите пациентам в рамках продленной части исследования будет предложено перейти с лечения препаратом сравнения Авастин</w:t>
                        </w:r>
                        <w:r w:rsidR="003468F5" w:rsidRPr="009E6200">
                          <w:rPr>
                            <w:bCs/>
                            <w:vertAlign w:val="superscript"/>
                          </w:rPr>
                          <w:t>®</w:t>
                        </w:r>
                        <w:r w:rsidR="003468F5" w:rsidRPr="009E6200">
                          <w:rPr>
                            <w:bCs/>
                          </w:rPr>
                          <w:t xml:space="preserve"> на лечение препаратом RPH-001. При отказе пациента от такого перевода пациент </w:t>
                        </w:r>
                        <w:r w:rsidR="00D27313" w:rsidRPr="009E6200">
                          <w:rPr>
                            <w:bCs/>
                          </w:rPr>
                          <w:t>прекращает терапию в рамках исследования</w:t>
                        </w:r>
                        <w:r w:rsidR="003468F5" w:rsidRPr="009E6200">
                          <w:rPr>
                            <w:bCs/>
                          </w:rPr>
                          <w:t>.</w:t>
                        </w:r>
                      </w:p>
                      <w:p w14:paraId="7EADE366" w14:textId="043C0031" w:rsidR="002C39AF" w:rsidRPr="009E6200" w:rsidRDefault="002C39AF" w:rsidP="007B46F5">
                        <w:pPr>
                          <w:jc w:val="both"/>
                          <w:rPr>
                            <w:bCs/>
                          </w:rPr>
                        </w:pPr>
                        <w:r w:rsidRPr="009E6200">
                          <w:rPr>
                            <w:bCs/>
                          </w:rPr>
                          <w:t xml:space="preserve">В случае, если эквивалентность исследуемого препарата препарату сравнения по результатам основной части исследования не будет доказана, пациенты </w:t>
                        </w:r>
                        <w:r w:rsidR="00D27313" w:rsidRPr="009E6200">
                          <w:rPr>
                            <w:bCs/>
                          </w:rPr>
                          <w:t xml:space="preserve">прекращают терапию в рамках </w:t>
                        </w:r>
                        <w:r w:rsidRPr="009E6200">
                          <w:rPr>
                            <w:bCs/>
                          </w:rPr>
                          <w:t xml:space="preserve">исследования. После </w:t>
                        </w:r>
                        <w:r w:rsidR="00D27313" w:rsidRPr="009E6200">
                          <w:rPr>
                            <w:bCs/>
                          </w:rPr>
                          <w:t xml:space="preserve">прекращения терапии </w:t>
                        </w:r>
                        <w:r w:rsidRPr="009E6200">
                          <w:rPr>
                            <w:bCs/>
                          </w:rPr>
                          <w:t xml:space="preserve">для оценки дожития с пациентом будет поддерживаться телефонный контакт </w:t>
                        </w:r>
                        <w:r w:rsidR="001470CF" w:rsidRPr="001470CF">
                          <w:rPr>
                            <w:rFonts w:eastAsia="Times New Roman" w:cs="Times New Roman"/>
                            <w:bCs/>
                          </w:rPr>
                          <w:t>каждые 2 месяца (±14 дней) до 12 месяцев от момента рандомизации.</w:t>
                        </w:r>
                        <w:r w:rsidRPr="009E6200">
                          <w:rPr>
                            <w:bCs/>
                          </w:rPr>
                          <w:t>.</w:t>
                        </w:r>
                      </w:p>
                      <w:p w14:paraId="3F881D26" w14:textId="4297697F" w:rsidR="008A78E4" w:rsidRPr="009E6200" w:rsidRDefault="002C39AF" w:rsidP="007B46F5">
                        <w:pPr>
                          <w:jc w:val="both"/>
                          <w:rPr>
                            <w:bCs/>
                          </w:rPr>
                        </w:pPr>
                        <w:r w:rsidRPr="009E6200">
                          <w:rPr>
                            <w:bCs/>
                          </w:rPr>
                          <w:t xml:space="preserve">Все обследования и сопутствующая терапия после завершения участия пациента в исследовании будут осуществляться по обеспечению через систему здравоохранения (в рамках рутинной клинической практики). </w:t>
                        </w:r>
                      </w:p>
                      <w:p w14:paraId="73119B85" w14:textId="066DE810" w:rsidR="008A78E4" w:rsidRPr="009E6200" w:rsidRDefault="008A78E4" w:rsidP="007B46F5">
                        <w:pPr>
                          <w:jc w:val="both"/>
                          <w:rPr>
                            <w:b/>
                          </w:rPr>
                        </w:pPr>
                      </w:p>
                      <w:p w14:paraId="416C63D6" w14:textId="45B6F465" w:rsidR="00C24138" w:rsidRPr="009E6200" w:rsidRDefault="00C24138" w:rsidP="007B46F5">
                        <w:pPr>
                          <w:jc w:val="both"/>
                          <w:rPr>
                            <w:b/>
                          </w:rPr>
                        </w:pPr>
                        <w:r w:rsidRPr="009E6200">
                          <w:rPr>
                            <w:b/>
                          </w:rPr>
                          <w:t>Визиты последующего наблюдения и терапии</w:t>
                        </w:r>
                        <w:r w:rsidR="00F40EA4" w:rsidRPr="009E6200">
                          <w:rPr>
                            <w:b/>
                          </w:rPr>
                          <w:t xml:space="preserve"> (</w:t>
                        </w:r>
                        <w:r w:rsidR="004174B6" w:rsidRPr="009E6200">
                          <w:rPr>
                            <w:b/>
                          </w:rPr>
                          <w:t>начиная с цикла 19, неделя 55, день 379±4</w:t>
                        </w:r>
                        <w:r w:rsidR="00061A17" w:rsidRPr="009E6200">
                          <w:rPr>
                            <w:b/>
                          </w:rPr>
                          <w:t>, каждые 3 недели ±4 дня</w:t>
                        </w:r>
                        <w:r w:rsidR="004174B6" w:rsidRPr="009E6200">
                          <w:rPr>
                            <w:b/>
                          </w:rPr>
                          <w:t>)</w:t>
                        </w:r>
                        <w:r w:rsidRPr="009E6200">
                          <w:rPr>
                            <w:b/>
                          </w:rPr>
                          <w:t>:</w:t>
                        </w:r>
                      </w:p>
                      <w:p w14:paraId="7415E6D7" w14:textId="77777777" w:rsidR="004174B6" w:rsidRPr="009E6200" w:rsidRDefault="004174B6" w:rsidP="007B46F5">
                        <w:pPr>
                          <w:jc w:val="both"/>
                          <w:rPr>
                            <w:bCs/>
                          </w:rPr>
                        </w:pPr>
                        <w:r w:rsidRPr="009E6200">
                          <w:rPr>
                            <w:bCs/>
                          </w:rPr>
                          <w:t xml:space="preserve">Перед введением бевацизумаба выполняются следующие процедуры: </w:t>
                        </w:r>
                      </w:p>
                      <w:p w14:paraId="0745B96D" w14:textId="77777777" w:rsidR="004174B6" w:rsidRPr="009E6200" w:rsidRDefault="004174B6" w:rsidP="007B46F5">
                        <w:pPr>
                          <w:numPr>
                            <w:ilvl w:val="0"/>
                            <w:numId w:val="11"/>
                          </w:numPr>
                          <w:jc w:val="both"/>
                        </w:pPr>
                        <w:r w:rsidRPr="009E6200">
                          <w:t>Сбор жалоб;</w:t>
                        </w:r>
                      </w:p>
                      <w:p w14:paraId="18E72CB1" w14:textId="77777777" w:rsidR="004174B6" w:rsidRPr="009E6200" w:rsidRDefault="004174B6" w:rsidP="007B46F5">
                        <w:pPr>
                          <w:numPr>
                            <w:ilvl w:val="0"/>
                            <w:numId w:val="11"/>
                          </w:numPr>
                          <w:jc w:val="both"/>
                        </w:pPr>
                        <w:r w:rsidRPr="009E6200">
                          <w:t>Измерение массы тела;</w:t>
                        </w:r>
                      </w:p>
                      <w:p w14:paraId="77AA4E93" w14:textId="77777777" w:rsidR="004174B6" w:rsidRPr="009E6200" w:rsidRDefault="004174B6" w:rsidP="007B46F5">
                        <w:pPr>
                          <w:numPr>
                            <w:ilvl w:val="0"/>
                            <w:numId w:val="11"/>
                          </w:numPr>
                          <w:jc w:val="both"/>
                        </w:pPr>
                        <w:r w:rsidRPr="009E6200">
                          <w:t>Регистрация сопутствующей терапии;</w:t>
                        </w:r>
                      </w:p>
                      <w:p w14:paraId="5B955A28" w14:textId="77777777" w:rsidR="004174B6" w:rsidRPr="009E6200" w:rsidRDefault="004174B6" w:rsidP="007B46F5">
                        <w:pPr>
                          <w:numPr>
                            <w:ilvl w:val="0"/>
                            <w:numId w:val="11"/>
                          </w:numPr>
                          <w:jc w:val="both"/>
                        </w:pPr>
                        <w:r w:rsidRPr="009E6200">
                          <w:t>Физикальный осмотр;</w:t>
                        </w:r>
                      </w:p>
                      <w:p w14:paraId="0BB09B02" w14:textId="77777777" w:rsidR="004174B6" w:rsidRPr="009E6200" w:rsidRDefault="004174B6" w:rsidP="007B46F5">
                        <w:pPr>
                          <w:numPr>
                            <w:ilvl w:val="0"/>
                            <w:numId w:val="11"/>
                          </w:numPr>
                          <w:jc w:val="both"/>
                        </w:pPr>
                        <w:r w:rsidRPr="009E6200">
                          <w:t>Оценка жизненно важных показателей (АД, ЧСС, ЧДД, температура тела);</w:t>
                        </w:r>
                      </w:p>
                      <w:p w14:paraId="1137537A" w14:textId="77777777" w:rsidR="004174B6" w:rsidRPr="009E6200" w:rsidRDefault="004174B6" w:rsidP="007B46F5">
                        <w:pPr>
                          <w:numPr>
                            <w:ilvl w:val="0"/>
                            <w:numId w:val="11"/>
                          </w:numPr>
                          <w:jc w:val="both"/>
                        </w:pPr>
                        <w:r w:rsidRPr="009E6200">
                          <w:t xml:space="preserve">Оценка функционального статуса по </w:t>
                        </w:r>
                        <w:r w:rsidRPr="009E6200">
                          <w:rPr>
                            <w:lang w:val="en-US"/>
                          </w:rPr>
                          <w:t>ECOG</w:t>
                        </w:r>
                        <w:r w:rsidRPr="009E6200">
                          <w:t>;</w:t>
                        </w:r>
                      </w:p>
                      <w:p w14:paraId="50632C7C" w14:textId="77777777" w:rsidR="001470CF" w:rsidRPr="001470CF" w:rsidRDefault="001470CF" w:rsidP="007B46F5">
                        <w:pPr>
                          <w:numPr>
                            <w:ilvl w:val="0"/>
                            <w:numId w:val="11"/>
                          </w:numPr>
                          <w:jc w:val="both"/>
                          <w:rPr>
                            <w:rFonts w:eastAsia="Times New Roman" w:cs="Times New Roman"/>
                          </w:rPr>
                        </w:pPr>
                        <w:r w:rsidRPr="001470CF">
                          <w:rPr>
                            <w:rFonts w:eastAsia="Times New Roman" w:cs="Times New Roman"/>
                          </w:rPr>
                          <w:t>Разослепление врача-исследователя и пациента в случае подтверждения эквивалентности препарата RPH-001 препарату Авастин</w:t>
                        </w:r>
                        <w:r w:rsidRPr="001470CF">
                          <w:rPr>
                            <w:rFonts w:eastAsia="Times New Roman" w:cs="Times New Roman"/>
                            <w:vertAlign w:val="superscript"/>
                          </w:rPr>
                          <w:t>®</w:t>
                        </w:r>
                        <w:r w:rsidRPr="001470CF">
                          <w:rPr>
                            <w:rFonts w:eastAsia="Times New Roman" w:cs="Times New Roman"/>
                          </w:rPr>
                          <w:t xml:space="preserve"> по результатам основной части исследования. После такого подтверждения предложение пациентам, получавшим Авастин</w:t>
                        </w:r>
                        <w:r w:rsidRPr="001470CF">
                          <w:rPr>
                            <w:rFonts w:eastAsia="Times New Roman" w:cs="Times New Roman"/>
                            <w:vertAlign w:val="superscript"/>
                          </w:rPr>
                          <w:t>®</w:t>
                        </w:r>
                        <w:r w:rsidRPr="001470CF">
                          <w:rPr>
                            <w:rFonts w:eastAsia="Times New Roman" w:cs="Times New Roman"/>
                          </w:rPr>
                          <w:t>, продолжить лечение препаратом RPH-001;</w:t>
                        </w:r>
                      </w:p>
                      <w:p w14:paraId="5934B478" w14:textId="77777777" w:rsidR="004174B6" w:rsidRPr="009E6200" w:rsidRDefault="004174B6" w:rsidP="007B46F5">
                        <w:pPr>
                          <w:numPr>
                            <w:ilvl w:val="0"/>
                            <w:numId w:val="11"/>
                          </w:numPr>
                          <w:jc w:val="both"/>
                        </w:pPr>
                        <w:r w:rsidRPr="009E6200">
                          <w:t>Оценка НЯ/СНЯ;</w:t>
                        </w:r>
                      </w:p>
                      <w:p w14:paraId="55FC432C" w14:textId="77777777" w:rsidR="004174B6" w:rsidRPr="009E6200" w:rsidRDefault="004174B6" w:rsidP="007B46F5">
                        <w:pPr>
                          <w:numPr>
                            <w:ilvl w:val="0"/>
                            <w:numId w:val="11"/>
                          </w:numPr>
                          <w:jc w:val="both"/>
                        </w:pPr>
                        <w:r w:rsidRPr="009E6200">
                          <w:t>Оценка критериев исключения.</w:t>
                        </w:r>
                      </w:p>
                      <w:p w14:paraId="49A9D82F" w14:textId="77777777" w:rsidR="004174B6" w:rsidRPr="009E6200" w:rsidRDefault="004174B6" w:rsidP="007B46F5">
                        <w:pPr>
                          <w:pStyle w:val="SDText"/>
                          <w:jc w:val="both"/>
                          <w:rPr>
                            <w:bCs/>
                          </w:rPr>
                        </w:pPr>
                      </w:p>
                      <w:p w14:paraId="3C751070" w14:textId="79A5CA00" w:rsidR="00C24138" w:rsidRPr="009E6200" w:rsidRDefault="004174B6" w:rsidP="007B46F5">
                        <w:pPr>
                          <w:jc w:val="both"/>
                          <w:rPr>
                            <w:b/>
                          </w:rPr>
                        </w:pPr>
                        <w:r w:rsidRPr="009E6200">
                          <w:rPr>
                            <w:bCs/>
                          </w:rPr>
                          <w:t>Обследование пациента в рамках периода продленного наблюдения и терапии дополнительно к указанному выше обследованию будет производиться в соответствии со стандартами рутинной практики в исследовательском центре.</w:t>
                        </w:r>
                      </w:p>
                      <w:p w14:paraId="0719A3A0" w14:textId="77777777" w:rsidR="00C24138" w:rsidRPr="009E6200" w:rsidRDefault="00C24138" w:rsidP="007B46F5">
                        <w:pPr>
                          <w:jc w:val="both"/>
                          <w:rPr>
                            <w:b/>
                          </w:rPr>
                        </w:pPr>
                      </w:p>
                      <w:p w14:paraId="49F0865B" w14:textId="6857203C" w:rsidR="00211909" w:rsidRPr="009E6200" w:rsidRDefault="00211909" w:rsidP="007B46F5">
                        <w:pPr>
                          <w:jc w:val="both"/>
                          <w:rPr>
                            <w:b/>
                          </w:rPr>
                        </w:pPr>
                        <w:r w:rsidRPr="009E6200">
                          <w:rPr>
                            <w:b/>
                          </w:rPr>
                          <w:t>Контакт оценки дожития</w:t>
                        </w:r>
                      </w:p>
                      <w:p w14:paraId="2B5F2461" w14:textId="5040C9FE" w:rsidR="00211909" w:rsidRPr="009E6200" w:rsidRDefault="00211909" w:rsidP="007B46F5">
                        <w:pPr>
                          <w:jc w:val="both"/>
                          <w:rPr>
                            <w:bCs/>
                          </w:rPr>
                        </w:pPr>
                        <w:r w:rsidRPr="009E6200">
                          <w:rPr>
                            <w:bCs/>
                          </w:rPr>
                          <w:t xml:space="preserve">В случае досрочного выбытия пациента из исследования с пациентом будет поддерживаться телефонный контакт </w:t>
                        </w:r>
                        <w:r w:rsidR="005571CA" w:rsidRPr="009E6200">
                          <w:rPr>
                            <w:bCs/>
                          </w:rPr>
                          <w:t>каждые 2 месяца (</w:t>
                        </w:r>
                        <w:r w:rsidR="005571CA" w:rsidRPr="009E6200">
                          <w:rPr>
                            <w:rFonts w:cs="Times New Roman"/>
                            <w:bCs/>
                          </w:rPr>
                          <w:t>±</w:t>
                        </w:r>
                        <w:r w:rsidR="005571CA" w:rsidRPr="009E6200">
                          <w:rPr>
                            <w:bCs/>
                          </w:rPr>
                          <w:t xml:space="preserve">14 дней) </w:t>
                        </w:r>
                        <w:r w:rsidR="001020A4" w:rsidRPr="009E6200">
                          <w:rPr>
                            <w:bCs/>
                          </w:rPr>
                          <w:t>до 12 месяцев от момента рандомизации</w:t>
                        </w:r>
                        <w:r w:rsidRPr="009E6200">
                          <w:rPr>
                            <w:bCs/>
                          </w:rPr>
                          <w:t>.</w:t>
                        </w:r>
                      </w:p>
                      <w:p w14:paraId="119DAB53" w14:textId="77777777" w:rsidR="00887681" w:rsidRDefault="00887681" w:rsidP="007B46F5">
                        <w:pPr>
                          <w:jc w:val="both"/>
                          <w:rPr>
                            <w:b/>
                          </w:rPr>
                        </w:pPr>
                      </w:p>
                      <w:p w14:paraId="7C037679" w14:textId="48EB9AC7" w:rsidR="00211909" w:rsidRPr="009E6200" w:rsidRDefault="00211909" w:rsidP="007B46F5">
                        <w:pPr>
                          <w:jc w:val="both"/>
                          <w:rPr>
                            <w:b/>
                          </w:rPr>
                        </w:pPr>
                        <w:r w:rsidRPr="009E6200">
                          <w:rPr>
                            <w:b/>
                          </w:rPr>
                          <w:t>Внеплановый визит</w:t>
                        </w:r>
                      </w:p>
                      <w:p w14:paraId="2BE50CF9" w14:textId="77777777" w:rsidR="00211909" w:rsidRPr="009E6200" w:rsidRDefault="00211909" w:rsidP="007B46F5">
                        <w:pPr>
                          <w:jc w:val="both"/>
                        </w:pPr>
                        <w:r w:rsidRPr="009E6200">
                          <w:t>На внеплановых визитах в обязательном порядке выполняются следующие процедуры:</w:t>
                        </w:r>
                      </w:p>
                      <w:p w14:paraId="0D2F809B" w14:textId="77777777" w:rsidR="00211909" w:rsidRPr="009E6200" w:rsidRDefault="00211909" w:rsidP="007B46F5">
                        <w:pPr>
                          <w:numPr>
                            <w:ilvl w:val="0"/>
                            <w:numId w:val="11"/>
                          </w:numPr>
                          <w:jc w:val="both"/>
                        </w:pPr>
                        <w:r w:rsidRPr="009E6200">
                          <w:t>Сбор жалоб;</w:t>
                        </w:r>
                      </w:p>
                      <w:p w14:paraId="72656D1B" w14:textId="77777777" w:rsidR="00211909" w:rsidRPr="009E6200" w:rsidRDefault="00211909" w:rsidP="007B46F5">
                        <w:pPr>
                          <w:numPr>
                            <w:ilvl w:val="0"/>
                            <w:numId w:val="11"/>
                          </w:numPr>
                          <w:jc w:val="both"/>
                        </w:pPr>
                        <w:r w:rsidRPr="009E6200">
                          <w:t>Регистрация сопутствующей терапии;</w:t>
                        </w:r>
                      </w:p>
                      <w:p w14:paraId="3817AADB" w14:textId="77777777" w:rsidR="00211909" w:rsidRPr="009E6200" w:rsidRDefault="00211909" w:rsidP="007B46F5">
                        <w:pPr>
                          <w:numPr>
                            <w:ilvl w:val="0"/>
                            <w:numId w:val="11"/>
                          </w:numPr>
                          <w:jc w:val="both"/>
                        </w:pPr>
                        <w:r w:rsidRPr="009E6200">
                          <w:t>Физикальный осмотр;</w:t>
                        </w:r>
                      </w:p>
                      <w:p w14:paraId="7F026BBF" w14:textId="77777777" w:rsidR="00211909" w:rsidRPr="009E6200" w:rsidRDefault="00211909" w:rsidP="007B46F5">
                        <w:pPr>
                          <w:numPr>
                            <w:ilvl w:val="0"/>
                            <w:numId w:val="11"/>
                          </w:numPr>
                          <w:jc w:val="both"/>
                        </w:pPr>
                        <w:r w:rsidRPr="009E6200">
                          <w:t>Оценка жизненно важных показателей (АД, ЧСС, ЧДД, температура тела);</w:t>
                        </w:r>
                      </w:p>
                      <w:p w14:paraId="1AEC7693" w14:textId="77777777" w:rsidR="00211909" w:rsidRPr="009E6200" w:rsidRDefault="00211909" w:rsidP="007B46F5">
                        <w:pPr>
                          <w:numPr>
                            <w:ilvl w:val="0"/>
                            <w:numId w:val="11"/>
                          </w:numPr>
                          <w:jc w:val="both"/>
                        </w:pPr>
                        <w:r w:rsidRPr="009E6200">
                          <w:t>Оценка НЯ/СНЯ;</w:t>
                        </w:r>
                      </w:p>
                      <w:p w14:paraId="7C8DA65D" w14:textId="77777777" w:rsidR="00211909" w:rsidRPr="009E6200" w:rsidRDefault="00211909" w:rsidP="007B46F5">
                        <w:pPr>
                          <w:numPr>
                            <w:ilvl w:val="0"/>
                            <w:numId w:val="11"/>
                          </w:numPr>
                          <w:jc w:val="both"/>
                        </w:pPr>
                        <w:r w:rsidRPr="009E6200">
                          <w:t>Оценка критериев исключения.</w:t>
                        </w:r>
                      </w:p>
                      <w:p w14:paraId="61342A21" w14:textId="77777777" w:rsidR="00211909" w:rsidRPr="009E6200" w:rsidRDefault="00211909" w:rsidP="007B46F5">
                        <w:pPr>
                          <w:jc w:val="both"/>
                        </w:pPr>
                        <w:r w:rsidRPr="009E6200">
                          <w:t>По назначению исследователя при необходимости могут быть выполнены любые предусмотренные протоколом исследования дополнительные процедуры или процедуры согласно рутинной практике учреждения.</w:t>
                        </w:r>
                      </w:p>
                      <w:p w14:paraId="4692F708" w14:textId="60170828" w:rsidR="00394E09" w:rsidRPr="009E6200" w:rsidRDefault="00211909" w:rsidP="007B46F5">
                        <w:pPr>
                          <w:jc w:val="both"/>
                          <w:rPr>
                            <w:b/>
                          </w:rPr>
                        </w:pPr>
                        <w:r w:rsidRPr="009E6200">
                          <w:rPr>
                            <w:b/>
                          </w:rPr>
                          <w:t>Визит преждевременного завершения участия в исследовании</w:t>
                        </w:r>
                        <w:r w:rsidR="00394E09">
                          <w:rPr>
                            <w:b/>
                          </w:rPr>
                          <w:t xml:space="preserve"> (Не более 21 дня от момента принятия решения о завершении пациентом исследования)</w:t>
                        </w:r>
                      </w:p>
                      <w:p w14:paraId="4382243C" w14:textId="77777777" w:rsidR="00211909" w:rsidRPr="009E6200" w:rsidRDefault="00211909" w:rsidP="007B46F5">
                        <w:pPr>
                          <w:numPr>
                            <w:ilvl w:val="0"/>
                            <w:numId w:val="11"/>
                          </w:numPr>
                          <w:jc w:val="both"/>
                        </w:pPr>
                        <w:r w:rsidRPr="009E6200">
                          <w:t>Сбор жалоб;</w:t>
                        </w:r>
                      </w:p>
                      <w:p w14:paraId="72B4E796" w14:textId="77777777" w:rsidR="00211909" w:rsidRPr="009E6200" w:rsidRDefault="00211909" w:rsidP="007B46F5">
                        <w:pPr>
                          <w:numPr>
                            <w:ilvl w:val="0"/>
                            <w:numId w:val="11"/>
                          </w:numPr>
                          <w:jc w:val="both"/>
                        </w:pPr>
                        <w:r w:rsidRPr="009E6200">
                          <w:t>Регистрация сопутствующей терапии;</w:t>
                        </w:r>
                      </w:p>
                      <w:p w14:paraId="212564DF" w14:textId="77777777" w:rsidR="00211909" w:rsidRPr="009E6200" w:rsidRDefault="00211909" w:rsidP="007B46F5">
                        <w:pPr>
                          <w:numPr>
                            <w:ilvl w:val="0"/>
                            <w:numId w:val="11"/>
                          </w:numPr>
                          <w:jc w:val="both"/>
                        </w:pPr>
                        <w:r w:rsidRPr="009E6200">
                          <w:t>Физикальный осмотр;</w:t>
                        </w:r>
                      </w:p>
                      <w:p w14:paraId="329B90C2" w14:textId="77777777" w:rsidR="00211909" w:rsidRPr="009E6200" w:rsidRDefault="00211909" w:rsidP="007B46F5">
                        <w:pPr>
                          <w:numPr>
                            <w:ilvl w:val="0"/>
                            <w:numId w:val="11"/>
                          </w:numPr>
                          <w:jc w:val="both"/>
                        </w:pPr>
                        <w:r w:rsidRPr="009E6200">
                          <w:t xml:space="preserve">Оценка статуса по </w:t>
                        </w:r>
                        <w:r w:rsidRPr="009E6200">
                          <w:rPr>
                            <w:lang w:val="en-US"/>
                          </w:rPr>
                          <w:t>ECOG;</w:t>
                        </w:r>
                      </w:p>
                      <w:p w14:paraId="150D42D6" w14:textId="77777777" w:rsidR="00211909" w:rsidRPr="009E6200" w:rsidRDefault="00211909" w:rsidP="007B46F5">
                        <w:pPr>
                          <w:numPr>
                            <w:ilvl w:val="0"/>
                            <w:numId w:val="11"/>
                          </w:numPr>
                          <w:jc w:val="both"/>
                        </w:pPr>
                        <w:r w:rsidRPr="009E6200">
                          <w:t>Измерение массы тела;</w:t>
                        </w:r>
                      </w:p>
                      <w:p w14:paraId="38C9D5D9" w14:textId="77777777" w:rsidR="00211909" w:rsidRPr="009E6200" w:rsidRDefault="00211909" w:rsidP="007B46F5">
                        <w:pPr>
                          <w:numPr>
                            <w:ilvl w:val="0"/>
                            <w:numId w:val="11"/>
                          </w:numPr>
                          <w:jc w:val="both"/>
                        </w:pPr>
                        <w:r w:rsidRPr="009E6200">
                          <w:t>Оценка жизненно важных показателей (АД, ЧСС, ЧДД, температура тела);</w:t>
                        </w:r>
                      </w:p>
                      <w:p w14:paraId="321DB1F6" w14:textId="77777777" w:rsidR="00211909" w:rsidRPr="009E6200" w:rsidRDefault="00211909" w:rsidP="007B46F5">
                        <w:pPr>
                          <w:numPr>
                            <w:ilvl w:val="0"/>
                            <w:numId w:val="11"/>
                          </w:numPr>
                          <w:jc w:val="both"/>
                        </w:pPr>
                        <w:r w:rsidRPr="009E6200">
                          <w:t>Клинический анализ крови;</w:t>
                        </w:r>
                      </w:p>
                      <w:p w14:paraId="3840F2D3" w14:textId="77777777" w:rsidR="00211909" w:rsidRPr="009E6200" w:rsidRDefault="00211909" w:rsidP="007B46F5">
                        <w:pPr>
                          <w:numPr>
                            <w:ilvl w:val="0"/>
                            <w:numId w:val="11"/>
                          </w:numPr>
                          <w:jc w:val="both"/>
                        </w:pPr>
                        <w:r w:rsidRPr="009E6200">
                          <w:t>Биохимический анализ крови (АЛТ, АСТ, билирубин, ЩФ, общий белок, альбумин, глюкоза, мочевина креатинин);</w:t>
                        </w:r>
                      </w:p>
                      <w:p w14:paraId="2EB054EE" w14:textId="77777777" w:rsidR="00211909" w:rsidRPr="009E6200" w:rsidRDefault="00211909" w:rsidP="007B46F5">
                        <w:pPr>
                          <w:numPr>
                            <w:ilvl w:val="0"/>
                            <w:numId w:val="11"/>
                          </w:numPr>
                          <w:jc w:val="both"/>
                        </w:pPr>
                        <w:r w:rsidRPr="009E6200">
                          <w:t>Общий анализ мочи;</w:t>
                        </w:r>
                      </w:p>
                      <w:p w14:paraId="3DB704DB" w14:textId="77777777" w:rsidR="00211909" w:rsidRPr="009E6200" w:rsidRDefault="00211909" w:rsidP="007B46F5">
                        <w:pPr>
                          <w:numPr>
                            <w:ilvl w:val="0"/>
                            <w:numId w:val="11"/>
                          </w:numPr>
                          <w:jc w:val="both"/>
                        </w:pPr>
                        <w:r w:rsidRPr="009E6200">
                          <w:t>ЭКГ;</w:t>
                        </w:r>
                      </w:p>
                      <w:p w14:paraId="31420998" w14:textId="77777777" w:rsidR="00211909" w:rsidRPr="009E6200" w:rsidRDefault="00211909" w:rsidP="007B46F5">
                        <w:pPr>
                          <w:numPr>
                            <w:ilvl w:val="0"/>
                            <w:numId w:val="11"/>
                          </w:numPr>
                          <w:jc w:val="both"/>
                        </w:pPr>
                        <w:r w:rsidRPr="009E6200">
                          <w:t>Оценка НЯ и СНЯ;</w:t>
                        </w:r>
                      </w:p>
                      <w:p w14:paraId="4D76E35C" w14:textId="6091EE36" w:rsidR="00211909" w:rsidRPr="009E6200" w:rsidRDefault="00211909" w:rsidP="007B46F5">
                        <w:pPr>
                          <w:numPr>
                            <w:ilvl w:val="0"/>
                            <w:numId w:val="11"/>
                          </w:numPr>
                          <w:jc w:val="both"/>
                        </w:pPr>
                        <w:r w:rsidRPr="009E6200">
                          <w:t>Оценка критериев исключения</w:t>
                        </w:r>
                        <w:r w:rsidR="008A78E4" w:rsidRPr="009E6200">
                          <w:t>.</w:t>
                        </w:r>
                      </w:p>
                      <w:p w14:paraId="5DC53A59" w14:textId="518BEBDE" w:rsidR="007F47FD" w:rsidRPr="009E6200" w:rsidRDefault="00211909" w:rsidP="007B46F5">
                        <w:pPr>
                          <w:pStyle w:val="SDText"/>
                          <w:jc w:val="both"/>
                          <w:rPr>
                            <w:bCs/>
                          </w:rPr>
                        </w:pPr>
                        <w:r w:rsidRPr="009E6200">
                          <w:t>На визите преждевременного завершения участия в исследовании могут выполняться также другие процедуры исследования по клиническим показаниям (по решению врача-исследователя), в т.ч. визуализационные методики.</w:t>
                        </w:r>
                      </w:p>
                    </w:tc>
                  </w:sdtContent>
                </w:sdt>
              </w:sdtContent>
            </w:sdt>
          </w:sdtContent>
        </w:sdt>
        <w:bookmarkEnd w:id="20" w:displacedByCustomXml="prev"/>
      </w:tr>
      <w:tr w:rsidR="00F46B68" w:rsidRPr="009E6200" w14:paraId="418921A8" w14:textId="77777777" w:rsidTr="007B46F5">
        <w:trPr>
          <w:trHeight w:val="317"/>
        </w:trPr>
        <w:tc>
          <w:tcPr>
            <w:tcW w:w="1170" w:type="pct"/>
            <w:vMerge w:val="restart"/>
            <w:tcBorders>
              <w:top w:val="single" w:sz="4" w:space="0" w:color="00000A"/>
              <w:left w:val="single" w:sz="4" w:space="0" w:color="00000A"/>
              <w:right w:val="single" w:sz="4" w:space="0" w:color="00000A"/>
            </w:tcBorders>
            <w:shd w:val="clear" w:color="auto" w:fill="auto"/>
            <w:tcMar>
              <w:top w:w="0" w:type="dxa"/>
              <w:left w:w="57" w:type="dxa"/>
              <w:bottom w:w="0" w:type="dxa"/>
              <w:right w:w="57" w:type="dxa"/>
            </w:tcMar>
          </w:tcPr>
          <w:p w14:paraId="5B6B80BD" w14:textId="77777777" w:rsidR="007F47FD" w:rsidRPr="009E6200" w:rsidRDefault="007F47FD" w:rsidP="007B46F5">
            <w:pPr>
              <w:pStyle w:val="SDText"/>
              <w:jc w:val="both"/>
              <w:rPr>
                <w:b/>
                <w:lang w:eastAsia="ru-RU"/>
              </w:rPr>
            </w:pPr>
            <w:r w:rsidRPr="009E6200">
              <w:rPr>
                <w:b/>
                <w:lang w:eastAsia="ru-RU"/>
              </w:rPr>
              <w:t xml:space="preserve">Основные параметры оценки эффективности и безопасности </w:t>
            </w:r>
          </w:p>
        </w:tc>
        <w:tc>
          <w:tcPr>
            <w:tcW w:w="3830" w:type="pct"/>
            <w:vMerge w:val="restart"/>
            <w:tcBorders>
              <w:top w:val="single" w:sz="4" w:space="0" w:color="00000A"/>
              <w:left w:val="single" w:sz="4" w:space="0" w:color="00000A"/>
              <w:right w:val="single" w:sz="4" w:space="0" w:color="00000A"/>
            </w:tcBorders>
            <w:shd w:val="clear" w:color="auto" w:fill="auto"/>
            <w:tcMar>
              <w:top w:w="0" w:type="dxa"/>
              <w:left w:w="57" w:type="dxa"/>
              <w:bottom w:w="0" w:type="dxa"/>
              <w:right w:w="57" w:type="dxa"/>
            </w:tcMar>
          </w:tcPr>
          <w:p w14:paraId="4636ABE6" w14:textId="77777777" w:rsidR="002759EE" w:rsidRPr="009E6200" w:rsidRDefault="002759EE" w:rsidP="007B46F5">
            <w:pPr>
              <w:jc w:val="both"/>
              <w:rPr>
                <w:b/>
                <w:i/>
                <w:lang w:eastAsia="ru-RU" w:bidi="ru-RU"/>
              </w:rPr>
            </w:pPr>
            <w:r w:rsidRPr="009E6200">
              <w:rPr>
                <w:b/>
                <w:i/>
                <w:lang w:eastAsia="ru-RU" w:bidi="ru-RU"/>
              </w:rPr>
              <w:t>Основные параметры эффективности:</w:t>
            </w:r>
          </w:p>
          <w:bookmarkStart w:id="21" w:name="OLE_LINK_Parametru_effectivnosti" w:displacedByCustomXml="next"/>
          <w:sdt>
            <w:sdtPr>
              <w:rPr>
                <w:lang w:eastAsia="ru-RU" w:bidi="ru-RU"/>
              </w:rPr>
              <w:alias w:val="Параметры эффективности"/>
              <w:tag w:val="Параметры эффективности"/>
              <w:id w:val="-820422883"/>
              <w:placeholder>
                <w:docPart w:val="8BFE4DD40510475A8B446AB039846235"/>
              </w:placeholder>
            </w:sdtPr>
            <w:sdtEndPr/>
            <w:sdtContent>
              <w:sdt>
                <w:sdtPr>
                  <w:rPr>
                    <w:lang w:eastAsia="ru-RU" w:bidi="ru-RU"/>
                  </w:rPr>
                  <w:alias w:val="Параметры эффективности"/>
                  <w:tag w:val="Параметры эффективности"/>
                  <w:id w:val="1247155407"/>
                  <w:placeholder>
                    <w:docPart w:val="0F600AD9F22C420BB4E0D473FD4F7EA8"/>
                  </w:placeholder>
                </w:sdtPr>
                <w:sdtEndPr/>
                <w:sdtContent>
                  <w:p w14:paraId="3331A58E" w14:textId="77777777" w:rsidR="004E410C" w:rsidRDefault="004E410C" w:rsidP="007B46F5">
                    <w:pPr>
                      <w:jc w:val="both"/>
                      <w:rPr>
                        <w:lang w:eastAsia="ru-RU" w:bidi="ru-RU"/>
                      </w:rPr>
                    </w:pPr>
                  </w:p>
                  <w:p w14:paraId="0D57E840" w14:textId="483BA4E4" w:rsidR="002759EE" w:rsidRDefault="002759EE" w:rsidP="007B46F5">
                    <w:pPr>
                      <w:jc w:val="both"/>
                      <w:rPr>
                        <w:b/>
                        <w:bCs/>
                        <w:lang w:eastAsia="ru-RU" w:bidi="ru-RU"/>
                      </w:rPr>
                    </w:pPr>
                    <w:r w:rsidRPr="009E6200">
                      <w:rPr>
                        <w:b/>
                        <w:bCs/>
                        <w:lang w:eastAsia="ru-RU" w:bidi="ru-RU"/>
                      </w:rPr>
                      <w:t>Первичная конечная точка:</w:t>
                    </w:r>
                  </w:p>
                  <w:p w14:paraId="00759055" w14:textId="77777777" w:rsidR="002759EE" w:rsidRPr="009E6200" w:rsidRDefault="002759EE" w:rsidP="007B46F5">
                    <w:pPr>
                      <w:jc w:val="both"/>
                      <w:rPr>
                        <w:b/>
                        <w:bCs/>
                        <w:lang w:eastAsia="ru-RU" w:bidi="ru-RU"/>
                      </w:rPr>
                    </w:pPr>
                    <w:r w:rsidRPr="009E6200">
                      <w:rPr>
                        <w:lang w:eastAsia="ru-RU" w:bidi="ru-RU"/>
                      </w:rPr>
                      <w:t>Частота объективного ответа (определяемое как достижение полного или частичного ответа по критериям RECIST 1.1) через 6 месяцев, выраженная в виде относительного риска (частота объективного ответа в группе исследуемого препарата, поделенная на частоту объективного ответа в группе препарата сравнения).</w:t>
                    </w:r>
                  </w:p>
                  <w:p w14:paraId="52FC05F0" w14:textId="77777777" w:rsidR="004E410C" w:rsidRDefault="004E410C" w:rsidP="007B46F5">
                    <w:pPr>
                      <w:jc w:val="both"/>
                      <w:rPr>
                        <w:b/>
                        <w:bCs/>
                        <w:lang w:eastAsia="ru-RU" w:bidi="ru-RU"/>
                      </w:rPr>
                    </w:pPr>
                    <w:r>
                      <w:rPr>
                        <w:b/>
                        <w:bCs/>
                        <w:lang w:eastAsia="ru-RU" w:bidi="ru-RU"/>
                      </w:rPr>
                      <w:t xml:space="preserve"> </w:t>
                    </w:r>
                  </w:p>
                  <w:p w14:paraId="392EBF62" w14:textId="72E8406A" w:rsidR="002759EE" w:rsidRPr="009E6200" w:rsidRDefault="003771FB" w:rsidP="007B46F5">
                    <w:pPr>
                      <w:jc w:val="both"/>
                      <w:rPr>
                        <w:b/>
                        <w:bCs/>
                        <w:lang w:eastAsia="ru-RU" w:bidi="ru-RU"/>
                      </w:rPr>
                    </w:pPr>
                    <w:r w:rsidRPr="009E6200">
                      <w:rPr>
                        <w:b/>
                        <w:bCs/>
                        <w:lang w:eastAsia="ru-RU" w:bidi="ru-RU"/>
                      </w:rPr>
                      <w:t>Основные в</w:t>
                    </w:r>
                    <w:r w:rsidR="002759EE" w:rsidRPr="009E6200">
                      <w:rPr>
                        <w:b/>
                        <w:bCs/>
                        <w:lang w:eastAsia="ru-RU" w:bidi="ru-RU"/>
                      </w:rPr>
                      <w:t>торичные конечные точки:</w:t>
                    </w:r>
                  </w:p>
                  <w:p w14:paraId="70DE6E35" w14:textId="1FE50514" w:rsidR="002759EE" w:rsidRPr="009E6200" w:rsidRDefault="002759EE" w:rsidP="007B46F5">
                    <w:pPr>
                      <w:ind w:left="444" w:hanging="444"/>
                      <w:jc w:val="both"/>
                      <w:rPr>
                        <w:lang w:eastAsia="ru-RU" w:bidi="ru-RU"/>
                      </w:rPr>
                    </w:pPr>
                    <w:r w:rsidRPr="009E6200">
                      <w:rPr>
                        <w:lang w:eastAsia="ru-RU" w:bidi="ru-RU"/>
                      </w:rPr>
                      <w:t>1</w:t>
                    </w:r>
                    <w:r w:rsidR="00423134" w:rsidRPr="009E6200">
                      <w:rPr>
                        <w:lang w:eastAsia="ru-RU" w:bidi="ru-RU"/>
                      </w:rPr>
                      <w:t>.</w:t>
                    </w:r>
                    <w:r w:rsidR="00423134" w:rsidRPr="009E6200">
                      <w:rPr>
                        <w:lang w:eastAsia="ru-RU" w:bidi="ru-RU"/>
                      </w:rPr>
                      <w:tab/>
                    </w:r>
                    <w:r w:rsidR="003771FB" w:rsidRPr="009E6200">
                      <w:rPr>
                        <w:lang w:eastAsia="ru-RU" w:bidi="ru-RU"/>
                      </w:rPr>
                      <w:t xml:space="preserve">Частота объективного ответа (определяемое как достижение полного или частичного ответа по критериям </w:t>
                    </w:r>
                    <w:r w:rsidR="003771FB" w:rsidRPr="009E6200">
                      <w:rPr>
                        <w:lang w:val="en-US" w:eastAsia="ru-RU" w:bidi="ru-RU"/>
                      </w:rPr>
                      <w:t>RECIST</w:t>
                    </w:r>
                    <w:r w:rsidR="003771FB" w:rsidRPr="009E6200">
                      <w:rPr>
                        <w:lang w:eastAsia="ru-RU" w:bidi="ru-RU"/>
                      </w:rPr>
                      <w:t xml:space="preserve"> 1.1) через 6</w:t>
                    </w:r>
                    <w:r w:rsidR="0065355A" w:rsidRPr="009E6200">
                      <w:rPr>
                        <w:lang w:eastAsia="ru-RU" w:bidi="ru-RU"/>
                      </w:rPr>
                      <w:t xml:space="preserve"> месяцев</w:t>
                    </w:r>
                    <w:r w:rsidR="004E410C">
                      <w:rPr>
                        <w:rStyle w:val="FootnoteReference"/>
                        <w:lang w:eastAsia="ru-RU" w:bidi="ru-RU"/>
                      </w:rPr>
                      <w:footnoteReference w:id="2"/>
                    </w:r>
                    <w:r w:rsidR="003771FB" w:rsidRPr="009E6200">
                      <w:rPr>
                        <w:lang w:eastAsia="ru-RU" w:bidi="ru-RU"/>
                      </w:rPr>
                      <w:t>;</w:t>
                    </w:r>
                  </w:p>
                  <w:p w14:paraId="2036CEF5" w14:textId="39C042D9" w:rsidR="002759EE" w:rsidRPr="009E6200" w:rsidRDefault="003771FB" w:rsidP="007B46F5">
                    <w:pPr>
                      <w:ind w:left="444" w:hanging="444"/>
                      <w:jc w:val="both"/>
                      <w:rPr>
                        <w:lang w:eastAsia="ru-RU" w:bidi="ru-RU"/>
                      </w:rPr>
                    </w:pPr>
                    <w:r w:rsidRPr="009E6200">
                      <w:rPr>
                        <w:lang w:eastAsia="ru-RU" w:bidi="ru-RU"/>
                      </w:rPr>
                      <w:t>2</w:t>
                    </w:r>
                    <w:r w:rsidR="00423134" w:rsidRPr="009E6200">
                      <w:rPr>
                        <w:lang w:eastAsia="ru-RU" w:bidi="ru-RU"/>
                      </w:rPr>
                      <w:t>.</w:t>
                    </w:r>
                    <w:r w:rsidR="00423134" w:rsidRPr="009E6200">
                      <w:rPr>
                        <w:lang w:eastAsia="ru-RU" w:bidi="ru-RU"/>
                      </w:rPr>
                      <w:tab/>
                    </w:r>
                    <w:r w:rsidR="002759EE" w:rsidRPr="009E6200">
                      <w:rPr>
                        <w:lang w:eastAsia="ru-RU" w:bidi="ru-RU"/>
                      </w:rPr>
                      <w:t xml:space="preserve">Общая выживаемость в течение </w:t>
                    </w:r>
                    <w:r w:rsidR="00852BB3" w:rsidRPr="009E6200">
                      <w:rPr>
                        <w:lang w:eastAsia="ru-RU" w:bidi="ru-RU"/>
                      </w:rPr>
                      <w:t xml:space="preserve">6 </w:t>
                    </w:r>
                    <w:r w:rsidR="002759EE" w:rsidRPr="009E6200">
                      <w:rPr>
                        <w:lang w:eastAsia="ru-RU" w:bidi="ru-RU"/>
                      </w:rPr>
                      <w:t>месяцев от начала лечения в каждой из групп;</w:t>
                    </w:r>
                  </w:p>
                  <w:p w14:paraId="0B147F7A" w14:textId="3AA5CE4A" w:rsidR="003771FB" w:rsidRPr="009E6200" w:rsidRDefault="003771FB" w:rsidP="007B46F5">
                    <w:pPr>
                      <w:ind w:left="444" w:hanging="444"/>
                      <w:jc w:val="both"/>
                      <w:rPr>
                        <w:lang w:eastAsia="ru-RU" w:bidi="ru-RU"/>
                      </w:rPr>
                    </w:pPr>
                    <w:r w:rsidRPr="009E6200">
                      <w:rPr>
                        <w:lang w:eastAsia="ru-RU" w:bidi="ru-RU"/>
                      </w:rPr>
                      <w:t>3</w:t>
                    </w:r>
                    <w:r w:rsidR="00423134" w:rsidRPr="009E6200">
                      <w:rPr>
                        <w:lang w:eastAsia="ru-RU" w:bidi="ru-RU"/>
                      </w:rPr>
                      <w:t>.</w:t>
                    </w:r>
                    <w:r w:rsidR="00423134" w:rsidRPr="009E6200">
                      <w:rPr>
                        <w:lang w:eastAsia="ru-RU" w:bidi="ru-RU"/>
                      </w:rPr>
                      <w:tab/>
                    </w:r>
                    <w:r w:rsidR="002759EE" w:rsidRPr="009E6200">
                      <w:rPr>
                        <w:lang w:eastAsia="ru-RU" w:bidi="ru-RU"/>
                      </w:rPr>
                      <w:t xml:space="preserve">Выживаемость без прогрессирования в течение </w:t>
                    </w:r>
                    <w:r w:rsidR="00852BB3" w:rsidRPr="009E6200">
                      <w:rPr>
                        <w:lang w:eastAsia="ru-RU" w:bidi="ru-RU"/>
                      </w:rPr>
                      <w:t xml:space="preserve">6 </w:t>
                    </w:r>
                    <w:r w:rsidR="002759EE" w:rsidRPr="009E6200">
                      <w:rPr>
                        <w:lang w:eastAsia="ru-RU" w:bidi="ru-RU"/>
                      </w:rPr>
                      <w:t>месяцев от начала лечения в каждой из групп.</w:t>
                    </w:r>
                  </w:p>
                  <w:p w14:paraId="51C8CF6B" w14:textId="77777777" w:rsidR="003771FB" w:rsidRPr="009E6200" w:rsidRDefault="003771FB" w:rsidP="007B46F5">
                    <w:pPr>
                      <w:ind w:left="444" w:hanging="444"/>
                      <w:jc w:val="both"/>
                      <w:rPr>
                        <w:lang w:eastAsia="ru-RU" w:bidi="ru-RU"/>
                      </w:rPr>
                    </w:pPr>
                  </w:p>
                  <w:p w14:paraId="6860A516" w14:textId="02356B8B" w:rsidR="003771FB" w:rsidRPr="009E6200" w:rsidRDefault="003771FB" w:rsidP="007B46F5">
                    <w:pPr>
                      <w:jc w:val="both"/>
                      <w:rPr>
                        <w:b/>
                        <w:bCs/>
                        <w:lang w:eastAsia="ru-RU" w:bidi="ru-RU"/>
                      </w:rPr>
                    </w:pPr>
                    <w:r w:rsidRPr="009E6200">
                      <w:rPr>
                        <w:b/>
                        <w:bCs/>
                        <w:lang w:eastAsia="ru-RU" w:bidi="ru-RU"/>
                      </w:rPr>
                      <w:t>Дополнительные вторичные конечные точки:</w:t>
                    </w:r>
                  </w:p>
                  <w:p w14:paraId="5EAA334D" w14:textId="18BD2D57" w:rsidR="003771FB" w:rsidRPr="009E6200" w:rsidRDefault="003771FB" w:rsidP="007B46F5">
                    <w:pPr>
                      <w:ind w:left="444" w:hanging="444"/>
                      <w:jc w:val="both"/>
                      <w:rPr>
                        <w:lang w:eastAsia="ru-RU" w:bidi="ru-RU"/>
                      </w:rPr>
                    </w:pPr>
                    <w:r w:rsidRPr="009E6200">
                      <w:rPr>
                        <w:lang w:eastAsia="ru-RU" w:bidi="ru-RU"/>
                      </w:rPr>
                      <w:t>1.</w:t>
                    </w:r>
                    <w:r w:rsidRPr="009E6200">
                      <w:rPr>
                        <w:lang w:eastAsia="ru-RU" w:bidi="ru-RU"/>
                      </w:rPr>
                      <w:tab/>
                      <w:t xml:space="preserve">Частота объективного ответа (определяемое как достижение полного или частичного ответа по критериям </w:t>
                    </w:r>
                    <w:r w:rsidRPr="009E6200">
                      <w:rPr>
                        <w:lang w:val="en-US" w:eastAsia="ru-RU" w:bidi="ru-RU"/>
                      </w:rPr>
                      <w:t>RECIST</w:t>
                    </w:r>
                    <w:r w:rsidRPr="009E6200">
                      <w:rPr>
                        <w:lang w:eastAsia="ru-RU" w:bidi="ru-RU"/>
                      </w:rPr>
                      <w:t xml:space="preserve"> 1.1) через 12 месяцев</w:t>
                    </w:r>
                    <w:r w:rsidR="00D27313" w:rsidRPr="009E6200">
                      <w:rPr>
                        <w:lang w:eastAsia="ru-RU" w:bidi="ru-RU"/>
                      </w:rPr>
                      <w:t xml:space="preserve"> от начала лечения</w:t>
                    </w:r>
                    <w:r w:rsidRPr="009E6200">
                      <w:rPr>
                        <w:lang w:eastAsia="ru-RU" w:bidi="ru-RU"/>
                      </w:rPr>
                      <w:t>, выраженная в виде относительного риска (частота объективного ответа в группе исследуемого препарата, поделенная на частоту объективного ответа в группе препарата сравнения);</w:t>
                    </w:r>
                  </w:p>
                  <w:p w14:paraId="427F09E8" w14:textId="4BBC96FF" w:rsidR="003771FB" w:rsidRPr="009E6200" w:rsidRDefault="003771FB" w:rsidP="007B46F5">
                    <w:pPr>
                      <w:ind w:left="444" w:hanging="444"/>
                      <w:jc w:val="both"/>
                      <w:rPr>
                        <w:lang w:eastAsia="ru-RU" w:bidi="ru-RU"/>
                      </w:rPr>
                    </w:pPr>
                    <w:r w:rsidRPr="009E6200">
                      <w:rPr>
                        <w:lang w:eastAsia="ru-RU" w:bidi="ru-RU"/>
                      </w:rPr>
                      <w:t>2.</w:t>
                    </w:r>
                    <w:r w:rsidRPr="009E6200">
                      <w:rPr>
                        <w:lang w:eastAsia="ru-RU" w:bidi="ru-RU"/>
                      </w:rPr>
                      <w:tab/>
                      <w:t xml:space="preserve">Частота объективного ответа (определяемое как достижение полного или частичного ответа по критериям </w:t>
                    </w:r>
                    <w:r w:rsidRPr="009E6200">
                      <w:rPr>
                        <w:lang w:val="en-US" w:eastAsia="ru-RU" w:bidi="ru-RU"/>
                      </w:rPr>
                      <w:t>RECIST</w:t>
                    </w:r>
                    <w:r w:rsidRPr="009E6200">
                      <w:rPr>
                        <w:lang w:eastAsia="ru-RU" w:bidi="ru-RU"/>
                      </w:rPr>
                      <w:t xml:space="preserve"> 1.1) через</w:t>
                    </w:r>
                    <w:r w:rsidR="00852BB3" w:rsidRPr="009E6200">
                      <w:rPr>
                        <w:lang w:eastAsia="ru-RU" w:bidi="ru-RU"/>
                      </w:rPr>
                      <w:t xml:space="preserve"> </w:t>
                    </w:r>
                    <w:r w:rsidRPr="009E6200">
                      <w:rPr>
                        <w:lang w:eastAsia="ru-RU" w:bidi="ru-RU"/>
                      </w:rPr>
                      <w:t>12 месяцев</w:t>
                    </w:r>
                    <w:r w:rsidR="00D27313" w:rsidRPr="009E6200">
                      <w:rPr>
                        <w:lang w:eastAsia="ru-RU" w:bidi="ru-RU"/>
                      </w:rPr>
                      <w:t xml:space="preserve"> от начала лечения</w:t>
                    </w:r>
                    <w:r w:rsidRPr="009E6200">
                      <w:rPr>
                        <w:lang w:eastAsia="ru-RU" w:bidi="ru-RU"/>
                      </w:rPr>
                      <w:t>, выраженная в виде разницы рисков (частота объективного ответа в груп</w:t>
                    </w:r>
                    <w:r w:rsidR="00394E09">
                      <w:rPr>
                        <w:lang w:eastAsia="ru-RU" w:bidi="ru-RU"/>
                      </w:rPr>
                      <w:t>пе исследуемого препарата минус</w:t>
                    </w:r>
                    <w:r w:rsidRPr="009E6200">
                      <w:rPr>
                        <w:lang w:eastAsia="ru-RU" w:bidi="ru-RU"/>
                      </w:rPr>
                      <w:t xml:space="preserve"> частота объективного ответа в группе препарата сравнения);</w:t>
                    </w:r>
                  </w:p>
                  <w:p w14:paraId="1EABE991" w14:textId="77777777" w:rsidR="003771FB" w:rsidRPr="009E6200" w:rsidRDefault="003771FB" w:rsidP="007B46F5">
                    <w:pPr>
                      <w:ind w:left="444" w:hanging="444"/>
                      <w:jc w:val="both"/>
                      <w:rPr>
                        <w:lang w:eastAsia="ru-RU" w:bidi="ru-RU"/>
                      </w:rPr>
                    </w:pPr>
                    <w:r w:rsidRPr="009E6200">
                      <w:rPr>
                        <w:lang w:eastAsia="ru-RU" w:bidi="ru-RU"/>
                      </w:rPr>
                      <w:t>3.</w:t>
                    </w:r>
                    <w:r w:rsidRPr="009E6200">
                      <w:rPr>
                        <w:lang w:eastAsia="ru-RU" w:bidi="ru-RU"/>
                      </w:rPr>
                      <w:tab/>
                      <w:t>Общая выживаемость в течение 12 месяцев от начала лечения в каждой из групп;</w:t>
                    </w:r>
                  </w:p>
                  <w:p w14:paraId="71AE4F76" w14:textId="05A65ED4" w:rsidR="002759EE" w:rsidRPr="009E6200" w:rsidRDefault="003771FB" w:rsidP="007B46F5">
                    <w:pPr>
                      <w:ind w:left="444" w:hanging="444"/>
                      <w:jc w:val="both"/>
                      <w:rPr>
                        <w:lang w:eastAsia="ru-RU" w:bidi="ru-RU"/>
                      </w:rPr>
                    </w:pPr>
                    <w:r w:rsidRPr="009E6200">
                      <w:rPr>
                        <w:lang w:eastAsia="ru-RU" w:bidi="ru-RU"/>
                      </w:rPr>
                      <w:t>4.</w:t>
                    </w:r>
                    <w:r w:rsidRPr="009E6200">
                      <w:rPr>
                        <w:lang w:eastAsia="ru-RU" w:bidi="ru-RU"/>
                      </w:rPr>
                      <w:tab/>
                      <w:t>Выживаемость без прогрессирования в течение 12 месяцев от начала лечения в каждой из групп.</w:t>
                    </w:r>
                  </w:p>
                </w:sdtContent>
              </w:sdt>
            </w:sdtContent>
          </w:sdt>
          <w:bookmarkEnd w:id="21" w:displacedByCustomXml="prev"/>
          <w:p w14:paraId="346ECCA2" w14:textId="77777777" w:rsidR="004E410C" w:rsidRDefault="004E410C" w:rsidP="007B46F5">
            <w:pPr>
              <w:jc w:val="both"/>
              <w:rPr>
                <w:b/>
                <w:i/>
                <w:lang w:eastAsia="ru-RU" w:bidi="ru-RU"/>
              </w:rPr>
            </w:pPr>
          </w:p>
          <w:p w14:paraId="4152989A" w14:textId="77777777" w:rsidR="002406B3" w:rsidRDefault="002406B3" w:rsidP="002406B3">
            <w:pPr>
              <w:jc w:val="both"/>
              <w:rPr>
                <w:b/>
                <w:i/>
                <w:lang w:eastAsia="ru-RU" w:bidi="ru-RU"/>
              </w:rPr>
            </w:pPr>
            <w:r>
              <w:rPr>
                <w:b/>
                <w:i/>
                <w:lang w:eastAsia="ru-RU" w:bidi="ru-RU"/>
              </w:rPr>
              <w:t>Основные параметры безопасности:</w:t>
            </w:r>
          </w:p>
          <w:p w14:paraId="18B5355F" w14:textId="77777777" w:rsidR="002406B3" w:rsidRDefault="002406B3" w:rsidP="002406B3">
            <w:pPr>
              <w:jc w:val="both"/>
              <w:rPr>
                <w:b/>
                <w:i/>
                <w:lang w:eastAsia="ru-RU" w:bidi="ru-RU"/>
              </w:rPr>
            </w:pPr>
          </w:p>
          <w:p w14:paraId="7ACD46CA" w14:textId="77777777" w:rsidR="002406B3" w:rsidRDefault="002406B3" w:rsidP="002406B3">
            <w:pPr>
              <w:ind w:left="14" w:firstLine="4"/>
              <w:jc w:val="both"/>
              <w:rPr>
                <w:i/>
                <w:lang w:eastAsia="ru-RU" w:bidi="ru-RU"/>
              </w:rPr>
            </w:pPr>
            <w:r>
              <w:rPr>
                <w:i/>
                <w:lang w:eastAsia="ru-RU" w:bidi="ru-RU"/>
              </w:rPr>
              <w:t>Точки будут оцениваться отдельно в группах терапии в основной и продленной части исследования:</w:t>
            </w:r>
          </w:p>
          <w:p w14:paraId="3021A5F3" w14:textId="77777777" w:rsidR="002406B3" w:rsidRDefault="002406B3" w:rsidP="002406B3">
            <w:pPr>
              <w:ind w:left="581" w:hanging="567"/>
              <w:jc w:val="both"/>
            </w:pPr>
            <w:r>
              <w:fldChar w:fldCharType="begin"/>
            </w:r>
            <w:r>
              <w:instrText xml:space="preserve"> </w:instrText>
            </w:r>
            <w:r>
              <w:rPr>
                <w:lang w:val="en-US"/>
              </w:rPr>
              <w:instrText>SEQ</w:instrText>
            </w:r>
            <w:r w:rsidRPr="002406B3">
              <w:instrText xml:space="preserve"> </w:instrText>
            </w:r>
            <w:r>
              <w:rPr>
                <w:lang w:val="en-US"/>
              </w:rPr>
              <w:instrText>Parametry</w:instrText>
            </w:r>
            <w:r>
              <w:instrText>_</w:instrText>
            </w:r>
            <w:r>
              <w:rPr>
                <w:lang w:val="en-US"/>
              </w:rPr>
              <w:instrText>bezopasnosti</w:instrText>
            </w:r>
            <w:r>
              <w:instrText xml:space="preserve"> \* </w:instrText>
            </w:r>
            <w:r>
              <w:rPr>
                <w:lang w:val="en-US"/>
              </w:rPr>
              <w:instrText>MERGEFORMAT</w:instrText>
            </w:r>
            <w:r w:rsidRPr="002406B3">
              <w:instrText xml:space="preserve"> </w:instrText>
            </w:r>
            <w:r>
              <w:fldChar w:fldCharType="separate"/>
            </w:r>
            <w:r>
              <w:rPr>
                <w:noProof/>
              </w:rPr>
              <w:t>1</w:t>
            </w:r>
            <w:r>
              <w:fldChar w:fldCharType="end"/>
            </w:r>
            <w:r>
              <w:t>.</w:t>
            </w:r>
            <w:r>
              <w:tab/>
              <w:t>Доля пациентов (%) с развитием НЯ любой степени тяжести;</w:t>
            </w:r>
          </w:p>
          <w:p w14:paraId="15E82AC7" w14:textId="77777777" w:rsidR="002406B3" w:rsidRDefault="002406B3" w:rsidP="002406B3">
            <w:pPr>
              <w:ind w:left="581" w:hanging="567"/>
              <w:jc w:val="both"/>
            </w:pPr>
            <w:r>
              <w:t>2. Доля пациентов (%) с развитием НР любой степени тяжести;</w:t>
            </w:r>
          </w:p>
          <w:p w14:paraId="06BDE36C" w14:textId="77777777" w:rsidR="002406B3" w:rsidRDefault="002406B3" w:rsidP="002406B3">
            <w:pPr>
              <w:ind w:left="581" w:hanging="567"/>
              <w:jc w:val="both"/>
            </w:pPr>
            <w:r>
              <w:t>3. Доля пациентов с развитием СНЯ/СНР;</w:t>
            </w:r>
          </w:p>
          <w:p w14:paraId="3DCA5284" w14:textId="77777777" w:rsidR="002406B3" w:rsidRDefault="002406B3" w:rsidP="002406B3">
            <w:pPr>
              <w:ind w:left="581" w:hanging="567"/>
              <w:jc w:val="both"/>
            </w:pPr>
            <w:r>
              <w:t>4. Доля пациентов (%) с развитием НЯ 3-4 степени тяжести;</w:t>
            </w:r>
          </w:p>
          <w:p w14:paraId="15CC7935" w14:textId="77777777" w:rsidR="002406B3" w:rsidRDefault="002406B3" w:rsidP="002406B3">
            <w:pPr>
              <w:ind w:left="581" w:hanging="567"/>
              <w:jc w:val="both"/>
            </w:pPr>
            <w:r>
              <w:t>5. Доля пациентов (%) с развитием НР 3-4 степени тяжести;</w:t>
            </w:r>
          </w:p>
          <w:p w14:paraId="6052A544" w14:textId="77777777" w:rsidR="002406B3" w:rsidRDefault="002406B3" w:rsidP="002406B3">
            <w:pPr>
              <w:ind w:left="581" w:hanging="567"/>
              <w:jc w:val="both"/>
            </w:pPr>
            <w:r>
              <w:t>6. Доля пациентов, которым потребовалась отмена терапии по причине развития НР/СНР;</w:t>
            </w:r>
          </w:p>
          <w:p w14:paraId="5D9B18B0" w14:textId="77777777" w:rsidR="002406B3" w:rsidRDefault="002406B3" w:rsidP="002406B3">
            <w:pPr>
              <w:ind w:left="581" w:hanging="567"/>
              <w:jc w:val="both"/>
            </w:pPr>
            <w:r>
              <w:t>7. Доля пациентов (%), у которых сформировались связывающие (САТ) и нейтрализующие (НАТ) антитела к бевацизумабу.</w:t>
            </w:r>
          </w:p>
          <w:p w14:paraId="220F02DD" w14:textId="77777777" w:rsidR="002406B3" w:rsidRDefault="002406B3" w:rsidP="002406B3">
            <w:pPr>
              <w:jc w:val="both"/>
              <w:rPr>
                <w:b/>
                <w:i/>
                <w:lang w:eastAsia="ru-RU" w:bidi="ru-RU"/>
              </w:rPr>
            </w:pPr>
          </w:p>
          <w:p w14:paraId="34ED937B" w14:textId="77777777" w:rsidR="002406B3" w:rsidRDefault="002406B3" w:rsidP="002406B3">
            <w:pPr>
              <w:jc w:val="both"/>
              <w:rPr>
                <w:b/>
                <w:i/>
                <w:lang w:eastAsia="ru-RU" w:bidi="ru-RU"/>
              </w:rPr>
            </w:pPr>
            <w:r>
              <w:rPr>
                <w:b/>
                <w:i/>
                <w:lang w:eastAsia="ru-RU" w:bidi="ru-RU"/>
              </w:rPr>
              <w:t>Дополнительные параметры безопасности:</w:t>
            </w:r>
          </w:p>
          <w:p w14:paraId="193F9C32" w14:textId="77777777" w:rsidR="002406B3" w:rsidRDefault="002406B3" w:rsidP="002406B3">
            <w:pPr>
              <w:jc w:val="both"/>
              <w:rPr>
                <w:b/>
                <w:i/>
                <w:lang w:eastAsia="ru-RU" w:bidi="ru-RU"/>
              </w:rPr>
            </w:pPr>
          </w:p>
          <w:p w14:paraId="3857DAB8" w14:textId="77777777" w:rsidR="002406B3" w:rsidRDefault="002406B3" w:rsidP="002406B3">
            <w:pPr>
              <w:ind w:left="581" w:hanging="567"/>
              <w:jc w:val="both"/>
              <w:rPr>
                <w:lang w:eastAsia="ru-RU" w:bidi="ru-RU"/>
              </w:rPr>
            </w:pPr>
            <w:r>
              <w:t>8.</w:t>
            </w:r>
            <w:r>
              <w:tab/>
            </w:r>
            <w:r>
              <w:rPr>
                <w:lang w:eastAsia="ru-RU" w:bidi="ru-RU"/>
              </w:rPr>
              <w:t>Основные показатели жизнедеятельности (АД, ЧСС, ЧДД, температура тела) в основной части исследования в группах лечения;</w:t>
            </w:r>
          </w:p>
          <w:p w14:paraId="18AD0AEF" w14:textId="55524D6B" w:rsidR="001F6468" w:rsidRPr="005D6588" w:rsidRDefault="002406B3" w:rsidP="002406B3">
            <w:pPr>
              <w:ind w:left="581" w:hanging="567"/>
              <w:jc w:val="both"/>
              <w:rPr>
                <w:lang w:eastAsia="ru-RU" w:bidi="ru-RU"/>
              </w:rPr>
            </w:pPr>
            <w:r>
              <w:t>9.</w:t>
            </w:r>
            <w:r>
              <w:tab/>
            </w:r>
            <w:r>
              <w:rPr>
                <w:lang w:eastAsia="ru-RU" w:bidi="ru-RU"/>
              </w:rPr>
              <w:t>Результаты лабораторных и функциональных исследований: общий анализ крови, биохимический анализ крови, общий анализ мочи, коагулограмма, электрокардиограмма в основной части исследования в группах лечения.</w:t>
            </w:r>
          </w:p>
        </w:tc>
      </w:tr>
      <w:tr w:rsidR="00F46B68" w:rsidRPr="009E6200" w14:paraId="24C2B689" w14:textId="77777777" w:rsidTr="007B46F5">
        <w:trPr>
          <w:trHeight w:val="317"/>
        </w:trPr>
        <w:tc>
          <w:tcPr>
            <w:tcW w:w="1170" w:type="pct"/>
            <w:vMerge/>
            <w:tcBorders>
              <w:left w:val="single" w:sz="4" w:space="0" w:color="00000A"/>
              <w:bottom w:val="single" w:sz="4" w:space="0" w:color="00000A"/>
              <w:right w:val="single" w:sz="4" w:space="0" w:color="00000A"/>
            </w:tcBorders>
            <w:shd w:val="clear" w:color="auto" w:fill="auto"/>
            <w:tcMar>
              <w:top w:w="0" w:type="dxa"/>
              <w:left w:w="57" w:type="dxa"/>
              <w:bottom w:w="0" w:type="dxa"/>
              <w:right w:w="57" w:type="dxa"/>
            </w:tcMar>
          </w:tcPr>
          <w:p w14:paraId="44DCF1AA" w14:textId="77777777" w:rsidR="007F47FD" w:rsidRPr="009E6200" w:rsidRDefault="007F47FD" w:rsidP="007B46F5">
            <w:pPr>
              <w:pStyle w:val="SDText"/>
              <w:jc w:val="both"/>
              <w:rPr>
                <w:lang w:eastAsia="ru-RU"/>
              </w:rPr>
            </w:pPr>
          </w:p>
        </w:tc>
        <w:tc>
          <w:tcPr>
            <w:tcW w:w="3830" w:type="pct"/>
            <w:vMerge/>
            <w:tcBorders>
              <w:left w:val="single" w:sz="4" w:space="0" w:color="00000A"/>
              <w:bottom w:val="single" w:sz="4" w:space="0" w:color="00000A"/>
              <w:right w:val="single" w:sz="4" w:space="0" w:color="00000A"/>
            </w:tcBorders>
            <w:shd w:val="clear" w:color="auto" w:fill="auto"/>
            <w:tcMar>
              <w:top w:w="0" w:type="dxa"/>
              <w:left w:w="57" w:type="dxa"/>
              <w:bottom w:w="0" w:type="dxa"/>
              <w:right w:w="57" w:type="dxa"/>
            </w:tcMar>
          </w:tcPr>
          <w:p w14:paraId="6B2FD31C" w14:textId="77777777" w:rsidR="007F47FD" w:rsidRPr="009E6200" w:rsidRDefault="007F47FD" w:rsidP="007B46F5">
            <w:pPr>
              <w:pStyle w:val="SDText"/>
              <w:jc w:val="both"/>
              <w:rPr>
                <w:lang w:eastAsia="ru-RU"/>
              </w:rPr>
            </w:pPr>
          </w:p>
        </w:tc>
      </w:tr>
      <w:tr w:rsidR="00F46B68" w:rsidRPr="009E6200" w14:paraId="6146D0F1" w14:textId="77777777" w:rsidTr="007B46F5">
        <w:tc>
          <w:tcPr>
            <w:tcW w:w="1170" w:type="pct"/>
            <w:tcBorders>
              <w:top w:val="single" w:sz="4" w:space="0" w:color="00000A"/>
              <w:left w:val="single" w:sz="4" w:space="0" w:color="00000A"/>
              <w:bottom w:val="single" w:sz="4" w:space="0" w:color="00000A"/>
              <w:right w:val="single" w:sz="4" w:space="0" w:color="00000A"/>
            </w:tcBorders>
            <w:shd w:val="clear" w:color="auto" w:fill="auto"/>
            <w:tcMar>
              <w:top w:w="0" w:type="dxa"/>
              <w:left w:w="57" w:type="dxa"/>
              <w:bottom w:w="0" w:type="dxa"/>
              <w:right w:w="57" w:type="dxa"/>
            </w:tcMar>
          </w:tcPr>
          <w:p w14:paraId="5CE165D5" w14:textId="77777777" w:rsidR="007F47FD" w:rsidRPr="009E6200" w:rsidRDefault="007F47FD" w:rsidP="007B46F5">
            <w:pPr>
              <w:pStyle w:val="SDText"/>
              <w:jc w:val="both"/>
              <w:rPr>
                <w:b/>
                <w:lang w:eastAsia="ru-RU"/>
              </w:rPr>
            </w:pPr>
            <w:r w:rsidRPr="009E6200">
              <w:rPr>
                <w:b/>
                <w:lang w:eastAsia="ru-RU"/>
              </w:rPr>
              <w:t>Критерии включения</w:t>
            </w:r>
          </w:p>
        </w:tc>
        <w:bookmarkStart w:id="22" w:name="OLE_LINK_Inclusion_criteria" w:displacedByCustomXml="next"/>
        <w:sdt>
          <w:sdtPr>
            <w:rPr>
              <w:lang w:eastAsia="ru-RU"/>
            </w:rPr>
            <w:alias w:val="Критерии включения"/>
            <w:tag w:val="Критерии включения"/>
            <w:id w:val="934026970"/>
            <w:placeholder>
              <w:docPart w:val="DefaultPlaceholder_-1854013440"/>
            </w:placeholder>
          </w:sdtPr>
          <w:sdtEndPr/>
          <w:sdtContent>
            <w:sdt>
              <w:sdtPr>
                <w:rPr>
                  <w:lang w:eastAsia="ru-RU"/>
                </w:rPr>
                <w:alias w:val="Критерии включения"/>
                <w:tag w:val="Критерии включения"/>
                <w:id w:val="-1680797493"/>
                <w:placeholder>
                  <w:docPart w:val="28C10CAFD66842C2BFA8853D34030061"/>
                </w:placeholder>
              </w:sdtPr>
              <w:sdtEndPr/>
              <w:sdtContent>
                <w:tc>
                  <w:tcPr>
                    <w:tcW w:w="3830" w:type="pct"/>
                    <w:tcBorders>
                      <w:top w:val="single" w:sz="4" w:space="0" w:color="00000A"/>
                      <w:left w:val="single" w:sz="4" w:space="0" w:color="00000A"/>
                      <w:bottom w:val="single" w:sz="4" w:space="0" w:color="00000A"/>
                      <w:right w:val="single" w:sz="4" w:space="0" w:color="00000A"/>
                    </w:tcBorders>
                    <w:shd w:val="clear" w:color="auto" w:fill="auto"/>
                    <w:tcMar>
                      <w:top w:w="0" w:type="dxa"/>
                      <w:left w:w="57" w:type="dxa"/>
                      <w:bottom w:w="0" w:type="dxa"/>
                      <w:right w:w="57" w:type="dxa"/>
                    </w:tcMar>
                  </w:tcPr>
                  <w:p w14:paraId="4E0C81D5" w14:textId="77777777" w:rsidR="00E041D3" w:rsidRPr="009E6200" w:rsidRDefault="00E041D3" w:rsidP="007B46F5">
                    <w:pPr>
                      <w:pStyle w:val="SDText"/>
                      <w:jc w:val="both"/>
                      <w:rPr>
                        <w:lang w:eastAsia="ru-RU"/>
                      </w:rPr>
                    </w:pPr>
                    <w:r w:rsidRPr="009E6200">
                      <w:rPr>
                        <w:lang w:eastAsia="ru-RU"/>
                      </w:rPr>
                      <w:t xml:space="preserve">Пациенты должны соответствовать следующим критериям </w:t>
                    </w:r>
                    <w:r w:rsidRPr="009E6200">
                      <w:t>включения</w:t>
                    </w:r>
                    <w:r w:rsidRPr="009E6200">
                      <w:rPr>
                        <w:lang w:eastAsia="ru-RU"/>
                      </w:rPr>
                      <w:t>:</w:t>
                    </w:r>
                  </w:p>
                  <w:p w14:paraId="50DD9FF8" w14:textId="0C612EF7" w:rsidR="00E041D3" w:rsidRPr="009E6200" w:rsidRDefault="00E041D3" w:rsidP="007B46F5">
                    <w:pPr>
                      <w:pStyle w:val="SDText"/>
                      <w:ind w:left="302" w:hanging="302"/>
                      <w:jc w:val="both"/>
                    </w:pPr>
                    <w:r w:rsidRPr="009E6200">
                      <w:fldChar w:fldCharType="begin"/>
                    </w:r>
                    <w:r w:rsidRPr="009E6200">
                      <w:instrText xml:space="preserve"> </w:instrText>
                    </w:r>
                    <w:r w:rsidRPr="009E6200">
                      <w:rPr>
                        <w:lang w:val="en-US"/>
                      </w:rPr>
                      <w:instrText>SEQ</w:instrText>
                    </w:r>
                    <w:r w:rsidRPr="009E6200">
                      <w:instrText xml:space="preserve"> </w:instrText>
                    </w:r>
                    <w:r w:rsidRPr="009E6200">
                      <w:rPr>
                        <w:lang w:val="en-US"/>
                      </w:rPr>
                      <w:instrText>Inc</w:instrText>
                    </w:r>
                    <w:r w:rsidRPr="009E6200">
                      <w:instrText xml:space="preserve"> \* </w:instrText>
                    </w:r>
                    <w:r w:rsidRPr="009E6200">
                      <w:rPr>
                        <w:lang w:val="en-US"/>
                      </w:rPr>
                      <w:instrText>MERGEFORMAT</w:instrText>
                    </w:r>
                    <w:r w:rsidRPr="009E6200">
                      <w:instrText xml:space="preserve"> </w:instrText>
                    </w:r>
                    <w:r w:rsidRPr="009E6200">
                      <w:fldChar w:fldCharType="separate"/>
                    </w:r>
                    <w:r w:rsidR="005A436A" w:rsidRPr="005A436A">
                      <w:rPr>
                        <w:noProof/>
                      </w:rPr>
                      <w:t>1</w:t>
                    </w:r>
                    <w:r w:rsidRPr="009E6200">
                      <w:fldChar w:fldCharType="end"/>
                    </w:r>
                    <w:r w:rsidR="00423134" w:rsidRPr="009E6200">
                      <w:t>.</w:t>
                    </w:r>
                    <w:r w:rsidR="00423134" w:rsidRPr="009E6200">
                      <w:tab/>
                    </w:r>
                    <w:r w:rsidRPr="009E6200">
                      <w:rPr>
                        <w:lang w:eastAsia="ru-RU"/>
                      </w:rPr>
                      <w:t>До</w:t>
                    </w:r>
                    <w:r w:rsidRPr="009E6200">
                      <w:t>бровольно подписанное информированное согласие на участие в исследовании;</w:t>
                    </w:r>
                  </w:p>
                  <w:p w14:paraId="614ED3E5" w14:textId="26D09915" w:rsidR="00E041D3" w:rsidRPr="009E6200" w:rsidRDefault="00E041D3" w:rsidP="007B46F5">
                    <w:pPr>
                      <w:pStyle w:val="SDText"/>
                      <w:ind w:left="302" w:hanging="302"/>
                      <w:jc w:val="both"/>
                    </w:pPr>
                    <w:r w:rsidRPr="009E6200">
                      <w:fldChar w:fldCharType="begin"/>
                    </w:r>
                    <w:r w:rsidRPr="009E6200">
                      <w:instrText xml:space="preserve"> </w:instrText>
                    </w:r>
                    <w:r w:rsidRPr="009E6200">
                      <w:rPr>
                        <w:lang w:val="en-US"/>
                      </w:rPr>
                      <w:instrText>SEQ</w:instrText>
                    </w:r>
                    <w:r w:rsidRPr="009E6200">
                      <w:instrText xml:space="preserve"> </w:instrText>
                    </w:r>
                    <w:r w:rsidRPr="009E6200">
                      <w:rPr>
                        <w:lang w:val="en-US"/>
                      </w:rPr>
                      <w:instrText>Inc</w:instrText>
                    </w:r>
                    <w:r w:rsidRPr="009E6200">
                      <w:instrText xml:space="preserve"> \* </w:instrText>
                    </w:r>
                    <w:r w:rsidRPr="009E6200">
                      <w:rPr>
                        <w:lang w:val="en-US"/>
                      </w:rPr>
                      <w:instrText>MERGEFORMAT</w:instrText>
                    </w:r>
                    <w:r w:rsidRPr="009E6200">
                      <w:instrText xml:space="preserve"> </w:instrText>
                    </w:r>
                    <w:r w:rsidRPr="009E6200">
                      <w:fldChar w:fldCharType="separate"/>
                    </w:r>
                    <w:r w:rsidR="005A436A" w:rsidRPr="005A436A">
                      <w:rPr>
                        <w:noProof/>
                      </w:rPr>
                      <w:t>2</w:t>
                    </w:r>
                    <w:r w:rsidRPr="009E6200">
                      <w:fldChar w:fldCharType="end"/>
                    </w:r>
                    <w:r w:rsidR="00423134" w:rsidRPr="009E6200">
                      <w:t>.</w:t>
                    </w:r>
                    <w:r w:rsidR="00423134" w:rsidRPr="009E6200">
                      <w:tab/>
                    </w:r>
                    <w:r w:rsidRPr="009E6200">
                      <w:t>Мужчины и женщины в возрасте 18 лет и старше</w:t>
                    </w:r>
                    <w:r w:rsidR="00E73450" w:rsidRPr="009E6200">
                      <w:t xml:space="preserve"> на момент скрининга</w:t>
                    </w:r>
                    <w:r w:rsidRPr="009E6200">
                      <w:t>;</w:t>
                    </w:r>
                  </w:p>
                  <w:p w14:paraId="2823DA20" w14:textId="6F5DAA18" w:rsidR="00E041D3" w:rsidRPr="009E6200" w:rsidRDefault="00E041D3" w:rsidP="007B46F5">
                    <w:pPr>
                      <w:pStyle w:val="SDText"/>
                      <w:ind w:left="302" w:hanging="302"/>
                      <w:jc w:val="both"/>
                    </w:pPr>
                    <w:r w:rsidRPr="009E6200">
                      <w:fldChar w:fldCharType="begin"/>
                    </w:r>
                    <w:r w:rsidRPr="009E6200">
                      <w:instrText xml:space="preserve"> </w:instrText>
                    </w:r>
                    <w:r w:rsidRPr="009E6200">
                      <w:rPr>
                        <w:lang w:val="en-US"/>
                      </w:rPr>
                      <w:instrText>SEQ</w:instrText>
                    </w:r>
                    <w:r w:rsidRPr="009E6200">
                      <w:instrText xml:space="preserve"> </w:instrText>
                    </w:r>
                    <w:r w:rsidRPr="009E6200">
                      <w:rPr>
                        <w:lang w:val="en-US"/>
                      </w:rPr>
                      <w:instrText>Inc</w:instrText>
                    </w:r>
                    <w:r w:rsidRPr="009E6200">
                      <w:instrText xml:space="preserve"> \* </w:instrText>
                    </w:r>
                    <w:r w:rsidRPr="009E6200">
                      <w:rPr>
                        <w:lang w:val="en-US"/>
                      </w:rPr>
                      <w:instrText>MERGEFORMAT</w:instrText>
                    </w:r>
                    <w:r w:rsidRPr="009E6200">
                      <w:instrText xml:space="preserve"> </w:instrText>
                    </w:r>
                    <w:r w:rsidRPr="009E6200">
                      <w:fldChar w:fldCharType="separate"/>
                    </w:r>
                    <w:r w:rsidR="005A436A" w:rsidRPr="005A436A">
                      <w:rPr>
                        <w:noProof/>
                      </w:rPr>
                      <w:t>3</w:t>
                    </w:r>
                    <w:r w:rsidRPr="009E6200">
                      <w:fldChar w:fldCharType="end"/>
                    </w:r>
                    <w:r w:rsidR="00423134" w:rsidRPr="009E6200">
                      <w:t>.</w:t>
                    </w:r>
                    <w:r w:rsidR="00423134" w:rsidRPr="009E6200">
                      <w:tab/>
                    </w:r>
                    <w:r w:rsidRPr="009E6200">
                      <w:t>Способность и желание понять и соблюдать требования протокола;</w:t>
                    </w:r>
                  </w:p>
                  <w:p w14:paraId="0273C09D" w14:textId="519ABB16" w:rsidR="00E041D3" w:rsidRPr="009E6200" w:rsidRDefault="00E041D3" w:rsidP="007B46F5">
                    <w:pPr>
                      <w:pStyle w:val="SDText"/>
                      <w:ind w:left="302" w:hanging="302"/>
                      <w:jc w:val="both"/>
                    </w:pPr>
                    <w:r w:rsidRPr="009E6200">
                      <w:fldChar w:fldCharType="begin"/>
                    </w:r>
                    <w:r w:rsidRPr="009E6200">
                      <w:instrText xml:space="preserve"> </w:instrText>
                    </w:r>
                    <w:r w:rsidRPr="009E6200">
                      <w:rPr>
                        <w:lang w:val="en-US"/>
                      </w:rPr>
                      <w:instrText>SEQ</w:instrText>
                    </w:r>
                    <w:r w:rsidRPr="009E6200">
                      <w:instrText xml:space="preserve"> </w:instrText>
                    </w:r>
                    <w:r w:rsidRPr="009E6200">
                      <w:rPr>
                        <w:lang w:val="en-US"/>
                      </w:rPr>
                      <w:instrText>Inc</w:instrText>
                    </w:r>
                    <w:r w:rsidRPr="009E6200">
                      <w:instrText xml:space="preserve"> \* </w:instrText>
                    </w:r>
                    <w:r w:rsidRPr="009E6200">
                      <w:rPr>
                        <w:lang w:val="en-US"/>
                      </w:rPr>
                      <w:instrText>MERGEFORMAT</w:instrText>
                    </w:r>
                    <w:r w:rsidRPr="009E6200">
                      <w:instrText xml:space="preserve"> </w:instrText>
                    </w:r>
                    <w:r w:rsidRPr="009E6200">
                      <w:fldChar w:fldCharType="separate"/>
                    </w:r>
                    <w:r w:rsidR="005A436A" w:rsidRPr="005A436A">
                      <w:rPr>
                        <w:noProof/>
                      </w:rPr>
                      <w:t>4</w:t>
                    </w:r>
                    <w:r w:rsidRPr="009E6200">
                      <w:fldChar w:fldCharType="end"/>
                    </w:r>
                    <w:r w:rsidR="00423134" w:rsidRPr="009E6200">
                      <w:t>.</w:t>
                    </w:r>
                    <w:r w:rsidR="00423134" w:rsidRPr="009E6200">
                      <w:tab/>
                    </w:r>
                    <w:r w:rsidRPr="009E6200">
                      <w:t>Впервые диагностированный или рецидивирующий неплоскоклеточный НМРЛ, подтвержденный гистологически или цитологически;</w:t>
                    </w:r>
                  </w:p>
                  <w:p w14:paraId="2DB10959" w14:textId="2B9DA3D3" w:rsidR="00E041D3" w:rsidRPr="009E6200" w:rsidRDefault="00E041D3" w:rsidP="007B46F5">
                    <w:pPr>
                      <w:pStyle w:val="SDText"/>
                      <w:ind w:left="302" w:hanging="302"/>
                      <w:jc w:val="both"/>
                    </w:pPr>
                    <w:r w:rsidRPr="009E6200">
                      <w:fldChar w:fldCharType="begin"/>
                    </w:r>
                    <w:r w:rsidRPr="009E6200">
                      <w:instrText xml:space="preserve"> </w:instrText>
                    </w:r>
                    <w:r w:rsidRPr="009E6200">
                      <w:rPr>
                        <w:lang w:val="en-US"/>
                      </w:rPr>
                      <w:instrText>SEQ</w:instrText>
                    </w:r>
                    <w:r w:rsidRPr="009E6200">
                      <w:instrText xml:space="preserve"> </w:instrText>
                    </w:r>
                    <w:r w:rsidRPr="009E6200">
                      <w:rPr>
                        <w:lang w:val="en-US"/>
                      </w:rPr>
                      <w:instrText>Inc</w:instrText>
                    </w:r>
                    <w:r w:rsidRPr="009E6200">
                      <w:instrText xml:space="preserve"> \* </w:instrText>
                    </w:r>
                    <w:r w:rsidRPr="009E6200">
                      <w:rPr>
                        <w:lang w:val="en-US"/>
                      </w:rPr>
                      <w:instrText>MERGEFORMAT</w:instrText>
                    </w:r>
                    <w:r w:rsidRPr="009E6200">
                      <w:instrText xml:space="preserve"> </w:instrText>
                    </w:r>
                    <w:r w:rsidRPr="009E6200">
                      <w:fldChar w:fldCharType="separate"/>
                    </w:r>
                    <w:r w:rsidR="005A436A" w:rsidRPr="005A436A">
                      <w:rPr>
                        <w:noProof/>
                      </w:rPr>
                      <w:t>5</w:t>
                    </w:r>
                    <w:r w:rsidRPr="009E6200">
                      <w:fldChar w:fldCharType="end"/>
                    </w:r>
                    <w:r w:rsidR="00423134" w:rsidRPr="009E6200">
                      <w:t>.</w:t>
                    </w:r>
                    <w:r w:rsidR="00423134" w:rsidRPr="009E6200">
                      <w:tab/>
                    </w:r>
                    <w:r w:rsidRPr="009E6200">
                      <w:t>Для больных с рецидивирующим неплоскоклеточным НМРЛ – оперативное лечение основного заболевания в анамнезе и давность адъювантной или неоадъювантной химиотерапии не менее 6 мес</w:t>
                    </w:r>
                    <w:r w:rsidR="00423134" w:rsidRPr="009E6200">
                      <w:t>.</w:t>
                    </w:r>
                    <w:r w:rsidR="00423134" w:rsidRPr="009E6200">
                      <w:tab/>
                    </w:r>
                    <w:r w:rsidRPr="009E6200">
                      <w:t xml:space="preserve">на момент </w:t>
                    </w:r>
                    <w:r w:rsidR="004E1C96" w:rsidRPr="009E6200">
                      <w:t xml:space="preserve">включения в </w:t>
                    </w:r>
                    <w:r w:rsidRPr="009E6200">
                      <w:t>скрининг</w:t>
                    </w:r>
                    <w:r w:rsidR="004E1C96" w:rsidRPr="009E6200">
                      <w:t>овый период</w:t>
                    </w:r>
                    <w:r w:rsidRPr="009E6200">
                      <w:t>;</w:t>
                    </w:r>
                  </w:p>
                  <w:p w14:paraId="7BC06BA7" w14:textId="5430BB0D" w:rsidR="00E041D3" w:rsidRPr="009E6200" w:rsidRDefault="00E041D3" w:rsidP="007B46F5">
                    <w:pPr>
                      <w:pStyle w:val="SDText"/>
                      <w:ind w:left="302" w:hanging="302"/>
                      <w:jc w:val="both"/>
                    </w:pPr>
                    <w:r w:rsidRPr="009E6200">
                      <w:fldChar w:fldCharType="begin"/>
                    </w:r>
                    <w:r w:rsidRPr="009E6200">
                      <w:instrText xml:space="preserve"> </w:instrText>
                    </w:r>
                    <w:r w:rsidRPr="009E6200">
                      <w:rPr>
                        <w:lang w:val="en-US"/>
                      </w:rPr>
                      <w:instrText>SEQ</w:instrText>
                    </w:r>
                    <w:r w:rsidRPr="009E6200">
                      <w:instrText xml:space="preserve"> </w:instrText>
                    </w:r>
                    <w:r w:rsidRPr="009E6200">
                      <w:rPr>
                        <w:lang w:val="en-US"/>
                      </w:rPr>
                      <w:instrText>Inc</w:instrText>
                    </w:r>
                    <w:r w:rsidRPr="009E6200">
                      <w:instrText xml:space="preserve"> \* </w:instrText>
                    </w:r>
                    <w:r w:rsidRPr="009E6200">
                      <w:rPr>
                        <w:lang w:val="en-US"/>
                      </w:rPr>
                      <w:instrText>MERGEFORMAT</w:instrText>
                    </w:r>
                    <w:r w:rsidRPr="009E6200">
                      <w:instrText xml:space="preserve"> </w:instrText>
                    </w:r>
                    <w:r w:rsidRPr="009E6200">
                      <w:fldChar w:fldCharType="separate"/>
                    </w:r>
                    <w:r w:rsidR="005A436A" w:rsidRPr="005A436A">
                      <w:rPr>
                        <w:noProof/>
                      </w:rPr>
                      <w:t>6</w:t>
                    </w:r>
                    <w:r w:rsidRPr="009E6200">
                      <w:fldChar w:fldCharType="end"/>
                    </w:r>
                    <w:r w:rsidR="00423134" w:rsidRPr="009E6200">
                      <w:t>.</w:t>
                    </w:r>
                    <w:r w:rsidR="00423134" w:rsidRPr="009E6200">
                      <w:tab/>
                    </w:r>
                    <w:r w:rsidRPr="009E6200">
                      <w:t xml:space="preserve">Стадия рака легкого IIIB или IV (версия </w:t>
                    </w:r>
                    <w:r w:rsidR="00695C4D" w:rsidRPr="009E6200">
                      <w:t xml:space="preserve">7 </w:t>
                    </w:r>
                    <w:r w:rsidRPr="009E6200">
                      <w:t>международной классификации стадий злокачественных новообразований (tumor, nodus и metastasis, TNM</w:t>
                    </w:r>
                    <w:r w:rsidR="00695C4D" w:rsidRPr="009E6200">
                      <w:t xml:space="preserve">, </w:t>
                    </w:r>
                    <w:r w:rsidR="00186520" w:rsidRPr="009E6200">
                      <w:t xml:space="preserve">приложение 1, Раздел </w:t>
                    </w:r>
                    <w:r w:rsidR="005B63FA" w:rsidRPr="009E6200">
                      <w:fldChar w:fldCharType="begin"/>
                    </w:r>
                    <w:r w:rsidR="005B63FA" w:rsidRPr="009E6200">
                      <w:instrText xml:space="preserve"> REF _Ref16582782 \n \h </w:instrText>
                    </w:r>
                    <w:r w:rsidR="009E6200">
                      <w:instrText xml:space="preserve"> \* MERGEFORMAT </w:instrText>
                    </w:r>
                    <w:r w:rsidR="005B63FA" w:rsidRPr="009E6200">
                      <w:fldChar w:fldCharType="separate"/>
                    </w:r>
                    <w:r w:rsidR="005A436A">
                      <w:t>15.1</w:t>
                    </w:r>
                    <w:r w:rsidR="005B63FA" w:rsidRPr="009E6200">
                      <w:fldChar w:fldCharType="end"/>
                    </w:r>
                    <w:r w:rsidRPr="009E6200">
                      <w:t>);</w:t>
                    </w:r>
                  </w:p>
                  <w:p w14:paraId="1FEEF216" w14:textId="3C5E4680" w:rsidR="00E041D3" w:rsidRPr="009E6200" w:rsidRDefault="00E041D3" w:rsidP="007B46F5">
                    <w:pPr>
                      <w:pStyle w:val="SDText"/>
                      <w:ind w:left="302" w:hanging="302"/>
                      <w:jc w:val="both"/>
                    </w:pPr>
                    <w:r w:rsidRPr="009E6200">
                      <w:fldChar w:fldCharType="begin"/>
                    </w:r>
                    <w:r w:rsidRPr="009E6200">
                      <w:instrText xml:space="preserve"> </w:instrText>
                    </w:r>
                    <w:r w:rsidRPr="009E6200">
                      <w:rPr>
                        <w:lang w:val="en-US"/>
                      </w:rPr>
                      <w:instrText>SEQ</w:instrText>
                    </w:r>
                    <w:r w:rsidRPr="009E6200">
                      <w:instrText xml:space="preserve"> </w:instrText>
                    </w:r>
                    <w:r w:rsidRPr="009E6200">
                      <w:rPr>
                        <w:lang w:val="en-US"/>
                      </w:rPr>
                      <w:instrText>Inc</w:instrText>
                    </w:r>
                    <w:r w:rsidRPr="009E6200">
                      <w:instrText xml:space="preserve"> \* </w:instrText>
                    </w:r>
                    <w:r w:rsidRPr="009E6200">
                      <w:rPr>
                        <w:lang w:val="en-US"/>
                      </w:rPr>
                      <w:instrText>MERGEFORMAT</w:instrText>
                    </w:r>
                    <w:r w:rsidRPr="009E6200">
                      <w:instrText xml:space="preserve"> </w:instrText>
                    </w:r>
                    <w:r w:rsidRPr="009E6200">
                      <w:fldChar w:fldCharType="separate"/>
                    </w:r>
                    <w:r w:rsidR="005A436A" w:rsidRPr="005A436A">
                      <w:rPr>
                        <w:noProof/>
                      </w:rPr>
                      <w:t>7</w:t>
                    </w:r>
                    <w:r w:rsidRPr="009E6200">
                      <w:fldChar w:fldCharType="end"/>
                    </w:r>
                    <w:r w:rsidR="00423134" w:rsidRPr="009E6200">
                      <w:t>.</w:t>
                    </w:r>
                    <w:r w:rsidR="00423134" w:rsidRPr="009E6200">
                      <w:tab/>
                    </w:r>
                    <w:r w:rsidRPr="009E6200">
                      <w:t>Статус по шкале оценки общего состояния онкологического больного (Eastern Cooperative Oncology Group, ECOG) 0–I;</w:t>
                    </w:r>
                  </w:p>
                  <w:p w14:paraId="2CC9F8C1" w14:textId="70663BDC" w:rsidR="00E041D3" w:rsidRPr="009E6200" w:rsidRDefault="00E041D3" w:rsidP="007B46F5">
                    <w:pPr>
                      <w:pStyle w:val="SDText"/>
                      <w:ind w:left="302" w:hanging="302"/>
                      <w:jc w:val="both"/>
                    </w:pPr>
                    <w:r w:rsidRPr="009E6200">
                      <w:fldChar w:fldCharType="begin"/>
                    </w:r>
                    <w:r w:rsidRPr="009E6200">
                      <w:instrText xml:space="preserve"> </w:instrText>
                    </w:r>
                    <w:r w:rsidRPr="009E6200">
                      <w:rPr>
                        <w:lang w:val="en-US"/>
                      </w:rPr>
                      <w:instrText>SEQ</w:instrText>
                    </w:r>
                    <w:r w:rsidRPr="009E6200">
                      <w:instrText xml:space="preserve"> </w:instrText>
                    </w:r>
                    <w:r w:rsidRPr="009E6200">
                      <w:rPr>
                        <w:lang w:val="en-US"/>
                      </w:rPr>
                      <w:instrText>Inc</w:instrText>
                    </w:r>
                    <w:r w:rsidRPr="009E6200">
                      <w:instrText xml:space="preserve"> \* </w:instrText>
                    </w:r>
                    <w:r w:rsidRPr="009E6200">
                      <w:rPr>
                        <w:lang w:val="en-US"/>
                      </w:rPr>
                      <w:instrText>MERGEFORMAT</w:instrText>
                    </w:r>
                    <w:r w:rsidRPr="009E6200">
                      <w:instrText xml:space="preserve"> </w:instrText>
                    </w:r>
                    <w:r w:rsidRPr="009E6200">
                      <w:fldChar w:fldCharType="separate"/>
                    </w:r>
                    <w:r w:rsidR="005A436A" w:rsidRPr="005A436A">
                      <w:rPr>
                        <w:noProof/>
                      </w:rPr>
                      <w:t>8</w:t>
                    </w:r>
                    <w:r w:rsidRPr="009E6200">
                      <w:fldChar w:fldCharType="end"/>
                    </w:r>
                    <w:r w:rsidR="00423134" w:rsidRPr="009E6200">
                      <w:t>.</w:t>
                    </w:r>
                    <w:r w:rsidR="00423134" w:rsidRPr="009E6200">
                      <w:tab/>
                    </w:r>
                    <w:r w:rsidRPr="009E6200">
                      <w:t>Ожидаемая продолжительность жизни на момент рандомизации 6 мес</w:t>
                    </w:r>
                    <w:r w:rsidR="00423134" w:rsidRPr="009E6200">
                      <w:t>.</w:t>
                    </w:r>
                    <w:r w:rsidR="00102B1C" w:rsidRPr="009E6200">
                      <w:t xml:space="preserve"> </w:t>
                    </w:r>
                    <w:r w:rsidRPr="009E6200">
                      <w:t>и более;</w:t>
                    </w:r>
                  </w:p>
                  <w:p w14:paraId="5B58D7E2" w14:textId="0D313F53" w:rsidR="00E041D3" w:rsidRPr="009E6200" w:rsidRDefault="00E041D3" w:rsidP="007B46F5">
                    <w:pPr>
                      <w:pStyle w:val="SDText"/>
                      <w:ind w:left="302" w:hanging="302"/>
                      <w:jc w:val="both"/>
                    </w:pPr>
                    <w:r w:rsidRPr="009E6200">
                      <w:fldChar w:fldCharType="begin"/>
                    </w:r>
                    <w:r w:rsidRPr="009E6200">
                      <w:instrText xml:space="preserve"> </w:instrText>
                    </w:r>
                    <w:r w:rsidRPr="009E6200">
                      <w:rPr>
                        <w:lang w:val="en-US"/>
                      </w:rPr>
                      <w:instrText>SEQ</w:instrText>
                    </w:r>
                    <w:r w:rsidRPr="009E6200">
                      <w:instrText xml:space="preserve"> </w:instrText>
                    </w:r>
                    <w:r w:rsidRPr="009E6200">
                      <w:rPr>
                        <w:lang w:val="en-US"/>
                      </w:rPr>
                      <w:instrText>Inc</w:instrText>
                    </w:r>
                    <w:r w:rsidRPr="009E6200">
                      <w:instrText xml:space="preserve"> \* </w:instrText>
                    </w:r>
                    <w:r w:rsidRPr="009E6200">
                      <w:rPr>
                        <w:lang w:val="en-US"/>
                      </w:rPr>
                      <w:instrText>MERGEFORMAT</w:instrText>
                    </w:r>
                    <w:r w:rsidRPr="009E6200">
                      <w:instrText xml:space="preserve"> </w:instrText>
                    </w:r>
                    <w:r w:rsidRPr="009E6200">
                      <w:fldChar w:fldCharType="separate"/>
                    </w:r>
                    <w:r w:rsidR="005A436A" w:rsidRPr="005A436A">
                      <w:rPr>
                        <w:noProof/>
                      </w:rPr>
                      <w:t>9</w:t>
                    </w:r>
                    <w:r w:rsidRPr="009E6200">
                      <w:fldChar w:fldCharType="end"/>
                    </w:r>
                    <w:r w:rsidR="00423134" w:rsidRPr="009E6200">
                      <w:t>.</w:t>
                    </w:r>
                    <w:r w:rsidR="00423134" w:rsidRPr="009E6200">
                      <w:tab/>
                    </w:r>
                    <w:r w:rsidRPr="009E6200">
                      <w:t>Наличие, как минимум, одного измеримого очага опухоли в соответствии с критериями RECIST версии 1.1;</w:t>
                    </w:r>
                  </w:p>
                  <w:p w14:paraId="7A5ED5C9" w14:textId="64A3974F" w:rsidR="00E041D3" w:rsidRPr="009E6200" w:rsidRDefault="00E041D3" w:rsidP="007B46F5">
                    <w:pPr>
                      <w:pStyle w:val="SDText"/>
                      <w:ind w:left="302" w:hanging="302"/>
                      <w:jc w:val="both"/>
                    </w:pPr>
                    <w:r w:rsidRPr="009E6200">
                      <w:fldChar w:fldCharType="begin"/>
                    </w:r>
                    <w:r w:rsidRPr="009E6200">
                      <w:instrText xml:space="preserve"> </w:instrText>
                    </w:r>
                    <w:r w:rsidRPr="009E6200">
                      <w:rPr>
                        <w:lang w:val="en-US"/>
                      </w:rPr>
                      <w:instrText>SEQ</w:instrText>
                    </w:r>
                    <w:r w:rsidRPr="009E6200">
                      <w:instrText xml:space="preserve"> </w:instrText>
                    </w:r>
                    <w:r w:rsidRPr="009E6200">
                      <w:rPr>
                        <w:lang w:val="en-US"/>
                      </w:rPr>
                      <w:instrText>Inc</w:instrText>
                    </w:r>
                    <w:r w:rsidRPr="009E6200">
                      <w:instrText xml:space="preserve"> \* </w:instrText>
                    </w:r>
                    <w:r w:rsidRPr="009E6200">
                      <w:rPr>
                        <w:lang w:val="en-US"/>
                      </w:rPr>
                      <w:instrText>MERGEFORMAT</w:instrText>
                    </w:r>
                    <w:r w:rsidRPr="009E6200">
                      <w:instrText xml:space="preserve"> </w:instrText>
                    </w:r>
                    <w:r w:rsidRPr="009E6200">
                      <w:fldChar w:fldCharType="separate"/>
                    </w:r>
                    <w:r w:rsidR="005A436A" w:rsidRPr="005A436A">
                      <w:rPr>
                        <w:noProof/>
                      </w:rPr>
                      <w:t>10</w:t>
                    </w:r>
                    <w:r w:rsidRPr="009E6200">
                      <w:fldChar w:fldCharType="end"/>
                    </w:r>
                    <w:r w:rsidR="00423134" w:rsidRPr="009E6200">
                      <w:t>.</w:t>
                    </w:r>
                    <w:r w:rsidR="00423134" w:rsidRPr="009E6200">
                      <w:tab/>
                    </w:r>
                    <w:r w:rsidRPr="009E6200">
                      <w:t>У женщин, способных к деторождению, на скрининге должен быть получен отрицательный результат теста на беременность (кроме женщин после хирургической стерилизации или с длительностью периода менопаузы более 2 лет);</w:t>
                    </w:r>
                  </w:p>
                  <w:p w14:paraId="233C744F" w14:textId="12651074" w:rsidR="007F47FD" w:rsidRPr="009E6200" w:rsidRDefault="00E041D3" w:rsidP="007B46F5">
                    <w:pPr>
                      <w:pStyle w:val="SDText"/>
                      <w:ind w:left="302" w:hanging="302"/>
                      <w:jc w:val="both"/>
                      <w:rPr>
                        <w:lang w:eastAsia="ru-RU"/>
                      </w:rPr>
                    </w:pPr>
                    <w:r w:rsidRPr="009E6200">
                      <w:fldChar w:fldCharType="begin"/>
                    </w:r>
                    <w:r w:rsidRPr="009E6200">
                      <w:instrText xml:space="preserve"> </w:instrText>
                    </w:r>
                    <w:r w:rsidRPr="009E6200">
                      <w:rPr>
                        <w:lang w:val="en-US"/>
                      </w:rPr>
                      <w:instrText>SEQ</w:instrText>
                    </w:r>
                    <w:r w:rsidRPr="009E6200">
                      <w:instrText xml:space="preserve"> </w:instrText>
                    </w:r>
                    <w:r w:rsidRPr="009E6200">
                      <w:rPr>
                        <w:lang w:val="en-US"/>
                      </w:rPr>
                      <w:instrText>Inc</w:instrText>
                    </w:r>
                    <w:r w:rsidRPr="009E6200">
                      <w:instrText xml:space="preserve"> \* </w:instrText>
                    </w:r>
                    <w:r w:rsidRPr="009E6200">
                      <w:rPr>
                        <w:lang w:val="en-US"/>
                      </w:rPr>
                      <w:instrText>MERGEFORMAT</w:instrText>
                    </w:r>
                    <w:r w:rsidRPr="009E6200">
                      <w:instrText xml:space="preserve"> </w:instrText>
                    </w:r>
                    <w:r w:rsidRPr="009E6200">
                      <w:fldChar w:fldCharType="separate"/>
                    </w:r>
                    <w:r w:rsidR="005A436A" w:rsidRPr="005A436A">
                      <w:rPr>
                        <w:noProof/>
                      </w:rPr>
                      <w:t>11</w:t>
                    </w:r>
                    <w:r w:rsidRPr="009E6200">
                      <w:fldChar w:fldCharType="end"/>
                    </w:r>
                    <w:r w:rsidR="00423134" w:rsidRPr="009E6200">
                      <w:t>.</w:t>
                    </w:r>
                    <w:r w:rsidR="00423134" w:rsidRPr="009E6200">
                      <w:tab/>
                    </w:r>
                    <w:r w:rsidRPr="009E6200">
                      <w:t>Для женщин, способных к деторождению и для мужчин – согласие</w:t>
                    </w:r>
                    <w:r w:rsidRPr="009E6200">
                      <w:rPr>
                        <w:lang w:eastAsia="ru-RU"/>
                      </w:rPr>
                      <w:t xml:space="preserve"> на соблюдение эффективной контрацепции (в соответствии с Разделом 6.4 протокола исследования) на всем протяжении исследования, начиная </w:t>
                    </w:r>
                    <w:r w:rsidR="008D57C7">
                      <w:rPr>
                        <w:lang w:eastAsia="ru-RU"/>
                      </w:rPr>
                      <w:t>с</w:t>
                    </w:r>
                    <w:r w:rsidRPr="009E6200">
                      <w:rPr>
                        <w:lang w:eastAsia="ru-RU"/>
                      </w:rPr>
                      <w:t xml:space="preserve"> даты подписания согласия до введения первой дозы препарата и, как минимум, в течение 6 мес</w:t>
                    </w:r>
                    <w:r w:rsidR="00423134" w:rsidRPr="009E6200">
                      <w:rPr>
                        <w:lang w:eastAsia="ru-RU"/>
                      </w:rPr>
                      <w:t>.</w:t>
                    </w:r>
                    <w:r w:rsidR="00423134" w:rsidRPr="009E6200">
                      <w:rPr>
                        <w:lang w:eastAsia="ru-RU"/>
                      </w:rPr>
                      <w:tab/>
                    </w:r>
                    <w:r w:rsidRPr="009E6200">
                      <w:rPr>
                        <w:lang w:eastAsia="ru-RU"/>
                      </w:rPr>
                      <w:t>после введения последней дозы исследуемого препарата/препарата сравнения.</w:t>
                    </w:r>
                  </w:p>
                </w:tc>
              </w:sdtContent>
            </w:sdt>
          </w:sdtContent>
        </w:sdt>
        <w:bookmarkEnd w:id="22" w:displacedByCustomXml="prev"/>
      </w:tr>
      <w:tr w:rsidR="00F46B68" w:rsidRPr="009E6200" w14:paraId="10C3F640" w14:textId="77777777" w:rsidTr="007B46F5">
        <w:tc>
          <w:tcPr>
            <w:tcW w:w="1170" w:type="pct"/>
            <w:tcBorders>
              <w:top w:val="single" w:sz="4" w:space="0" w:color="00000A"/>
              <w:left w:val="single" w:sz="4" w:space="0" w:color="00000A"/>
              <w:bottom w:val="single" w:sz="4" w:space="0" w:color="00000A"/>
              <w:right w:val="single" w:sz="4" w:space="0" w:color="00000A"/>
            </w:tcBorders>
            <w:shd w:val="clear" w:color="auto" w:fill="auto"/>
            <w:tcMar>
              <w:top w:w="0" w:type="dxa"/>
              <w:left w:w="57" w:type="dxa"/>
              <w:bottom w:w="0" w:type="dxa"/>
              <w:right w:w="57" w:type="dxa"/>
            </w:tcMar>
          </w:tcPr>
          <w:p w14:paraId="74CA8A02" w14:textId="77777777" w:rsidR="007F47FD" w:rsidRPr="009E6200" w:rsidRDefault="007F47FD" w:rsidP="007B46F5">
            <w:pPr>
              <w:pStyle w:val="SDText"/>
              <w:jc w:val="both"/>
              <w:rPr>
                <w:lang w:eastAsia="ru-RU"/>
              </w:rPr>
            </w:pPr>
            <w:r w:rsidRPr="009E6200">
              <w:rPr>
                <w:b/>
                <w:lang w:eastAsia="ru-RU"/>
              </w:rPr>
              <w:t>Критерии невключения</w:t>
            </w:r>
          </w:p>
        </w:tc>
        <w:bookmarkStart w:id="23" w:name="OLE_LINK_Noninclusion_criteria" w:displacedByCustomXml="next"/>
        <w:sdt>
          <w:sdtPr>
            <w:rPr>
              <w:lang w:eastAsia="ru-RU"/>
            </w:rPr>
            <w:alias w:val="Критерии невключения"/>
            <w:tag w:val="Критерии невключения"/>
            <w:id w:val="-605119358"/>
            <w:placeholder>
              <w:docPart w:val="DefaultPlaceholder_-1854013440"/>
            </w:placeholder>
          </w:sdtPr>
          <w:sdtEndPr/>
          <w:sdtContent>
            <w:sdt>
              <w:sdtPr>
                <w:rPr>
                  <w:lang w:eastAsia="ru-RU"/>
                </w:rPr>
                <w:alias w:val="Критерии невключения"/>
                <w:tag w:val="Критерии невключения"/>
                <w:id w:val="-544604214"/>
                <w:placeholder>
                  <w:docPart w:val="74206543B2E449938FA3DA4649B993FC"/>
                </w:placeholder>
              </w:sdtPr>
              <w:sdtEndPr/>
              <w:sdtContent>
                <w:tc>
                  <w:tcPr>
                    <w:tcW w:w="3830" w:type="pct"/>
                    <w:tcBorders>
                      <w:top w:val="single" w:sz="4" w:space="0" w:color="00000A"/>
                      <w:left w:val="single" w:sz="4" w:space="0" w:color="00000A"/>
                      <w:bottom w:val="single" w:sz="4" w:space="0" w:color="00000A"/>
                      <w:right w:val="single" w:sz="4" w:space="0" w:color="00000A"/>
                    </w:tcBorders>
                    <w:shd w:val="clear" w:color="auto" w:fill="auto"/>
                    <w:tcMar>
                      <w:top w:w="0" w:type="dxa"/>
                      <w:left w:w="57" w:type="dxa"/>
                      <w:bottom w:w="0" w:type="dxa"/>
                      <w:right w:w="57" w:type="dxa"/>
                    </w:tcMar>
                  </w:tcPr>
                  <w:p w14:paraId="191D747A" w14:textId="77777777" w:rsidR="00C94741" w:rsidRPr="009E6200" w:rsidRDefault="00C94741" w:rsidP="007B46F5">
                    <w:pPr>
                      <w:pStyle w:val="SDText"/>
                      <w:jc w:val="both"/>
                      <w:rPr>
                        <w:lang w:eastAsia="ru-RU"/>
                      </w:rPr>
                    </w:pPr>
                    <w:r w:rsidRPr="009E6200">
                      <w:rPr>
                        <w:lang w:eastAsia="ru-RU"/>
                      </w:rPr>
                      <w:t xml:space="preserve">Пациенты не могут </w:t>
                    </w:r>
                    <w:r w:rsidRPr="009E6200">
                      <w:t>быть</w:t>
                    </w:r>
                    <w:r w:rsidRPr="009E6200">
                      <w:rPr>
                        <w:lang w:eastAsia="ru-RU"/>
                      </w:rPr>
                      <w:t xml:space="preserve"> включены в исследование при наличии хотя бы одного из следующих критериев невключения:</w:t>
                    </w:r>
                  </w:p>
                  <w:p w14:paraId="1A0A28A4" w14:textId="48DB82D2" w:rsidR="00C94741" w:rsidRPr="009E6200" w:rsidRDefault="003B72D4" w:rsidP="007B46F5">
                    <w:pPr>
                      <w:pStyle w:val="SDText"/>
                      <w:ind w:left="444" w:hanging="444"/>
                      <w:jc w:val="both"/>
                    </w:pPr>
                    <w:fldSimple w:instr=" SEQ Exc \* MERGEFORMAT  \* MERGEFORMAT ">
                      <w:r w:rsidR="005A436A">
                        <w:rPr>
                          <w:noProof/>
                        </w:rPr>
                        <w:t>1</w:t>
                      </w:r>
                    </w:fldSimple>
                    <w:r w:rsidR="00A167EB" w:rsidRPr="009E6200">
                      <w:t>.</w:t>
                    </w:r>
                    <w:r w:rsidR="00A167EB" w:rsidRPr="009E6200">
                      <w:tab/>
                    </w:r>
                    <w:r w:rsidR="00C94741" w:rsidRPr="009E6200">
                      <w:t>Беременные женщины;</w:t>
                    </w:r>
                  </w:p>
                  <w:p w14:paraId="12C5D786" w14:textId="5262405D" w:rsidR="00C94741" w:rsidRPr="009E6200" w:rsidRDefault="003B72D4" w:rsidP="007B46F5">
                    <w:pPr>
                      <w:pStyle w:val="SDText"/>
                      <w:ind w:left="444" w:hanging="444"/>
                      <w:jc w:val="both"/>
                    </w:pPr>
                    <w:fldSimple w:instr=" SEQ Exc \* MERGEFORMAT  \* MERGEFORMAT ">
                      <w:r w:rsidR="005A436A">
                        <w:rPr>
                          <w:noProof/>
                        </w:rPr>
                        <w:t>2</w:t>
                      </w:r>
                    </w:fldSimple>
                    <w:r w:rsidR="00A167EB" w:rsidRPr="009E6200">
                      <w:t>.</w:t>
                    </w:r>
                    <w:r w:rsidR="00A167EB" w:rsidRPr="009E6200">
                      <w:tab/>
                    </w:r>
                    <w:r w:rsidR="00C94741" w:rsidRPr="009E6200">
                      <w:t>Женщины в период кормления грудью;</w:t>
                    </w:r>
                  </w:p>
                  <w:p w14:paraId="4AE9EF25" w14:textId="660E9150" w:rsidR="00C94741" w:rsidRPr="009E6200" w:rsidRDefault="003B72D4" w:rsidP="007B46F5">
                    <w:pPr>
                      <w:pStyle w:val="SDText"/>
                      <w:ind w:left="444" w:hanging="444"/>
                      <w:jc w:val="both"/>
                    </w:pPr>
                    <w:fldSimple w:instr=" SEQ Exc \* MERGEFORMAT  \* MERGEFORMAT ">
                      <w:r w:rsidR="005A436A">
                        <w:rPr>
                          <w:noProof/>
                        </w:rPr>
                        <w:t>3</w:t>
                      </w:r>
                    </w:fldSimple>
                    <w:r w:rsidR="00A167EB" w:rsidRPr="009E6200">
                      <w:t>.</w:t>
                    </w:r>
                    <w:r w:rsidR="00A167EB" w:rsidRPr="009E6200">
                      <w:tab/>
                    </w:r>
                    <w:r w:rsidR="00C94741" w:rsidRPr="009E6200">
                      <w:t>Ранее проводившаяся терапия бевацизумабом или другими антиангиогенными препаратами;</w:t>
                    </w:r>
                  </w:p>
                  <w:p w14:paraId="0B883284" w14:textId="36DD2AEA" w:rsidR="00C94741" w:rsidRPr="009E6200" w:rsidRDefault="003B72D4" w:rsidP="007B46F5">
                    <w:pPr>
                      <w:pStyle w:val="SDText"/>
                      <w:ind w:left="444" w:hanging="444"/>
                      <w:jc w:val="both"/>
                    </w:pPr>
                    <w:fldSimple w:instr=" SEQ Exc \* MERGEFORMAT  \* MERGEFORMAT ">
                      <w:r w:rsidR="005A436A">
                        <w:rPr>
                          <w:noProof/>
                        </w:rPr>
                        <w:t>4</w:t>
                      </w:r>
                    </w:fldSimple>
                    <w:r w:rsidR="00A167EB" w:rsidRPr="009E6200">
                      <w:t>.</w:t>
                    </w:r>
                    <w:r w:rsidR="00A167EB" w:rsidRPr="009E6200">
                      <w:tab/>
                    </w:r>
                    <w:r w:rsidR="00C94741" w:rsidRPr="009E6200">
                      <w:t>Повышенная чувствительность к препаратам на основе клеток яичников китайского хомячка или к другим рекомбинантным человеческим или приближенным к человеческим антителам;</w:t>
                    </w:r>
                  </w:p>
                  <w:p w14:paraId="03069DCA" w14:textId="49F95281" w:rsidR="00C94741" w:rsidRPr="009E6200" w:rsidRDefault="003B72D4" w:rsidP="007B46F5">
                    <w:pPr>
                      <w:pStyle w:val="SDText"/>
                      <w:ind w:left="444" w:hanging="444"/>
                      <w:jc w:val="both"/>
                    </w:pPr>
                    <w:fldSimple w:instr=" SEQ Exc \* MERGEFORMAT  \* MERGEFORMAT ">
                      <w:r w:rsidR="005A436A">
                        <w:rPr>
                          <w:noProof/>
                        </w:rPr>
                        <w:t>5</w:t>
                      </w:r>
                    </w:fldSimple>
                    <w:r w:rsidR="00A167EB" w:rsidRPr="009E6200">
                      <w:t>.</w:t>
                    </w:r>
                    <w:r w:rsidR="00A167EB" w:rsidRPr="009E6200">
                      <w:tab/>
                    </w:r>
                    <w:r w:rsidR="00C94741" w:rsidRPr="009E6200">
                      <w:t>Гиперчувствительность к таксанам, препаратам платины, рентген-контрастным веществам, препаратам, используемым для премедикации в рамках протокола (дексаметазон, дифенгидрамин, ранитидин) или вспомогательным веществам используемых в исследовании лекарственных препаратов;</w:t>
                    </w:r>
                  </w:p>
                  <w:p w14:paraId="2FE00BD3" w14:textId="10E6A3D7" w:rsidR="00C94741" w:rsidRPr="009E6200" w:rsidRDefault="003B72D4" w:rsidP="007B46F5">
                    <w:pPr>
                      <w:pStyle w:val="SDText"/>
                      <w:ind w:left="444" w:hanging="444"/>
                      <w:jc w:val="both"/>
                    </w:pPr>
                    <w:fldSimple w:instr=" SEQ Exc \* MERGEFORMAT  \* MERGEFORMAT ">
                      <w:r w:rsidR="005A436A">
                        <w:rPr>
                          <w:noProof/>
                        </w:rPr>
                        <w:t>6</w:t>
                      </w:r>
                    </w:fldSimple>
                    <w:r w:rsidR="00A167EB" w:rsidRPr="009E6200">
                      <w:t>.</w:t>
                    </w:r>
                    <w:r w:rsidR="00A167EB" w:rsidRPr="009E6200">
                      <w:tab/>
                    </w:r>
                    <w:r w:rsidR="00C94741" w:rsidRPr="009E6200">
                      <w:t>Плоскоклеточный НМРЛ, мелкоклеточный рак легкого или иные отличные от неплоскоклеточного НМРЛ варианты рака легкого, в т.ч</w:t>
                    </w:r>
                    <w:r w:rsidR="00A167EB" w:rsidRPr="009E6200">
                      <w:t>.</w:t>
                    </w:r>
                    <w:r w:rsidR="00102B1C" w:rsidRPr="009E6200">
                      <w:t xml:space="preserve"> </w:t>
                    </w:r>
                    <w:r w:rsidR="00C94741" w:rsidRPr="009E6200">
                      <w:t>смешанные варианты опухоли;</w:t>
                    </w:r>
                  </w:p>
                  <w:p w14:paraId="41327565" w14:textId="5166D5E6" w:rsidR="00C94741" w:rsidRPr="009E6200" w:rsidRDefault="003B72D4" w:rsidP="007B46F5">
                    <w:pPr>
                      <w:pStyle w:val="SDText"/>
                      <w:ind w:left="444" w:hanging="444"/>
                      <w:jc w:val="both"/>
                    </w:pPr>
                    <w:fldSimple w:instr=" SEQ Exc \* MERGEFORMAT  \* MERGEFORMAT ">
                      <w:r w:rsidR="005A436A">
                        <w:rPr>
                          <w:noProof/>
                        </w:rPr>
                        <w:t>7</w:t>
                      </w:r>
                    </w:fldSimple>
                    <w:r w:rsidR="00A167EB" w:rsidRPr="009E6200">
                      <w:t>.</w:t>
                    </w:r>
                    <w:r w:rsidR="00A167EB" w:rsidRPr="009E6200">
                      <w:tab/>
                    </w:r>
                    <w:r w:rsidR="00205B3E" w:rsidRPr="009E6200">
                      <w:t>Компрессия опухолью крупных кровеносных сосудов или прорастание в сосуды, или распад опухоли;</w:t>
                    </w:r>
                  </w:p>
                  <w:p w14:paraId="47CE8912" w14:textId="426491F3" w:rsidR="00C94741" w:rsidRPr="009E6200" w:rsidRDefault="003B72D4" w:rsidP="007B46F5">
                    <w:pPr>
                      <w:pStyle w:val="SDText"/>
                      <w:ind w:left="444" w:hanging="444"/>
                      <w:jc w:val="both"/>
                    </w:pPr>
                    <w:fldSimple w:instr=" SEQ Exc \* MERGEFORMAT  \* MERGEFORMAT ">
                      <w:r w:rsidR="005A436A">
                        <w:rPr>
                          <w:noProof/>
                        </w:rPr>
                        <w:t>8</w:t>
                      </w:r>
                    </w:fldSimple>
                    <w:r w:rsidR="00A167EB" w:rsidRPr="009E6200">
                      <w:t>.</w:t>
                    </w:r>
                    <w:r w:rsidR="00A167EB" w:rsidRPr="009E6200">
                      <w:tab/>
                    </w:r>
                    <w:r w:rsidR="00927236" w:rsidRPr="009E6200">
                      <w:t xml:space="preserve">Наличие в опухоли мутаций, </w:t>
                    </w:r>
                    <w:r w:rsidR="00C94741" w:rsidRPr="009E6200">
                      <w:t>определяющи</w:t>
                    </w:r>
                    <w:r w:rsidR="00927236" w:rsidRPr="009E6200">
                      <w:t>х</w:t>
                    </w:r>
                    <w:r w:rsidR="00C94741" w:rsidRPr="009E6200">
                      <w:t xml:space="preserve"> чувствительность опухоли к таргетной терапии</w:t>
                    </w:r>
                    <w:r w:rsidR="00927236" w:rsidRPr="009E6200">
                      <w:t xml:space="preserve"> (определение мутаций осуществляется по назначению врача-исследователя</w:t>
                    </w:r>
                    <w:r w:rsidR="00E4588A" w:rsidRPr="009E6200">
                      <w:t>)</w:t>
                    </w:r>
                    <w:r w:rsidR="00C94741" w:rsidRPr="009E6200">
                      <w:t>;</w:t>
                    </w:r>
                  </w:p>
                  <w:p w14:paraId="596D4829" w14:textId="593A72C7" w:rsidR="00C94741" w:rsidRPr="009E6200" w:rsidRDefault="003B72D4" w:rsidP="007B46F5">
                    <w:pPr>
                      <w:pStyle w:val="SDText"/>
                      <w:ind w:left="444" w:hanging="444"/>
                      <w:jc w:val="both"/>
                    </w:pPr>
                    <w:fldSimple w:instr=" SEQ Exc \* MERGEFORMAT  \* MERGEFORMAT ">
                      <w:r w:rsidR="005A436A">
                        <w:rPr>
                          <w:noProof/>
                        </w:rPr>
                        <w:t>9</w:t>
                      </w:r>
                    </w:fldSimple>
                    <w:r w:rsidR="00A167EB" w:rsidRPr="009E6200">
                      <w:t>.</w:t>
                    </w:r>
                    <w:r w:rsidR="00A167EB" w:rsidRPr="009E6200">
                      <w:tab/>
                    </w:r>
                    <w:r w:rsidR="00C94741" w:rsidRPr="009E6200">
                      <w:t>Любое другое онкологическое заболевание в течение 5 лет до скрининга, кроме следующих излеченных видов рака: протокового рака in situ, рака шейки матки in situ, базальноклеточного или плоскоклеточного рака кожи;</w:t>
                    </w:r>
                  </w:p>
                  <w:p w14:paraId="507637D1" w14:textId="15A2FFEF" w:rsidR="00C94741" w:rsidRPr="009E6200" w:rsidRDefault="003B72D4" w:rsidP="007B46F5">
                    <w:pPr>
                      <w:pStyle w:val="SDText"/>
                      <w:ind w:left="444" w:hanging="444"/>
                      <w:jc w:val="both"/>
                    </w:pPr>
                    <w:fldSimple w:instr=" SEQ Exc \* MERGEFORMAT  \* MERGEFORMAT ">
                      <w:r w:rsidR="005A436A">
                        <w:rPr>
                          <w:noProof/>
                        </w:rPr>
                        <w:t>10</w:t>
                      </w:r>
                    </w:fldSimple>
                    <w:r w:rsidR="00A167EB" w:rsidRPr="009E6200">
                      <w:t>.</w:t>
                    </w:r>
                    <w:r w:rsidR="00A167EB" w:rsidRPr="009E6200">
                      <w:tab/>
                    </w:r>
                    <w:r w:rsidR="00C94741" w:rsidRPr="009E6200">
                      <w:t>Единственное визуализируемое опухолевое поражение в виде метастатического асцита, выпота в плевральную полость или полость перикарда, остеобластических костных метастазов, ракового лимфангита легких;</w:t>
                    </w:r>
                  </w:p>
                  <w:p w14:paraId="62482E7B" w14:textId="4781591F" w:rsidR="00C94741" w:rsidRPr="009E6200" w:rsidRDefault="003B72D4" w:rsidP="007B46F5">
                    <w:pPr>
                      <w:pStyle w:val="SDText"/>
                      <w:ind w:left="444" w:hanging="444"/>
                      <w:jc w:val="both"/>
                    </w:pPr>
                    <w:fldSimple w:instr=" SEQ Exc \* MERGEFORMAT  \* MERGEFORMAT ">
                      <w:r w:rsidR="005A436A">
                        <w:rPr>
                          <w:noProof/>
                        </w:rPr>
                        <w:t>11</w:t>
                      </w:r>
                    </w:fldSimple>
                    <w:r w:rsidR="00A167EB" w:rsidRPr="009E6200">
                      <w:t>.</w:t>
                    </w:r>
                    <w:r w:rsidR="00A167EB" w:rsidRPr="009E6200">
                      <w:tab/>
                    </w:r>
                    <w:r w:rsidR="00C94741" w:rsidRPr="009E6200">
                      <w:t>Метастазы в центральную нервную систему, в т.ч</w:t>
                    </w:r>
                    <w:r w:rsidR="00A167EB" w:rsidRPr="009E6200">
                      <w:t>.</w:t>
                    </w:r>
                    <w:r w:rsidR="00A167EB" w:rsidRPr="009E6200">
                      <w:tab/>
                    </w:r>
                    <w:r w:rsidR="00C94741" w:rsidRPr="009E6200">
                      <w:t>в анамнезе;</w:t>
                    </w:r>
                  </w:p>
                  <w:p w14:paraId="062C118F" w14:textId="148C6F7B" w:rsidR="00C94741" w:rsidRPr="009E6200" w:rsidRDefault="003B72D4" w:rsidP="007B46F5">
                    <w:pPr>
                      <w:pStyle w:val="SDText"/>
                      <w:ind w:left="444" w:hanging="444"/>
                      <w:jc w:val="both"/>
                    </w:pPr>
                    <w:fldSimple w:instr=" SEQ Exc \* MERGEFORMAT  \* MERGEFORMAT ">
                      <w:r w:rsidR="005A436A">
                        <w:rPr>
                          <w:noProof/>
                        </w:rPr>
                        <w:t>12</w:t>
                      </w:r>
                    </w:fldSimple>
                    <w:r w:rsidR="00A167EB" w:rsidRPr="009E6200">
                      <w:t>.</w:t>
                    </w:r>
                    <w:r w:rsidR="00A167EB" w:rsidRPr="009E6200">
                      <w:tab/>
                    </w:r>
                    <w:r w:rsidR="00C94741" w:rsidRPr="009E6200">
                      <w:t>Подтвержденная врожденная или приобретенная коагулопатия;</w:t>
                    </w:r>
                  </w:p>
                  <w:p w14:paraId="63AA4B80" w14:textId="377BE25C" w:rsidR="00C94741" w:rsidRDefault="003B72D4" w:rsidP="007B46F5">
                    <w:pPr>
                      <w:pStyle w:val="SDText"/>
                      <w:ind w:left="444" w:hanging="444"/>
                      <w:jc w:val="both"/>
                    </w:pPr>
                    <w:fldSimple w:instr=" SEQ Exc \* MERGEFORMAT  \* MERGEFORMAT ">
                      <w:r w:rsidR="005A436A">
                        <w:rPr>
                          <w:noProof/>
                        </w:rPr>
                        <w:t>13</w:t>
                      </w:r>
                    </w:fldSimple>
                    <w:r w:rsidR="00A167EB" w:rsidRPr="009E6200">
                      <w:t>.</w:t>
                    </w:r>
                    <w:r w:rsidR="00A167EB" w:rsidRPr="009E6200">
                      <w:tab/>
                    </w:r>
                    <w:r w:rsidR="00431353" w:rsidRPr="00141ADB">
                      <w:rPr>
                        <w:rFonts w:cs="Times New Roman"/>
                        <w:noProof/>
                        <w:szCs w:val="24"/>
                      </w:rPr>
                      <w:t>Прием антикоагулянтов, ацетилсалициловой кислоты, антиагрегантов, противоопухолевых средств или лечение этими препаратами менее 1 мес.</w:t>
                    </w:r>
                    <w:r w:rsidR="00431353">
                      <w:rPr>
                        <w:rFonts w:cs="Times New Roman"/>
                        <w:noProof/>
                        <w:szCs w:val="24"/>
                      </w:rPr>
                      <w:t xml:space="preserve"> </w:t>
                    </w:r>
                    <w:r w:rsidR="00431353" w:rsidRPr="00141ADB">
                      <w:rPr>
                        <w:rFonts w:cs="Times New Roman"/>
                        <w:noProof/>
                        <w:szCs w:val="24"/>
                      </w:rPr>
                      <w:t>до рандомизации, а также применение лучевой терапии или других методов лечения основного заболевания менее 1 мес. до рандомизации</w:t>
                    </w:r>
                    <w:r w:rsidR="00C94741" w:rsidRPr="009E6200">
                      <w:t>;</w:t>
                    </w:r>
                  </w:p>
                  <w:p w14:paraId="171F6251" w14:textId="288F9606" w:rsidR="00C94741" w:rsidRPr="009E6200" w:rsidRDefault="00431353" w:rsidP="007B46F5">
                    <w:pPr>
                      <w:pStyle w:val="SDText"/>
                      <w:ind w:left="444" w:hanging="444"/>
                      <w:jc w:val="both"/>
                    </w:pPr>
                    <w:r>
                      <w:t>1</w:t>
                    </w:r>
                    <w:r w:rsidR="00205B3E">
                      <w:t>5</w:t>
                    </w:r>
                    <w:r>
                      <w:t xml:space="preserve">. </w:t>
                    </w:r>
                    <w:r w:rsidR="00205B3E">
                      <w:t xml:space="preserve"> </w:t>
                    </w:r>
                    <w:r w:rsidR="00F2353A" w:rsidRPr="009E6200">
                      <w:t>Г</w:t>
                    </w:r>
                    <w:r w:rsidR="00C94741" w:rsidRPr="009E6200">
                      <w:t>ормональная терапия в течение 21 дня до рандомизации;</w:t>
                    </w:r>
                  </w:p>
                  <w:p w14:paraId="2A0B77B9" w14:textId="32B002EF" w:rsidR="00C94741" w:rsidRPr="009E6200" w:rsidRDefault="00431353" w:rsidP="007B46F5">
                    <w:pPr>
                      <w:pStyle w:val="SDText"/>
                      <w:ind w:left="444" w:hanging="444"/>
                      <w:jc w:val="both"/>
                    </w:pPr>
                    <w:r>
                      <w:t>16</w:t>
                    </w:r>
                    <w:r w:rsidR="00A167EB" w:rsidRPr="009E6200">
                      <w:t>.</w:t>
                    </w:r>
                    <w:r w:rsidR="00A167EB" w:rsidRPr="009E6200">
                      <w:tab/>
                    </w:r>
                    <w:r w:rsidR="00C94741" w:rsidRPr="009E6200">
                      <w:t>Клинически значимые кровотечения в анамнезе, включая</w:t>
                    </w:r>
                    <w:r w:rsidR="001042C7" w:rsidRPr="009E6200">
                      <w:t xml:space="preserve"> кровохарканье и</w:t>
                    </w:r>
                    <w:r w:rsidR="00C94741" w:rsidRPr="009E6200">
                      <w:t xml:space="preserve"> длительные носовые кровотечения</w:t>
                    </w:r>
                    <w:r w:rsidR="00024F6F">
                      <w:t xml:space="preserve"> </w:t>
                    </w:r>
                    <w:r w:rsidR="00024F6F" w:rsidRPr="004B4AB6">
                      <w:rPr>
                        <w:rFonts w:cs="Times New Roman"/>
                        <w:szCs w:val="24"/>
                      </w:rPr>
                      <w:t>(в анамнезе более, чем 2,5 мл крови на событие за последние 3 мес. или коагуляционные нарушения (МНО &gt; 1,5 и АЧТВ выше верхних границ нормы)</w:t>
                    </w:r>
                    <w:r w:rsidR="00C94741" w:rsidRPr="009E6200">
                      <w:t>;</w:t>
                    </w:r>
                  </w:p>
                  <w:p w14:paraId="14FCB3D3" w14:textId="0018A786" w:rsidR="00C94741" w:rsidRPr="009E6200" w:rsidRDefault="00431353" w:rsidP="007B46F5">
                    <w:pPr>
                      <w:pStyle w:val="SDText"/>
                      <w:ind w:left="444" w:hanging="444"/>
                      <w:jc w:val="both"/>
                    </w:pPr>
                    <w:r>
                      <w:t>17</w:t>
                    </w:r>
                    <w:r w:rsidR="00A167EB" w:rsidRPr="009E6200">
                      <w:t>.</w:t>
                    </w:r>
                    <w:r w:rsidR="00A167EB" w:rsidRPr="009E6200">
                      <w:tab/>
                    </w:r>
                    <w:r w:rsidR="00C94741" w:rsidRPr="009E6200">
                      <w:t>Большие хирургические вмешательства в течение 28 дней до рандомизации;</w:t>
                    </w:r>
                  </w:p>
                  <w:p w14:paraId="3D8B614C" w14:textId="6229851E" w:rsidR="00C94741" w:rsidRPr="009E6200" w:rsidRDefault="00431353" w:rsidP="007B46F5">
                    <w:pPr>
                      <w:pStyle w:val="SDText"/>
                      <w:ind w:left="444" w:hanging="444"/>
                      <w:jc w:val="both"/>
                    </w:pPr>
                    <w:r>
                      <w:t>18</w:t>
                    </w:r>
                    <w:r w:rsidR="00A167EB" w:rsidRPr="009E6200">
                      <w:t>.</w:t>
                    </w:r>
                    <w:r w:rsidR="00A167EB" w:rsidRPr="009E6200">
                      <w:tab/>
                    </w:r>
                    <w:r w:rsidR="00C94741" w:rsidRPr="009E6200">
                      <w:t>Абсолютное содержание нейтрофилов &lt; 1,5*10</w:t>
                    </w:r>
                    <w:r w:rsidR="00C94741" w:rsidRPr="009E6200">
                      <w:rPr>
                        <w:vertAlign w:val="superscript"/>
                      </w:rPr>
                      <w:t>9</w:t>
                    </w:r>
                    <w:r w:rsidR="00C94741" w:rsidRPr="009E6200">
                      <w:t>/л;</w:t>
                    </w:r>
                  </w:p>
                  <w:p w14:paraId="27206A91" w14:textId="4AF1ADE5" w:rsidR="00C94741" w:rsidRPr="009E6200" w:rsidRDefault="00431353" w:rsidP="007B46F5">
                    <w:pPr>
                      <w:pStyle w:val="SDText"/>
                      <w:ind w:left="444" w:hanging="444"/>
                      <w:jc w:val="both"/>
                    </w:pPr>
                    <w:r>
                      <w:t>19</w:t>
                    </w:r>
                    <w:r w:rsidR="00A167EB" w:rsidRPr="009E6200">
                      <w:t>.</w:t>
                    </w:r>
                    <w:r w:rsidR="00A167EB" w:rsidRPr="009E6200">
                      <w:tab/>
                    </w:r>
                    <w:r w:rsidR="00C94741" w:rsidRPr="009E6200">
                      <w:t>Количество тромбоцитов &lt; 100*10</w:t>
                    </w:r>
                    <w:r w:rsidR="00C94741" w:rsidRPr="009E6200">
                      <w:rPr>
                        <w:vertAlign w:val="superscript"/>
                      </w:rPr>
                      <w:t>9</w:t>
                    </w:r>
                    <w:r w:rsidR="00C94741" w:rsidRPr="009E6200">
                      <w:t>/л;</w:t>
                    </w:r>
                  </w:p>
                  <w:p w14:paraId="21A4FADE" w14:textId="1FD8B329" w:rsidR="00C94741" w:rsidRPr="009E6200" w:rsidRDefault="00431353" w:rsidP="007B46F5">
                    <w:pPr>
                      <w:pStyle w:val="SDText"/>
                      <w:ind w:left="444" w:hanging="444"/>
                      <w:jc w:val="both"/>
                    </w:pPr>
                    <w:r>
                      <w:t>20</w:t>
                    </w:r>
                    <w:r w:rsidR="00A167EB" w:rsidRPr="009E6200">
                      <w:t>.</w:t>
                    </w:r>
                    <w:r w:rsidR="00A167EB" w:rsidRPr="009E6200">
                      <w:tab/>
                    </w:r>
                    <w:r w:rsidR="00C94741" w:rsidRPr="009E6200">
                      <w:t>Уровень гемоглобина &lt; 90 г/л;</w:t>
                    </w:r>
                  </w:p>
                  <w:p w14:paraId="5138E758" w14:textId="364D3EDA" w:rsidR="00C94741" w:rsidRPr="009E6200" w:rsidRDefault="00431353" w:rsidP="007B46F5">
                    <w:pPr>
                      <w:pStyle w:val="SDText"/>
                      <w:ind w:left="444" w:hanging="444"/>
                      <w:jc w:val="both"/>
                    </w:pPr>
                    <w:r>
                      <w:t>21</w:t>
                    </w:r>
                    <w:r w:rsidR="00A167EB" w:rsidRPr="009E6200">
                      <w:t>.</w:t>
                    </w:r>
                    <w:r w:rsidR="00A167EB" w:rsidRPr="009E6200">
                      <w:tab/>
                    </w:r>
                    <w:r w:rsidR="00C94741" w:rsidRPr="009E6200">
                      <w:t xml:space="preserve">Уровень креатинина ≥ </w:t>
                    </w:r>
                    <w:r w:rsidR="00024F6F" w:rsidRPr="004B4AB6">
                      <w:rPr>
                        <w:rFonts w:cs="Times New Roman"/>
                        <w:szCs w:val="24"/>
                      </w:rPr>
                      <w:t>1,5 верхних границ нормы</w:t>
                    </w:r>
                    <w:r w:rsidR="00C94741" w:rsidRPr="009E6200">
                      <w:t>;</w:t>
                    </w:r>
                  </w:p>
                  <w:p w14:paraId="0F100CDD" w14:textId="27E5D591" w:rsidR="00C94741" w:rsidRPr="009E6200" w:rsidRDefault="00431353" w:rsidP="007B46F5">
                    <w:pPr>
                      <w:pStyle w:val="SDText"/>
                      <w:ind w:left="444" w:hanging="444"/>
                      <w:jc w:val="both"/>
                    </w:pPr>
                    <w:r>
                      <w:t>22</w:t>
                    </w:r>
                    <w:r w:rsidR="00A167EB" w:rsidRPr="009E6200">
                      <w:t>.</w:t>
                    </w:r>
                    <w:r w:rsidR="00A167EB" w:rsidRPr="009E6200">
                      <w:tab/>
                    </w:r>
                    <w:r w:rsidR="00C94741" w:rsidRPr="009E6200">
                      <w:t>Уровень билирубина ≥ 1,5 верхних границ нормы;</w:t>
                    </w:r>
                  </w:p>
                  <w:p w14:paraId="75CA315B" w14:textId="06AC4A53" w:rsidR="00C94741" w:rsidRPr="009E6200" w:rsidRDefault="00431353" w:rsidP="007B46F5">
                    <w:pPr>
                      <w:pStyle w:val="SDText"/>
                      <w:ind w:left="444" w:hanging="444"/>
                      <w:jc w:val="both"/>
                    </w:pPr>
                    <w:r>
                      <w:t>23</w:t>
                    </w:r>
                    <w:r w:rsidR="00A167EB" w:rsidRPr="009E6200">
                      <w:t>.</w:t>
                    </w:r>
                    <w:r w:rsidR="00A167EB" w:rsidRPr="009E6200">
                      <w:tab/>
                    </w:r>
                    <w:r w:rsidR="00C94741" w:rsidRPr="009E6200">
                      <w:t>Уровень АЛТ или АСТ ≥ 2,5 верхних границ нормы (≥ 5 для больных с метастазами в печень);</w:t>
                    </w:r>
                  </w:p>
                  <w:p w14:paraId="68D45D4D" w14:textId="002482AE" w:rsidR="00C94741" w:rsidRPr="009E6200" w:rsidRDefault="00431353" w:rsidP="007B46F5">
                    <w:pPr>
                      <w:pStyle w:val="SDText"/>
                      <w:ind w:left="444" w:hanging="444"/>
                      <w:jc w:val="both"/>
                    </w:pPr>
                    <w:r>
                      <w:t>24</w:t>
                    </w:r>
                    <w:r w:rsidR="00A167EB" w:rsidRPr="009E6200">
                      <w:t>.</w:t>
                    </w:r>
                    <w:r w:rsidR="00A167EB" w:rsidRPr="009E6200">
                      <w:tab/>
                    </w:r>
                    <w:r w:rsidR="00C94741" w:rsidRPr="009E6200">
                      <w:t>Уровень ЩФ ≥ 5 верхних границ нормы;</w:t>
                    </w:r>
                  </w:p>
                  <w:p w14:paraId="360C4CE2" w14:textId="7CB20F4B" w:rsidR="00C94741" w:rsidRPr="009E6200" w:rsidRDefault="00431353" w:rsidP="007B46F5">
                    <w:pPr>
                      <w:pStyle w:val="SDText"/>
                      <w:ind w:left="444" w:hanging="444"/>
                      <w:jc w:val="both"/>
                    </w:pPr>
                    <w:r>
                      <w:t>25</w:t>
                    </w:r>
                    <w:r w:rsidR="00A167EB" w:rsidRPr="009E6200">
                      <w:t>.</w:t>
                    </w:r>
                    <w:r w:rsidR="00A167EB" w:rsidRPr="009E6200">
                      <w:tab/>
                    </w:r>
                    <w:r w:rsidR="00C94741" w:rsidRPr="009E6200">
                      <w:t>Печеночная недостаточность</w:t>
                    </w:r>
                    <w:r w:rsidR="00BE7256">
                      <w:t xml:space="preserve"> </w:t>
                    </w:r>
                    <w:r w:rsidR="00BE7256" w:rsidRPr="004B4AB6">
                      <w:rPr>
                        <w:rFonts w:cs="Times New Roman"/>
                        <w:szCs w:val="24"/>
                      </w:rPr>
                      <w:t>(цирроз печени, хроническая алкогольная интоксикация, интоксикация лекарственными препаратами, поражения вирусными гепатитами)</w:t>
                    </w:r>
                    <w:r w:rsidR="00C94741" w:rsidRPr="009E6200">
                      <w:t>;</w:t>
                    </w:r>
                  </w:p>
                  <w:p w14:paraId="293FDF17" w14:textId="599ACDF9" w:rsidR="00633BD6" w:rsidRDefault="00431353" w:rsidP="007B46F5">
                    <w:pPr>
                      <w:ind w:left="440" w:hanging="440"/>
                      <w:jc w:val="both"/>
                    </w:pPr>
                    <w:r>
                      <w:t>26</w:t>
                    </w:r>
                    <w:r w:rsidR="00A167EB" w:rsidRPr="009E6200">
                      <w:t>.</w:t>
                    </w:r>
                    <w:r w:rsidR="00A167EB" w:rsidRPr="009E6200">
                      <w:tab/>
                    </w:r>
                    <w:r w:rsidR="00D3031C" w:rsidRPr="004B4AB6">
                      <w:rPr>
                        <w:rFonts w:cs="Times New Roman"/>
                        <w:szCs w:val="24"/>
                      </w:rPr>
                      <w:t>Протеинурия по анализу тест-полоски ≥ 2+ (приемлемый уровень - 0, либо следы, либо 1+), если по тест-полоске &gt;1+, собирается суточный анализ мочи для определения уровня белка. Уровень белка в моче должен быть не более 0,3 г/л</w:t>
                    </w:r>
                    <w:r w:rsidR="00D3031C" w:rsidRPr="009E6200">
                      <w:t>;</w:t>
                    </w:r>
                  </w:p>
                  <w:p w14:paraId="1F625564" w14:textId="4A7DCFD3" w:rsidR="00C94741" w:rsidRPr="009E6200" w:rsidRDefault="00431353" w:rsidP="007B46F5">
                    <w:pPr>
                      <w:pStyle w:val="SDText"/>
                      <w:ind w:left="444" w:hanging="444"/>
                      <w:jc w:val="both"/>
                    </w:pPr>
                    <w:r>
                      <w:t>27</w:t>
                    </w:r>
                    <w:r w:rsidR="00A167EB" w:rsidRPr="009E6200">
                      <w:t>.</w:t>
                    </w:r>
                    <w:r w:rsidR="00A167EB" w:rsidRPr="009E6200">
                      <w:tab/>
                    </w:r>
                    <w:r w:rsidR="00C94741" w:rsidRPr="009E6200">
                      <w:t>Артериальные тромбозы и тромбоэмболии в анамнезе;</w:t>
                    </w:r>
                  </w:p>
                  <w:p w14:paraId="1A72B273" w14:textId="6FA35EE7" w:rsidR="00C94741" w:rsidRPr="009E6200" w:rsidRDefault="00431353" w:rsidP="007B46F5">
                    <w:pPr>
                      <w:pStyle w:val="SDText"/>
                      <w:ind w:left="444" w:hanging="444"/>
                      <w:jc w:val="both"/>
                    </w:pPr>
                    <w:r>
                      <w:t>28</w:t>
                    </w:r>
                    <w:r w:rsidR="00A167EB" w:rsidRPr="009E6200">
                      <w:t>.</w:t>
                    </w:r>
                    <w:r w:rsidR="00A167EB" w:rsidRPr="009E6200">
                      <w:tab/>
                    </w:r>
                    <w:r w:rsidR="00C94741" w:rsidRPr="009E6200">
                      <w:t>Венозные тромбозы и тромбоэмболии в анамнезе;</w:t>
                    </w:r>
                  </w:p>
                  <w:p w14:paraId="3D34A671" w14:textId="12CFC3AE" w:rsidR="00C94741" w:rsidRPr="009E6200" w:rsidRDefault="00431353" w:rsidP="007B46F5">
                    <w:pPr>
                      <w:pStyle w:val="SDText"/>
                      <w:ind w:left="444" w:hanging="444"/>
                      <w:jc w:val="both"/>
                    </w:pPr>
                    <w:r>
                      <w:t>29</w:t>
                    </w:r>
                    <w:r w:rsidR="00A167EB" w:rsidRPr="009E6200">
                      <w:t>.</w:t>
                    </w:r>
                    <w:r w:rsidR="00A167EB" w:rsidRPr="009E6200">
                      <w:tab/>
                    </w:r>
                    <w:r w:rsidR="00C94741" w:rsidRPr="009E6200">
                      <w:t>Декомпенсированный сахарный диабет;</w:t>
                    </w:r>
                  </w:p>
                  <w:p w14:paraId="27E20D87" w14:textId="07742753" w:rsidR="00C94741" w:rsidRPr="009E6200" w:rsidRDefault="00431353" w:rsidP="007B46F5">
                    <w:pPr>
                      <w:pStyle w:val="SDText"/>
                      <w:ind w:left="444" w:hanging="444"/>
                      <w:jc w:val="both"/>
                    </w:pPr>
                    <w:r>
                      <w:t>30</w:t>
                    </w:r>
                    <w:r w:rsidR="00A167EB" w:rsidRPr="009E6200">
                      <w:t>.</w:t>
                    </w:r>
                    <w:r w:rsidR="00A167EB" w:rsidRPr="009E6200">
                      <w:tab/>
                    </w:r>
                    <w:r w:rsidR="00C94741" w:rsidRPr="009E6200">
                      <w:t>Клинически значимые сердечно-сосудистые заболевания (ишемическая болезнь сердца или хроническая сердечная недостаточность II-IV классов по классификации сердечной недостаточности Нью-Йоркской Ассоциации Кардиологов (New York Heart Association, NYHA);</w:t>
                    </w:r>
                  </w:p>
                  <w:p w14:paraId="262DAAAB" w14:textId="7E43EBA5" w:rsidR="00C94741" w:rsidRPr="009E6200" w:rsidRDefault="00431353" w:rsidP="007B46F5">
                    <w:pPr>
                      <w:pStyle w:val="SDText"/>
                      <w:ind w:left="444" w:hanging="444"/>
                      <w:jc w:val="both"/>
                    </w:pPr>
                    <w:r>
                      <w:t>31</w:t>
                    </w:r>
                    <w:r w:rsidR="00A167EB" w:rsidRPr="009E6200">
                      <w:t>.</w:t>
                    </w:r>
                    <w:r w:rsidR="00A167EB" w:rsidRPr="009E6200">
                      <w:tab/>
                    </w:r>
                    <w:r w:rsidR="00C94741" w:rsidRPr="009E6200">
                      <w:t>Наличие незаживающих ран кожи или слизистых;</w:t>
                    </w:r>
                  </w:p>
                  <w:p w14:paraId="40F9258F" w14:textId="14B6794F" w:rsidR="00C94741" w:rsidRPr="009E6200" w:rsidRDefault="00431353" w:rsidP="007B46F5">
                    <w:pPr>
                      <w:pStyle w:val="SDText"/>
                      <w:ind w:left="444" w:hanging="444"/>
                      <w:jc w:val="both"/>
                    </w:pPr>
                    <w:r>
                      <w:t>32</w:t>
                    </w:r>
                    <w:r w:rsidR="00A167EB" w:rsidRPr="009E6200">
                      <w:t>.</w:t>
                    </w:r>
                    <w:r w:rsidR="00A167EB" w:rsidRPr="009E6200">
                      <w:tab/>
                    </w:r>
                    <w:r w:rsidR="00C94741" w:rsidRPr="009E6200">
                      <w:t>Активные эрозивно-язвенные поражения ЖКТ;</w:t>
                    </w:r>
                  </w:p>
                  <w:p w14:paraId="3122A4B5" w14:textId="395113D7" w:rsidR="00C94741" w:rsidRPr="009E6200" w:rsidRDefault="00431353" w:rsidP="007B46F5">
                    <w:pPr>
                      <w:pStyle w:val="SDText"/>
                      <w:ind w:left="444" w:hanging="444"/>
                      <w:jc w:val="both"/>
                    </w:pPr>
                    <w:r>
                      <w:t>33</w:t>
                    </w:r>
                    <w:r w:rsidR="00A167EB" w:rsidRPr="009E6200">
                      <w:t>.</w:t>
                    </w:r>
                    <w:r w:rsidR="00A167EB" w:rsidRPr="009E6200">
                      <w:tab/>
                    </w:r>
                    <w:r w:rsidR="00BE7256" w:rsidRPr="004B4AB6">
                      <w:rPr>
                        <w:rFonts w:cs="Times New Roman"/>
                        <w:szCs w:val="24"/>
                      </w:rPr>
                      <w:t>Неконтролируемая артериальная гипертензия (или систолическое АД выше 150 мм.рт.ст. или диастолическое АД выше 100 мм.рт.ст);</w:t>
                    </w:r>
                  </w:p>
                  <w:p w14:paraId="191591B7" w14:textId="4D56930E" w:rsidR="00C94741" w:rsidRPr="009E6200" w:rsidRDefault="00BE7256" w:rsidP="007B46F5">
                    <w:pPr>
                      <w:pStyle w:val="SDText"/>
                      <w:ind w:left="444" w:hanging="444"/>
                      <w:jc w:val="both"/>
                    </w:pPr>
                    <w:r>
                      <w:t>34</w:t>
                    </w:r>
                    <w:r w:rsidR="00A167EB" w:rsidRPr="009E6200">
                      <w:t>.</w:t>
                    </w:r>
                    <w:r w:rsidR="00A167EB" w:rsidRPr="009E6200">
                      <w:tab/>
                    </w:r>
                    <w:r w:rsidR="00C94741" w:rsidRPr="009E6200">
                      <w:t>Перфорации стенки желудка или кишечника в анамнезе;</w:t>
                    </w:r>
                  </w:p>
                  <w:p w14:paraId="6B83EAC6" w14:textId="308A23ED" w:rsidR="00C94741" w:rsidRPr="009E6200" w:rsidRDefault="00BE7256" w:rsidP="007B46F5">
                    <w:pPr>
                      <w:pStyle w:val="SDText"/>
                      <w:ind w:left="444" w:hanging="444"/>
                      <w:jc w:val="both"/>
                    </w:pPr>
                    <w:r>
                      <w:t>35</w:t>
                    </w:r>
                    <w:r w:rsidR="00A167EB" w:rsidRPr="009E6200">
                      <w:t>.</w:t>
                    </w:r>
                    <w:r w:rsidR="00A167EB" w:rsidRPr="009E6200">
                      <w:tab/>
                    </w:r>
                    <w:r w:rsidR="00C94741" w:rsidRPr="009E6200">
                      <w:t>Синдром задней обратимой энцефалопатии (СЗОЭ);</w:t>
                    </w:r>
                  </w:p>
                  <w:p w14:paraId="3ED2B134" w14:textId="6ED0976B" w:rsidR="00C94741" w:rsidRPr="009E6200" w:rsidRDefault="00BE7256" w:rsidP="007B46F5">
                    <w:pPr>
                      <w:pStyle w:val="SDText"/>
                      <w:ind w:left="444" w:hanging="444"/>
                      <w:jc w:val="both"/>
                    </w:pPr>
                    <w:r>
                      <w:t>36</w:t>
                    </w:r>
                    <w:r w:rsidR="00A167EB" w:rsidRPr="009E6200">
                      <w:t>.</w:t>
                    </w:r>
                    <w:r w:rsidR="00A167EB" w:rsidRPr="009E6200">
                      <w:tab/>
                    </w:r>
                    <w:r w:rsidR="00C94741" w:rsidRPr="009E6200">
                      <w:t>Участие пациента в любом другом клиническом исследовании в течение 90 дней до включения в исследование;</w:t>
                    </w:r>
                  </w:p>
                  <w:p w14:paraId="33E4FAB9" w14:textId="08D46FA2" w:rsidR="00C94741" w:rsidRPr="009E6200" w:rsidRDefault="00BE7256" w:rsidP="007B46F5">
                    <w:pPr>
                      <w:pStyle w:val="SDText"/>
                      <w:ind w:left="444" w:hanging="444"/>
                      <w:jc w:val="both"/>
                    </w:pPr>
                    <w:r>
                      <w:t>37</w:t>
                    </w:r>
                    <w:r w:rsidR="00A167EB" w:rsidRPr="009E6200">
                      <w:t>.</w:t>
                    </w:r>
                    <w:r w:rsidR="00A167EB" w:rsidRPr="009E6200">
                      <w:tab/>
                    </w:r>
                    <w:r w:rsidR="00C94741" w:rsidRPr="009E6200">
                      <w:t>Состояния, препятствующие соблюдению пациентом правил участия в исследовании (деменция, неврологические или психические заболевания, наркомания, алкоголизм и др.);</w:t>
                    </w:r>
                  </w:p>
                  <w:p w14:paraId="72735515" w14:textId="0125EBBF" w:rsidR="00C94741" w:rsidRPr="009E6200" w:rsidRDefault="00BE7256" w:rsidP="007B46F5">
                    <w:pPr>
                      <w:pStyle w:val="SDText"/>
                      <w:ind w:left="444" w:hanging="444"/>
                      <w:jc w:val="both"/>
                    </w:pPr>
                    <w:r>
                      <w:t>38</w:t>
                    </w:r>
                    <w:r w:rsidR="00A167EB" w:rsidRPr="009E6200">
                      <w:t>.</w:t>
                    </w:r>
                    <w:r w:rsidR="00A167EB" w:rsidRPr="009E6200">
                      <w:tab/>
                    </w:r>
                    <w:r w:rsidR="00C94741" w:rsidRPr="009E6200">
                      <w:t xml:space="preserve">Нейропатия II–IV стадий по общей терминологии критериев нежелательных явлений (Common Terminology Criteria for Adverse Events, CTCAE, </w:t>
                    </w:r>
                    <w:r w:rsidR="005D3C9B" w:rsidRPr="009E6200">
                      <w:t>версия 5</w:t>
                    </w:r>
                    <w:r w:rsidR="00C94741" w:rsidRPr="009E6200">
                      <w:t>.0);</w:t>
                    </w:r>
                  </w:p>
                  <w:p w14:paraId="4D940A94" w14:textId="40BEBB64" w:rsidR="00C94741" w:rsidRPr="009E6200" w:rsidRDefault="00BE7256" w:rsidP="007B46F5">
                    <w:pPr>
                      <w:pStyle w:val="SDText"/>
                      <w:ind w:left="444" w:hanging="444"/>
                      <w:jc w:val="both"/>
                    </w:pPr>
                    <w:r>
                      <w:t>39</w:t>
                    </w:r>
                    <w:r w:rsidR="00A167EB" w:rsidRPr="009E6200">
                      <w:t>.</w:t>
                    </w:r>
                    <w:r w:rsidR="00A167EB" w:rsidRPr="009E6200">
                      <w:tab/>
                    </w:r>
                    <w:r w:rsidR="00C94741" w:rsidRPr="009E6200">
                      <w:t>Острые инфекционные заболевания, требующие активного химиотерапевтического или хирургического вмешательства на момент включения;</w:t>
                    </w:r>
                  </w:p>
                  <w:p w14:paraId="4366A4A9" w14:textId="6E5A6395" w:rsidR="00C94741" w:rsidRPr="009E6200" w:rsidRDefault="00BE7256" w:rsidP="007B46F5">
                    <w:pPr>
                      <w:pStyle w:val="SDText"/>
                      <w:ind w:left="444" w:hanging="444"/>
                      <w:jc w:val="both"/>
                    </w:pPr>
                    <w:r>
                      <w:t>40</w:t>
                    </w:r>
                    <w:r w:rsidR="00A167EB" w:rsidRPr="009E6200">
                      <w:t>.</w:t>
                    </w:r>
                    <w:r w:rsidR="00A167EB" w:rsidRPr="009E6200">
                      <w:tab/>
                    </w:r>
                    <w:r w:rsidRPr="00F015F1">
                      <w:rPr>
                        <w:rFonts w:cs="Times New Roman"/>
                        <w:szCs w:val="24"/>
                      </w:rPr>
                      <w:t>Очаги хронической инфекции, с большой вероятностью требующие периодического активного медикаментозного или хирургического вмешательства в течение исследования</w:t>
                    </w:r>
                    <w:r w:rsidR="00C94741" w:rsidRPr="009E6200">
                      <w:t>;</w:t>
                    </w:r>
                  </w:p>
                  <w:p w14:paraId="53C7B984" w14:textId="069B8C0B" w:rsidR="00C94741" w:rsidRPr="009E6200" w:rsidRDefault="00BE7256" w:rsidP="007B46F5">
                    <w:pPr>
                      <w:pStyle w:val="SDText"/>
                      <w:ind w:left="444" w:hanging="444"/>
                      <w:jc w:val="both"/>
                    </w:pPr>
                    <w:r>
                      <w:t>41</w:t>
                    </w:r>
                    <w:r w:rsidR="00A167EB" w:rsidRPr="009E6200">
                      <w:t>.</w:t>
                    </w:r>
                    <w:r w:rsidR="00A167EB" w:rsidRPr="009E6200">
                      <w:tab/>
                    </w:r>
                    <w:r w:rsidR="00C94741" w:rsidRPr="009E6200">
                      <w:t>Положительные результаты анализов на HBs-Ag, anti-HCV, анти-ВИЧ или сифилис;</w:t>
                    </w:r>
                  </w:p>
                  <w:p w14:paraId="3024D9CA" w14:textId="35B49137" w:rsidR="007F47FD" w:rsidRPr="009E6200" w:rsidRDefault="00BE7256" w:rsidP="007B46F5">
                    <w:pPr>
                      <w:pStyle w:val="SDText"/>
                      <w:ind w:left="444" w:hanging="444"/>
                      <w:jc w:val="both"/>
                      <w:rPr>
                        <w:lang w:eastAsia="ru-RU"/>
                      </w:rPr>
                    </w:pPr>
                    <w:r>
                      <w:t>42</w:t>
                    </w:r>
                    <w:r w:rsidR="00A167EB" w:rsidRPr="009E6200">
                      <w:t>.</w:t>
                    </w:r>
                    <w:r w:rsidR="004F5B8B" w:rsidRPr="009E6200">
                      <w:tab/>
                    </w:r>
                    <w:r w:rsidR="00C94741" w:rsidRPr="009E6200">
                      <w:t>Невозм</w:t>
                    </w:r>
                    <w:r w:rsidR="00C94741" w:rsidRPr="009E6200">
                      <w:rPr>
                        <w:lang w:eastAsia="ru-RU"/>
                      </w:rPr>
                      <w:t>ожность внутривенного введения лекарственных препаратов.</w:t>
                    </w:r>
                  </w:p>
                </w:tc>
              </w:sdtContent>
            </w:sdt>
          </w:sdtContent>
        </w:sdt>
        <w:bookmarkEnd w:id="23" w:displacedByCustomXml="prev"/>
      </w:tr>
      <w:tr w:rsidR="00F46B68" w:rsidRPr="009E6200" w14:paraId="44BABBA5" w14:textId="77777777" w:rsidTr="007B46F5">
        <w:tc>
          <w:tcPr>
            <w:tcW w:w="1170" w:type="pct"/>
            <w:tcBorders>
              <w:top w:val="single" w:sz="4" w:space="0" w:color="00000A"/>
              <w:left w:val="single" w:sz="4" w:space="0" w:color="00000A"/>
              <w:bottom w:val="single" w:sz="4" w:space="0" w:color="00000A"/>
              <w:right w:val="single" w:sz="4" w:space="0" w:color="00000A"/>
            </w:tcBorders>
            <w:shd w:val="clear" w:color="auto" w:fill="auto"/>
            <w:tcMar>
              <w:top w:w="0" w:type="dxa"/>
              <w:left w:w="57" w:type="dxa"/>
              <w:bottom w:w="0" w:type="dxa"/>
              <w:right w:w="57" w:type="dxa"/>
            </w:tcMar>
          </w:tcPr>
          <w:p w14:paraId="48CA9CE3" w14:textId="5CAF51E5" w:rsidR="007F47FD" w:rsidRPr="009E6200" w:rsidRDefault="007F47FD" w:rsidP="007B46F5">
            <w:pPr>
              <w:pStyle w:val="SDText"/>
              <w:jc w:val="both"/>
              <w:rPr>
                <w:lang w:eastAsia="ru-RU"/>
              </w:rPr>
            </w:pPr>
            <w:r w:rsidRPr="009E6200">
              <w:rPr>
                <w:b/>
                <w:lang w:eastAsia="ru-RU"/>
              </w:rPr>
              <w:t xml:space="preserve">Критерии </w:t>
            </w:r>
            <w:r w:rsidR="00571076" w:rsidRPr="009E6200">
              <w:rPr>
                <w:b/>
                <w:lang w:eastAsia="ru-RU"/>
              </w:rPr>
              <w:t>прекращения терапии</w:t>
            </w:r>
          </w:p>
        </w:tc>
        <w:bookmarkStart w:id="24" w:name="OLE_LINK_Exclusion_criteria" w:displacedByCustomXml="next"/>
        <w:sdt>
          <w:sdtPr>
            <w:rPr>
              <w:szCs w:val="24"/>
            </w:rPr>
            <w:alias w:val="Критерии исключения"/>
            <w:tag w:val="Критерии исключения"/>
            <w:id w:val="-1782557835"/>
            <w:placeholder>
              <w:docPart w:val="DefaultPlaceholder_-1854013440"/>
            </w:placeholder>
          </w:sdtPr>
          <w:sdtEndPr>
            <w:rPr>
              <w:szCs w:val="22"/>
            </w:rPr>
          </w:sdtEndPr>
          <w:sdtContent>
            <w:sdt>
              <w:sdtPr>
                <w:rPr>
                  <w:szCs w:val="24"/>
                </w:rPr>
                <w:alias w:val="Критерии исключения"/>
                <w:tag w:val="Критерии исключения"/>
                <w:id w:val="1228184092"/>
                <w:placeholder>
                  <w:docPart w:val="DE36365E3B9D4D63AECCDDDFC87B12EB"/>
                </w:placeholder>
              </w:sdtPr>
              <w:sdtEndPr>
                <w:rPr>
                  <w:szCs w:val="22"/>
                </w:rPr>
              </w:sdtEndPr>
              <w:sdtContent>
                <w:tc>
                  <w:tcPr>
                    <w:tcW w:w="3830" w:type="pct"/>
                    <w:tcBorders>
                      <w:top w:val="single" w:sz="4" w:space="0" w:color="00000A"/>
                      <w:left w:val="single" w:sz="4" w:space="0" w:color="00000A"/>
                      <w:bottom w:val="single" w:sz="4" w:space="0" w:color="00000A"/>
                      <w:right w:val="single" w:sz="4" w:space="0" w:color="00000A"/>
                    </w:tcBorders>
                    <w:shd w:val="clear" w:color="auto" w:fill="auto"/>
                    <w:tcMar>
                      <w:top w:w="0" w:type="dxa"/>
                      <w:left w:w="57" w:type="dxa"/>
                      <w:bottom w:w="0" w:type="dxa"/>
                      <w:right w:w="57" w:type="dxa"/>
                    </w:tcMar>
                  </w:tcPr>
                  <w:p w14:paraId="10D4FE31" w14:textId="4E11AF8F" w:rsidR="0050126B" w:rsidRPr="009E6200" w:rsidRDefault="00571076" w:rsidP="007B46F5">
                    <w:pPr>
                      <w:jc w:val="both"/>
                    </w:pPr>
                    <w:r w:rsidRPr="009E6200">
                      <w:rPr>
                        <w:rFonts w:cs="Times New Roman"/>
                        <w:szCs w:val="24"/>
                      </w:rPr>
                      <w:t>Лечение пациент</w:t>
                    </w:r>
                    <w:r w:rsidR="00EE3DFF" w:rsidRPr="009E6200">
                      <w:rPr>
                        <w:rFonts w:cs="Times New Roman"/>
                        <w:szCs w:val="24"/>
                      </w:rPr>
                      <w:t>а</w:t>
                    </w:r>
                    <w:r w:rsidRPr="009E6200">
                      <w:rPr>
                        <w:rFonts w:cs="Times New Roman"/>
                        <w:szCs w:val="24"/>
                      </w:rPr>
                      <w:t xml:space="preserve"> прекращается в следующих случаях</w:t>
                    </w:r>
                    <w:r w:rsidR="0050126B" w:rsidRPr="009E6200">
                      <w:rPr>
                        <w:rFonts w:cs="Times New Roman"/>
                        <w:szCs w:val="24"/>
                      </w:rPr>
                      <w:t>:</w:t>
                    </w:r>
                  </w:p>
                  <w:p w14:paraId="56285732" w14:textId="31EB8A1A" w:rsidR="0050126B" w:rsidRPr="009E6200" w:rsidRDefault="007B13CD" w:rsidP="007B46F5">
                    <w:pPr>
                      <w:pStyle w:val="SDText"/>
                      <w:ind w:left="302" w:hanging="302"/>
                      <w:jc w:val="both"/>
                    </w:pPr>
                    <w:r w:rsidRPr="009E6200">
                      <w:t>1</w:t>
                    </w:r>
                    <w:r w:rsidR="009B7F40" w:rsidRPr="009E6200">
                      <w:t>.</w:t>
                    </w:r>
                    <w:r w:rsidR="009B7F40" w:rsidRPr="009E6200">
                      <w:tab/>
                    </w:r>
                    <w:r w:rsidR="0050126B" w:rsidRPr="009E6200">
                      <w:t xml:space="preserve">Исследователем принято решение, что </w:t>
                    </w:r>
                    <w:r w:rsidR="00EE3DFF" w:rsidRPr="009E6200">
                      <w:t xml:space="preserve">лечение следует прекратить </w:t>
                    </w:r>
                    <w:r w:rsidR="0050126B" w:rsidRPr="009E6200">
                      <w:t>в интересах самого пациента;</w:t>
                    </w:r>
                  </w:p>
                  <w:p w14:paraId="5A880A01" w14:textId="07CCFE42" w:rsidR="0050126B" w:rsidRPr="009E6200" w:rsidRDefault="007B13CD" w:rsidP="007B46F5">
                    <w:pPr>
                      <w:pStyle w:val="SDText"/>
                      <w:ind w:left="302" w:hanging="302"/>
                      <w:jc w:val="both"/>
                    </w:pPr>
                    <w:r w:rsidRPr="009E6200">
                      <w:t>2</w:t>
                    </w:r>
                    <w:r w:rsidR="009B7F40" w:rsidRPr="009E6200">
                      <w:t>.</w:t>
                    </w:r>
                    <w:r w:rsidR="009B7F40" w:rsidRPr="009E6200">
                      <w:tab/>
                    </w:r>
                    <w:r w:rsidR="0050126B" w:rsidRPr="009E6200">
                      <w:t>Индивидуальная непереносимость препаратов исследования;</w:t>
                    </w:r>
                  </w:p>
                  <w:p w14:paraId="2FF4B0D1" w14:textId="5E42F1D5" w:rsidR="0050126B" w:rsidRPr="009E6200" w:rsidRDefault="007B13CD" w:rsidP="007B46F5">
                    <w:pPr>
                      <w:pStyle w:val="SDText"/>
                      <w:ind w:left="302" w:hanging="302"/>
                      <w:jc w:val="both"/>
                    </w:pPr>
                    <w:r w:rsidRPr="009E6200">
                      <w:t>3</w:t>
                    </w:r>
                    <w:r w:rsidR="009B7F40" w:rsidRPr="009E6200">
                      <w:t>.</w:t>
                    </w:r>
                    <w:r w:rsidR="009B7F40" w:rsidRPr="009E6200">
                      <w:tab/>
                    </w:r>
                    <w:r w:rsidR="0050126B" w:rsidRPr="009E6200">
                      <w:t>Развитие НЯ/СНЯ, которое требует обследования и/или лечения, оказывающего значимое влияние на процедуры настоящего исследования;</w:t>
                    </w:r>
                  </w:p>
                  <w:p w14:paraId="592FFD58" w14:textId="494459A3" w:rsidR="0050126B" w:rsidRPr="009E6200" w:rsidRDefault="007B13CD" w:rsidP="007B46F5">
                    <w:pPr>
                      <w:pStyle w:val="SDText"/>
                      <w:ind w:left="302" w:hanging="302"/>
                      <w:jc w:val="both"/>
                    </w:pPr>
                    <w:r w:rsidRPr="009E6200">
                      <w:t>4</w:t>
                    </w:r>
                    <w:r w:rsidR="009B7F40" w:rsidRPr="009E6200">
                      <w:t>.</w:t>
                    </w:r>
                    <w:r w:rsidR="009B7F40" w:rsidRPr="009E6200">
                      <w:tab/>
                    </w:r>
                    <w:r w:rsidR="0050126B" w:rsidRPr="009E6200">
                      <w:t>Развитие токсичности, требующей отмены исследуемого препарата/препарата сравнения либо коррекции дозы карбоплатина или паклитаксела более двух раз или необходимость сдвига планового срока введения карбоплатина с паклитакселом более чем на 2 недели;</w:t>
                    </w:r>
                  </w:p>
                  <w:p w14:paraId="2116F462" w14:textId="5E2F9336" w:rsidR="0050126B" w:rsidRPr="009E6200" w:rsidRDefault="007B13CD" w:rsidP="007B46F5">
                    <w:pPr>
                      <w:pStyle w:val="SDText"/>
                      <w:ind w:left="302" w:hanging="302"/>
                      <w:jc w:val="both"/>
                    </w:pPr>
                    <w:r w:rsidRPr="009E6200">
                      <w:t>5</w:t>
                    </w:r>
                    <w:r w:rsidR="009B7F40" w:rsidRPr="009E6200">
                      <w:t>.</w:t>
                    </w:r>
                    <w:r w:rsidR="009B7F40" w:rsidRPr="009E6200">
                      <w:tab/>
                    </w:r>
                    <w:r w:rsidR="0050126B" w:rsidRPr="009E6200">
                      <w:t>Невозможность проведения, как минимум, 4 циклов химиотерапии карбоплатином и паклитакселом;</w:t>
                    </w:r>
                  </w:p>
                  <w:p w14:paraId="08AA1E29" w14:textId="622F6604" w:rsidR="00ED2DCA" w:rsidRPr="009E6200" w:rsidRDefault="007B13CD" w:rsidP="007B46F5">
                    <w:pPr>
                      <w:pStyle w:val="SDText"/>
                      <w:ind w:left="302" w:hanging="302"/>
                      <w:jc w:val="both"/>
                    </w:pPr>
                    <w:r w:rsidRPr="009E6200">
                      <w:t>6</w:t>
                    </w:r>
                    <w:r w:rsidR="00ED2DCA" w:rsidRPr="009E6200">
                      <w:t>. Невозможность выполнения предусмотренных протоколом лучевых методов оценки статуса заболевания (в частности, в связи с развитием почечной недостаточности);</w:t>
                    </w:r>
                  </w:p>
                  <w:p w14:paraId="0153B41C" w14:textId="4F699AC4" w:rsidR="0050126B" w:rsidRPr="009E6200" w:rsidRDefault="007B13CD" w:rsidP="007B46F5">
                    <w:pPr>
                      <w:pStyle w:val="SDText"/>
                      <w:ind w:left="302" w:hanging="302"/>
                      <w:jc w:val="both"/>
                    </w:pPr>
                    <w:r w:rsidRPr="009E6200">
                      <w:t>7</w:t>
                    </w:r>
                    <w:r w:rsidR="009B7F40" w:rsidRPr="009E6200">
                      <w:t>.</w:t>
                    </w:r>
                    <w:r w:rsidR="009B7F40" w:rsidRPr="009E6200">
                      <w:tab/>
                    </w:r>
                    <w:r w:rsidR="0050126B" w:rsidRPr="009E6200">
                      <w:t>Пациент не соблюдает правила участия в исследовании;</w:t>
                    </w:r>
                  </w:p>
                  <w:p w14:paraId="033145E8" w14:textId="0CFA1364" w:rsidR="0050126B" w:rsidRPr="009E6200" w:rsidRDefault="007B13CD" w:rsidP="007B46F5">
                    <w:pPr>
                      <w:pStyle w:val="SDText"/>
                      <w:ind w:left="302" w:hanging="302"/>
                      <w:jc w:val="both"/>
                    </w:pPr>
                    <w:r w:rsidRPr="009E6200">
                      <w:t>8</w:t>
                    </w:r>
                    <w:r w:rsidR="009B7F40" w:rsidRPr="009E6200">
                      <w:t>.</w:t>
                    </w:r>
                    <w:r w:rsidR="009B7F40" w:rsidRPr="009E6200">
                      <w:tab/>
                    </w:r>
                    <w:r w:rsidR="00C15BD7" w:rsidRPr="009E6200">
                      <w:t>В случае о</w:t>
                    </w:r>
                    <w:r w:rsidR="0050126B" w:rsidRPr="009E6200">
                      <w:t>шибочно</w:t>
                    </w:r>
                    <w:r w:rsidR="00C15BD7" w:rsidRPr="009E6200">
                      <w:t>го</w:t>
                    </w:r>
                    <w:r w:rsidR="0050126B" w:rsidRPr="009E6200">
                      <w:t xml:space="preserve"> включени</w:t>
                    </w:r>
                    <w:r w:rsidR="00C15BD7" w:rsidRPr="009E6200">
                      <w:t>я</w:t>
                    </w:r>
                    <w:r w:rsidR="0050126B" w:rsidRPr="009E6200">
                      <w:t xml:space="preserve"> (например, пациент был включен с нарушением критериев включения/невключения протокола)</w:t>
                    </w:r>
                    <w:r w:rsidR="00C15BD7" w:rsidRPr="009E6200">
                      <w:t xml:space="preserve"> лечение пациента прекращается по решению Спонсора</w:t>
                    </w:r>
                    <w:r w:rsidR="0050126B" w:rsidRPr="009E6200">
                      <w:t>;</w:t>
                    </w:r>
                  </w:p>
                  <w:p w14:paraId="14537D72" w14:textId="70C697A0" w:rsidR="0050126B" w:rsidRPr="009E6200" w:rsidRDefault="007B13CD" w:rsidP="007B46F5">
                    <w:pPr>
                      <w:pStyle w:val="SDText"/>
                      <w:ind w:left="302" w:hanging="302"/>
                      <w:jc w:val="both"/>
                    </w:pPr>
                    <w:r w:rsidRPr="009E6200">
                      <w:t>9</w:t>
                    </w:r>
                    <w:r w:rsidR="009B7F40" w:rsidRPr="009E6200">
                      <w:t>.</w:t>
                    </w:r>
                    <w:r w:rsidR="009B7F40" w:rsidRPr="009E6200">
                      <w:tab/>
                    </w:r>
                    <w:r w:rsidR="0050126B" w:rsidRPr="009E6200">
                      <w:t>Наступление беременности;</w:t>
                    </w:r>
                  </w:p>
                  <w:p w14:paraId="62004B2D" w14:textId="0DB3CD17" w:rsidR="0050126B" w:rsidRPr="009E6200" w:rsidRDefault="007B13CD" w:rsidP="007B46F5">
                    <w:pPr>
                      <w:pStyle w:val="SDText"/>
                      <w:ind w:left="302" w:hanging="302"/>
                      <w:jc w:val="both"/>
                    </w:pPr>
                    <w:r w:rsidRPr="009E6200">
                      <w:t>10</w:t>
                    </w:r>
                    <w:r w:rsidR="009B7F40" w:rsidRPr="009E6200">
                      <w:t>.</w:t>
                    </w:r>
                    <w:r w:rsidR="009B7F40" w:rsidRPr="009E6200">
                      <w:tab/>
                    </w:r>
                    <w:r w:rsidR="0050126B" w:rsidRPr="009E6200">
                      <w:t>Пациент получает/нуждается в дополнительном лечении, которое может повлиять на результат исследования или безопасность пациента (см</w:t>
                    </w:r>
                    <w:r w:rsidR="009B7F40" w:rsidRPr="009E6200">
                      <w:t>.</w:t>
                    </w:r>
                    <w:r w:rsidR="009B7F40" w:rsidRPr="009E6200">
                      <w:tab/>
                    </w:r>
                    <w:r w:rsidR="0050126B" w:rsidRPr="009E6200">
                      <w:t>раздел «запрещенная сопутствующая терапия»);</w:t>
                    </w:r>
                  </w:p>
                  <w:p w14:paraId="4050D6DA" w14:textId="5BA6ECEE" w:rsidR="003E4ED7" w:rsidRPr="009E6200" w:rsidRDefault="007B13CD" w:rsidP="007B46F5">
                    <w:pPr>
                      <w:pStyle w:val="SDText"/>
                      <w:ind w:left="302" w:hanging="302"/>
                      <w:jc w:val="both"/>
                    </w:pPr>
                    <w:r w:rsidRPr="009E6200">
                      <w:t>11</w:t>
                    </w:r>
                    <w:r w:rsidR="00BE7256">
                      <w:t xml:space="preserve">. </w:t>
                    </w:r>
                    <w:r w:rsidR="00BE7256" w:rsidRPr="00F015F1">
                      <w:rPr>
                        <w:rFonts w:cs="Times New Roman"/>
                        <w:szCs w:val="24"/>
                      </w:rPr>
                      <w:t>В продленной части исследования и в периоде последующего наблюдения и терапии в случае подтверждения эквивалентности исследуемого препарата препарату сравнения по результатам основной части исследования – отказ пациента от перевода с терапии препаратом Авастин на терапию препаратом RPH-001</w:t>
                    </w:r>
                    <w:r w:rsidR="003E4ED7" w:rsidRPr="009E6200">
                      <w:t>;</w:t>
                    </w:r>
                  </w:p>
                  <w:p w14:paraId="62F993E2" w14:textId="4AF34ABA" w:rsidR="007A2F57" w:rsidRDefault="007B13CD" w:rsidP="007B46F5">
                    <w:pPr>
                      <w:pStyle w:val="SDText"/>
                      <w:ind w:left="302" w:hanging="302"/>
                      <w:jc w:val="both"/>
                    </w:pPr>
                    <w:r w:rsidRPr="009E6200">
                      <w:t>12</w:t>
                    </w:r>
                    <w:r w:rsidR="009B7F40" w:rsidRPr="009E6200">
                      <w:t>.</w:t>
                    </w:r>
                    <w:r w:rsidR="009B7F40" w:rsidRPr="009E6200">
                      <w:tab/>
                    </w:r>
                    <w:r w:rsidR="003E4ED7" w:rsidRPr="009E6200">
                      <w:t xml:space="preserve"> </w:t>
                    </w:r>
                    <w:r w:rsidR="0050126B" w:rsidRPr="009E6200">
                      <w:t>Иные состояния или события, требующие, по мнению врача-исследователя,</w:t>
                    </w:r>
                    <w:r w:rsidR="008D31CC" w:rsidRPr="009E6200">
                      <w:t xml:space="preserve"> прекращения терапии</w:t>
                    </w:r>
                    <w:r w:rsidR="0050126B" w:rsidRPr="009E6200">
                      <w:t>.</w:t>
                    </w:r>
                  </w:p>
                  <w:p w14:paraId="10C084FE" w14:textId="0F61891F" w:rsidR="007F47FD" w:rsidRPr="009E6200" w:rsidRDefault="007A2F57" w:rsidP="007B46F5">
                    <w:pPr>
                      <w:pStyle w:val="SDText"/>
                      <w:jc w:val="both"/>
                    </w:pPr>
                    <w:r>
                      <w:rPr>
                        <w:rFonts w:cs="Times New Roman"/>
                        <w:szCs w:val="24"/>
                      </w:rPr>
                      <w:t xml:space="preserve"> </w:t>
                    </w:r>
                    <w:r w:rsidRPr="00F015F1">
                      <w:rPr>
                        <w:rFonts w:cs="Times New Roman"/>
                        <w:szCs w:val="24"/>
                      </w:rPr>
                      <w:t>В случае, если врач прини</w:t>
                    </w:r>
                    <w:r>
                      <w:rPr>
                        <w:rFonts w:cs="Times New Roman"/>
                        <w:szCs w:val="24"/>
                      </w:rPr>
                      <w:t xml:space="preserve">мает решение прекратить лечение </w:t>
                    </w:r>
                    <w:r w:rsidRPr="00F015F1">
                      <w:rPr>
                        <w:rFonts w:cs="Times New Roman"/>
                        <w:szCs w:val="24"/>
                      </w:rPr>
                      <w:t>пациента в рамках данного исследования, пациенту должен быть проведен визит преждевременного завершения в срок не позднее 21 дня с момента принятия решения об исключении пациента или не позднее начала следующей линии противоопухолевой терапии</w:t>
                    </w:r>
                  </w:p>
                </w:tc>
              </w:sdtContent>
            </w:sdt>
          </w:sdtContent>
        </w:sdt>
        <w:bookmarkEnd w:id="24" w:displacedByCustomXml="prev"/>
      </w:tr>
      <w:tr w:rsidR="00571076" w:rsidRPr="009E6200" w14:paraId="509E2113" w14:textId="77777777" w:rsidTr="007B46F5">
        <w:tc>
          <w:tcPr>
            <w:tcW w:w="1170" w:type="pct"/>
            <w:tcBorders>
              <w:top w:val="single" w:sz="4" w:space="0" w:color="00000A"/>
              <w:left w:val="single" w:sz="4" w:space="0" w:color="00000A"/>
              <w:bottom w:val="single" w:sz="4" w:space="0" w:color="00000A"/>
              <w:right w:val="single" w:sz="4" w:space="0" w:color="00000A"/>
            </w:tcBorders>
            <w:shd w:val="clear" w:color="auto" w:fill="auto"/>
            <w:tcMar>
              <w:top w:w="0" w:type="dxa"/>
              <w:left w:w="57" w:type="dxa"/>
              <w:bottom w:w="0" w:type="dxa"/>
              <w:right w:w="57" w:type="dxa"/>
            </w:tcMar>
          </w:tcPr>
          <w:p w14:paraId="2A21A88F" w14:textId="2647B1FA" w:rsidR="00571076" w:rsidRPr="009E6200" w:rsidRDefault="00571076" w:rsidP="007B46F5">
            <w:pPr>
              <w:pStyle w:val="SDText"/>
              <w:jc w:val="both"/>
              <w:rPr>
                <w:b/>
                <w:lang w:eastAsia="ru-RU"/>
              </w:rPr>
            </w:pPr>
            <w:r w:rsidRPr="009E6200">
              <w:rPr>
                <w:b/>
                <w:lang w:eastAsia="ru-RU"/>
              </w:rPr>
              <w:t>Критерии исключения</w:t>
            </w:r>
          </w:p>
        </w:tc>
        <w:tc>
          <w:tcPr>
            <w:tcW w:w="3830" w:type="pct"/>
            <w:tcBorders>
              <w:top w:val="single" w:sz="4" w:space="0" w:color="00000A"/>
              <w:left w:val="single" w:sz="4" w:space="0" w:color="00000A"/>
              <w:bottom w:val="single" w:sz="4" w:space="0" w:color="00000A"/>
              <w:right w:val="single" w:sz="4" w:space="0" w:color="00000A"/>
            </w:tcBorders>
            <w:shd w:val="clear" w:color="auto" w:fill="auto"/>
            <w:tcMar>
              <w:top w:w="0" w:type="dxa"/>
              <w:left w:w="57" w:type="dxa"/>
              <w:bottom w:w="0" w:type="dxa"/>
              <w:right w:w="57" w:type="dxa"/>
            </w:tcMar>
          </w:tcPr>
          <w:p w14:paraId="02B3A854" w14:textId="77777777" w:rsidR="00571076" w:rsidRPr="009E6200" w:rsidRDefault="00571076" w:rsidP="007B46F5">
            <w:pPr>
              <w:jc w:val="both"/>
              <w:rPr>
                <w:rFonts w:cs="Times New Roman"/>
                <w:szCs w:val="24"/>
              </w:rPr>
            </w:pPr>
            <w:r w:rsidRPr="009E6200">
              <w:rPr>
                <w:rFonts w:cs="Times New Roman"/>
                <w:szCs w:val="24"/>
              </w:rPr>
              <w:t>Пациенты прекращают участие в исследовании в следующих случаях:</w:t>
            </w:r>
          </w:p>
          <w:p w14:paraId="7486B930" w14:textId="77777777" w:rsidR="007A2F57" w:rsidRPr="000A3549" w:rsidRDefault="007A2F57" w:rsidP="007B46F5">
            <w:pPr>
              <w:spacing w:before="240"/>
              <w:ind w:left="298" w:hanging="284"/>
              <w:jc w:val="both"/>
              <w:rPr>
                <w:rFonts w:cs="Times New Roman"/>
                <w:szCs w:val="24"/>
              </w:rPr>
            </w:pPr>
            <w:bookmarkStart w:id="25" w:name="_Hlk27112446"/>
            <w:r w:rsidRPr="000A3549">
              <w:rPr>
                <w:rFonts w:cs="Times New Roman"/>
                <w:szCs w:val="24"/>
              </w:rPr>
              <w:t>1.</w:t>
            </w:r>
            <w:r w:rsidRPr="000A3549">
              <w:rPr>
                <w:rFonts w:cs="Times New Roman"/>
                <w:szCs w:val="24"/>
              </w:rPr>
              <w:tab/>
              <w:t>Отзыв информированного согласия (нежелание пациента продолжать участие в исследовании);</w:t>
            </w:r>
          </w:p>
          <w:p w14:paraId="684C4273" w14:textId="1A475B86" w:rsidR="00F16BBD" w:rsidRPr="007B46F5" w:rsidRDefault="007A2F57" w:rsidP="007B46F5">
            <w:pPr>
              <w:ind w:left="298" w:hanging="284"/>
              <w:jc w:val="both"/>
              <w:rPr>
                <w:szCs w:val="24"/>
              </w:rPr>
            </w:pPr>
            <w:r w:rsidRPr="007A2F57">
              <w:rPr>
                <w:szCs w:val="24"/>
              </w:rPr>
              <w:t>2.</w:t>
            </w:r>
            <w:r w:rsidRPr="007A2F57">
              <w:rPr>
                <w:szCs w:val="24"/>
              </w:rPr>
              <w:tab/>
              <w:t>Прекращение исследования в целом (см. Раздел 4.7)</w:t>
            </w:r>
            <w:r w:rsidR="00A61F51" w:rsidRPr="007A2F57">
              <w:rPr>
                <w:szCs w:val="24"/>
              </w:rPr>
              <w:t>.</w:t>
            </w:r>
            <w:bookmarkEnd w:id="25"/>
          </w:p>
        </w:tc>
      </w:tr>
      <w:tr w:rsidR="00F46B68" w:rsidRPr="009E6200" w14:paraId="4690000A" w14:textId="77777777" w:rsidTr="007B46F5">
        <w:tc>
          <w:tcPr>
            <w:tcW w:w="1170" w:type="pct"/>
            <w:tcBorders>
              <w:top w:val="single" w:sz="4" w:space="0" w:color="00000A"/>
              <w:left w:val="single" w:sz="4" w:space="0" w:color="00000A"/>
              <w:bottom w:val="single" w:sz="4" w:space="0" w:color="00000A"/>
              <w:right w:val="single" w:sz="4" w:space="0" w:color="00000A"/>
            </w:tcBorders>
            <w:shd w:val="clear" w:color="auto" w:fill="auto"/>
            <w:tcMar>
              <w:top w:w="0" w:type="dxa"/>
              <w:left w:w="57" w:type="dxa"/>
              <w:bottom w:w="0" w:type="dxa"/>
              <w:right w:w="57" w:type="dxa"/>
            </w:tcMar>
          </w:tcPr>
          <w:p w14:paraId="4ABD8BB2" w14:textId="77777777" w:rsidR="007F47FD" w:rsidRPr="009E6200" w:rsidRDefault="007F47FD" w:rsidP="007B46F5">
            <w:pPr>
              <w:pStyle w:val="SDText"/>
              <w:jc w:val="both"/>
              <w:rPr>
                <w:b/>
                <w:lang w:eastAsia="ru-RU"/>
              </w:rPr>
            </w:pPr>
            <w:r w:rsidRPr="009E6200">
              <w:rPr>
                <w:b/>
                <w:lang w:eastAsia="ru-RU"/>
              </w:rPr>
              <w:t>Запрещенная сопутствующая терапия</w:t>
            </w:r>
          </w:p>
        </w:tc>
        <w:bookmarkStart w:id="26" w:name="OLE_LINK_Zaprechennaya_terapia" w:displacedByCustomXml="next"/>
        <w:sdt>
          <w:sdtPr>
            <w:rPr>
              <w:lang w:eastAsia="ru-RU"/>
            </w:rPr>
            <w:alias w:val="Запрещенная сопутствующая терапия"/>
            <w:tag w:val="Запрещенная сопутствующая терапия"/>
            <w:id w:val="1634130573"/>
            <w:placeholder>
              <w:docPart w:val="8371E8439B86420E951257FDB2167ED2"/>
            </w:placeholder>
          </w:sdtPr>
          <w:sdtEndPr/>
          <w:sdtContent>
            <w:tc>
              <w:tcPr>
                <w:tcW w:w="3830" w:type="pct"/>
                <w:tcBorders>
                  <w:top w:val="single" w:sz="4" w:space="0" w:color="00000A"/>
                  <w:left w:val="single" w:sz="4" w:space="0" w:color="00000A"/>
                  <w:bottom w:val="single" w:sz="4" w:space="0" w:color="00000A"/>
                  <w:right w:val="single" w:sz="4" w:space="0" w:color="00000A"/>
                </w:tcBorders>
                <w:shd w:val="clear" w:color="auto" w:fill="auto"/>
                <w:tcMar>
                  <w:top w:w="0" w:type="dxa"/>
                  <w:left w:w="57" w:type="dxa"/>
                  <w:bottom w:w="0" w:type="dxa"/>
                  <w:right w:w="57" w:type="dxa"/>
                </w:tcMar>
              </w:tcPr>
              <w:p w14:paraId="56F63CCD" w14:textId="55562F35" w:rsidR="007A2F57" w:rsidRPr="009E6200" w:rsidRDefault="00527166" w:rsidP="007B46F5">
                <w:pPr>
                  <w:pStyle w:val="SDText"/>
                  <w:ind w:left="302" w:hanging="284"/>
                  <w:jc w:val="both"/>
                  <w:rPr>
                    <w:lang w:eastAsia="ru-RU"/>
                  </w:rPr>
                </w:pPr>
                <w:r w:rsidRPr="009E6200">
                  <w:fldChar w:fldCharType="begin"/>
                </w:r>
                <w:r w:rsidRPr="009E6200">
                  <w:instrText xml:space="preserve"> </w:instrText>
                </w:r>
                <w:r w:rsidRPr="009E6200">
                  <w:rPr>
                    <w:lang w:val="en-US"/>
                  </w:rPr>
                  <w:instrText>SEQ</w:instrText>
                </w:r>
                <w:r w:rsidRPr="009E6200">
                  <w:instrText xml:space="preserve"> </w:instrText>
                </w:r>
                <w:r w:rsidRPr="009E6200">
                  <w:rPr>
                    <w:lang w:val="en-US"/>
                  </w:rPr>
                  <w:instrText>ZaprTherapia</w:instrText>
                </w:r>
                <w:r w:rsidRPr="009E6200">
                  <w:instrText xml:space="preserve"> \* </w:instrText>
                </w:r>
                <w:r w:rsidRPr="009E6200">
                  <w:rPr>
                    <w:lang w:val="en-US"/>
                  </w:rPr>
                  <w:instrText>MERGEFORMAT</w:instrText>
                </w:r>
                <w:r w:rsidRPr="009E6200">
                  <w:instrText xml:space="preserve"> </w:instrText>
                </w:r>
                <w:r w:rsidRPr="009E6200">
                  <w:fldChar w:fldCharType="separate"/>
                </w:r>
                <w:r w:rsidR="005A436A" w:rsidRPr="005A436A">
                  <w:rPr>
                    <w:noProof/>
                  </w:rPr>
                  <w:t>1</w:t>
                </w:r>
                <w:r w:rsidRPr="009E6200">
                  <w:fldChar w:fldCharType="end"/>
                </w:r>
                <w:r w:rsidR="00042D49" w:rsidRPr="009E6200">
                  <w:tab/>
                </w:r>
                <w:r w:rsidR="007A2F57" w:rsidRPr="00B35F6C">
                  <w:rPr>
                    <w:lang w:eastAsia="ru-RU"/>
                  </w:rPr>
                  <w:t>Антикоагулянты</w:t>
                </w:r>
                <w:r w:rsidR="007A2F57" w:rsidRPr="001652C0">
                  <w:rPr>
                    <w:lang w:eastAsia="ru-RU"/>
                  </w:rPr>
                  <w:t xml:space="preserve"> </w:t>
                </w:r>
                <w:r w:rsidR="007A2F57">
                  <w:rPr>
                    <w:lang w:eastAsia="ru-RU"/>
                  </w:rPr>
                  <w:t xml:space="preserve">запрещены для всех участников исследования, кроме пациентов с подтвержденным </w:t>
                </w:r>
                <w:r w:rsidR="007A2F57">
                  <w:rPr>
                    <w:lang w:val="en-US" w:eastAsia="ru-RU"/>
                  </w:rPr>
                  <w:t>COVID</w:t>
                </w:r>
                <w:r w:rsidR="007A2F57" w:rsidRPr="001652C0">
                  <w:rPr>
                    <w:lang w:eastAsia="ru-RU"/>
                  </w:rPr>
                  <w:t>-19</w:t>
                </w:r>
                <w:r w:rsidR="007A2F57">
                  <w:rPr>
                    <w:lang w:eastAsia="ru-RU"/>
                  </w:rPr>
                  <w:t xml:space="preserve"> с высоким риском тромботических явлений. Терапию бевацизумабом на период лечения новой коронавируской инфекции прерывать не следует, если этого не требует состояние пациента, по мнению главного исследователя. На период терапии антикоагулянтами назначают контроль АЧТВ с частотой не реже 2 раз в неделю</w:t>
                </w:r>
                <w:r w:rsidR="007A2F57" w:rsidRPr="009E6200">
                  <w:rPr>
                    <w:lang w:eastAsia="ru-RU"/>
                  </w:rPr>
                  <w:t>;</w:t>
                </w:r>
              </w:p>
              <w:p w14:paraId="3F877697" w14:textId="3C17F9A1" w:rsidR="007A2F57" w:rsidRPr="009E6200" w:rsidRDefault="007A2F57" w:rsidP="007B46F5">
                <w:pPr>
                  <w:pStyle w:val="SDText"/>
                  <w:ind w:left="302" w:hanging="284"/>
                  <w:jc w:val="both"/>
                  <w:rPr>
                    <w:lang w:eastAsia="ru-RU"/>
                  </w:rPr>
                </w:pPr>
                <w:r w:rsidRPr="009E6200">
                  <w:fldChar w:fldCharType="begin"/>
                </w:r>
                <w:r w:rsidRPr="009E6200">
                  <w:instrText xml:space="preserve"> </w:instrText>
                </w:r>
                <w:r w:rsidRPr="009E6200">
                  <w:rPr>
                    <w:lang w:val="en-US"/>
                  </w:rPr>
                  <w:instrText>SEQ</w:instrText>
                </w:r>
                <w:r w:rsidRPr="009E6200">
                  <w:instrText xml:space="preserve"> </w:instrText>
                </w:r>
                <w:r w:rsidRPr="009E6200">
                  <w:rPr>
                    <w:lang w:val="en-US"/>
                  </w:rPr>
                  <w:instrText>ZaprTherapia</w:instrText>
                </w:r>
                <w:r w:rsidRPr="009E6200">
                  <w:instrText xml:space="preserve"> \* </w:instrText>
                </w:r>
                <w:r w:rsidRPr="009E6200">
                  <w:rPr>
                    <w:lang w:val="en-US"/>
                  </w:rPr>
                  <w:instrText>MERGEFORMAT</w:instrText>
                </w:r>
                <w:r w:rsidRPr="009E6200">
                  <w:instrText xml:space="preserve"> </w:instrText>
                </w:r>
                <w:r w:rsidRPr="009E6200">
                  <w:fldChar w:fldCharType="separate"/>
                </w:r>
                <w:r w:rsidR="005A436A" w:rsidRPr="005A436A">
                  <w:rPr>
                    <w:noProof/>
                  </w:rPr>
                  <w:t>2</w:t>
                </w:r>
                <w:r w:rsidRPr="009E6200">
                  <w:fldChar w:fldCharType="end"/>
                </w:r>
                <w:r w:rsidRPr="009E6200">
                  <w:t>.</w:t>
                </w:r>
                <w:r w:rsidRPr="009E6200">
                  <w:tab/>
                </w:r>
                <w:r w:rsidRPr="009E6200">
                  <w:rPr>
                    <w:lang w:eastAsia="ru-RU"/>
                  </w:rPr>
                  <w:t>Ацетилсалициловая кислота;</w:t>
                </w:r>
              </w:p>
              <w:p w14:paraId="4ADD4AD5" w14:textId="1DC475C2" w:rsidR="007A2F57" w:rsidRPr="009E6200" w:rsidRDefault="007A2F57" w:rsidP="007B46F5">
                <w:pPr>
                  <w:pStyle w:val="SDText"/>
                  <w:ind w:left="302" w:hanging="284"/>
                  <w:jc w:val="both"/>
                  <w:rPr>
                    <w:lang w:eastAsia="ru-RU"/>
                  </w:rPr>
                </w:pPr>
                <w:r w:rsidRPr="009E6200">
                  <w:fldChar w:fldCharType="begin"/>
                </w:r>
                <w:r w:rsidRPr="009E6200">
                  <w:instrText xml:space="preserve"> </w:instrText>
                </w:r>
                <w:r w:rsidRPr="009E6200">
                  <w:rPr>
                    <w:lang w:val="en-US"/>
                  </w:rPr>
                  <w:instrText>SEQ</w:instrText>
                </w:r>
                <w:r w:rsidRPr="009E6200">
                  <w:instrText xml:space="preserve"> </w:instrText>
                </w:r>
                <w:r w:rsidRPr="009E6200">
                  <w:rPr>
                    <w:lang w:val="en-US"/>
                  </w:rPr>
                  <w:instrText>ZaprTherapia</w:instrText>
                </w:r>
                <w:r w:rsidRPr="009E6200">
                  <w:instrText xml:space="preserve"> \* </w:instrText>
                </w:r>
                <w:r w:rsidRPr="009E6200">
                  <w:rPr>
                    <w:lang w:val="en-US"/>
                  </w:rPr>
                  <w:instrText>MERGEFORMAT</w:instrText>
                </w:r>
                <w:r w:rsidRPr="009E6200">
                  <w:instrText xml:space="preserve"> </w:instrText>
                </w:r>
                <w:r w:rsidRPr="009E6200">
                  <w:fldChar w:fldCharType="separate"/>
                </w:r>
                <w:r w:rsidR="005A436A" w:rsidRPr="005A436A">
                  <w:rPr>
                    <w:noProof/>
                  </w:rPr>
                  <w:t>3</w:t>
                </w:r>
                <w:r w:rsidRPr="009E6200">
                  <w:fldChar w:fldCharType="end"/>
                </w:r>
                <w:r w:rsidRPr="009E6200">
                  <w:t>.</w:t>
                </w:r>
                <w:r w:rsidRPr="009E6200">
                  <w:tab/>
                </w:r>
                <w:r w:rsidRPr="009E6200">
                  <w:rPr>
                    <w:lang w:eastAsia="ru-RU"/>
                  </w:rPr>
                  <w:t>Антиагреганты;</w:t>
                </w:r>
              </w:p>
              <w:p w14:paraId="268CAE43" w14:textId="63FA30C1" w:rsidR="007A2F57" w:rsidRPr="009E6200" w:rsidRDefault="007A2F57" w:rsidP="007B46F5">
                <w:pPr>
                  <w:pStyle w:val="SDText"/>
                  <w:ind w:left="302" w:hanging="284"/>
                  <w:jc w:val="both"/>
                  <w:rPr>
                    <w:lang w:eastAsia="ru-RU"/>
                  </w:rPr>
                </w:pPr>
                <w:r w:rsidRPr="009E6200">
                  <w:fldChar w:fldCharType="begin"/>
                </w:r>
                <w:r w:rsidRPr="009E6200">
                  <w:instrText xml:space="preserve"> </w:instrText>
                </w:r>
                <w:r w:rsidRPr="009E6200">
                  <w:rPr>
                    <w:lang w:val="en-US"/>
                  </w:rPr>
                  <w:instrText>SEQ</w:instrText>
                </w:r>
                <w:r w:rsidRPr="009E6200">
                  <w:instrText xml:space="preserve"> </w:instrText>
                </w:r>
                <w:r w:rsidRPr="009E6200">
                  <w:rPr>
                    <w:lang w:val="en-US"/>
                  </w:rPr>
                  <w:instrText>ZaprTherapia</w:instrText>
                </w:r>
                <w:r w:rsidRPr="009E6200">
                  <w:instrText xml:space="preserve"> \* </w:instrText>
                </w:r>
                <w:r w:rsidRPr="009E6200">
                  <w:rPr>
                    <w:lang w:val="en-US"/>
                  </w:rPr>
                  <w:instrText>MERGEFORMAT</w:instrText>
                </w:r>
                <w:r w:rsidRPr="009E6200">
                  <w:instrText xml:space="preserve"> </w:instrText>
                </w:r>
                <w:r w:rsidRPr="009E6200">
                  <w:fldChar w:fldCharType="separate"/>
                </w:r>
                <w:r w:rsidR="005A436A" w:rsidRPr="005A436A">
                  <w:rPr>
                    <w:noProof/>
                  </w:rPr>
                  <w:t>4</w:t>
                </w:r>
                <w:r w:rsidRPr="009E6200">
                  <w:fldChar w:fldCharType="end"/>
                </w:r>
                <w:r w:rsidRPr="009E6200">
                  <w:t>.</w:t>
                </w:r>
                <w:r w:rsidRPr="009E6200">
                  <w:tab/>
                </w:r>
                <w:r w:rsidRPr="009E6200">
                  <w:rPr>
                    <w:lang w:eastAsia="ru-RU"/>
                  </w:rPr>
                  <w:t>Противоопухолевые средства, помимо предусмотренных протоколом;</w:t>
                </w:r>
              </w:p>
              <w:p w14:paraId="7E0614DB" w14:textId="35F3AFD7" w:rsidR="007A2F57" w:rsidRPr="009E6200" w:rsidRDefault="007A2F57" w:rsidP="007B46F5">
                <w:pPr>
                  <w:pStyle w:val="SDText"/>
                  <w:ind w:left="302" w:hanging="284"/>
                  <w:jc w:val="both"/>
                  <w:rPr>
                    <w:lang w:eastAsia="ru-RU"/>
                  </w:rPr>
                </w:pPr>
                <w:r w:rsidRPr="009E6200">
                  <w:fldChar w:fldCharType="begin"/>
                </w:r>
                <w:r w:rsidRPr="009E6200">
                  <w:instrText xml:space="preserve"> </w:instrText>
                </w:r>
                <w:r w:rsidRPr="009E6200">
                  <w:rPr>
                    <w:lang w:val="en-US"/>
                  </w:rPr>
                  <w:instrText>SEQ</w:instrText>
                </w:r>
                <w:r w:rsidRPr="009E6200">
                  <w:instrText xml:space="preserve"> </w:instrText>
                </w:r>
                <w:r w:rsidRPr="009E6200">
                  <w:rPr>
                    <w:lang w:val="en-US"/>
                  </w:rPr>
                  <w:instrText>ZaprTherapia</w:instrText>
                </w:r>
                <w:r w:rsidRPr="009E6200">
                  <w:instrText xml:space="preserve"> \* </w:instrText>
                </w:r>
                <w:r w:rsidRPr="009E6200">
                  <w:rPr>
                    <w:lang w:val="en-US"/>
                  </w:rPr>
                  <w:instrText>MERGEFORMAT</w:instrText>
                </w:r>
                <w:r w:rsidRPr="009E6200">
                  <w:instrText xml:space="preserve"> </w:instrText>
                </w:r>
                <w:r w:rsidRPr="009E6200">
                  <w:fldChar w:fldCharType="separate"/>
                </w:r>
                <w:r w:rsidR="005A436A" w:rsidRPr="005A436A">
                  <w:rPr>
                    <w:noProof/>
                  </w:rPr>
                  <w:t>5</w:t>
                </w:r>
                <w:r w:rsidRPr="009E6200">
                  <w:fldChar w:fldCharType="end"/>
                </w:r>
                <w:r w:rsidRPr="009E6200">
                  <w:t>.</w:t>
                </w:r>
                <w:r w:rsidRPr="009E6200">
                  <w:tab/>
                </w:r>
                <w:r w:rsidRPr="009E6200">
                  <w:rPr>
                    <w:lang w:eastAsia="ru-RU"/>
                  </w:rPr>
                  <w:t>Лучевая терапия;</w:t>
                </w:r>
              </w:p>
              <w:p w14:paraId="4A5B1191" w14:textId="01F69A12" w:rsidR="007A2F57" w:rsidRPr="009E6200" w:rsidRDefault="007A2F57" w:rsidP="007B46F5">
                <w:pPr>
                  <w:pStyle w:val="SDText"/>
                  <w:ind w:left="302" w:hanging="284"/>
                  <w:jc w:val="both"/>
                  <w:rPr>
                    <w:lang w:eastAsia="ru-RU"/>
                  </w:rPr>
                </w:pPr>
                <w:r w:rsidRPr="009E6200">
                  <w:fldChar w:fldCharType="begin"/>
                </w:r>
                <w:r w:rsidRPr="009E6200">
                  <w:instrText xml:space="preserve"> </w:instrText>
                </w:r>
                <w:r w:rsidRPr="009E6200">
                  <w:rPr>
                    <w:lang w:val="en-US"/>
                  </w:rPr>
                  <w:instrText>SEQ</w:instrText>
                </w:r>
                <w:r w:rsidRPr="009E6200">
                  <w:instrText xml:space="preserve"> </w:instrText>
                </w:r>
                <w:r w:rsidRPr="009E6200">
                  <w:rPr>
                    <w:lang w:val="en-US"/>
                  </w:rPr>
                  <w:instrText>ZaprTherapia</w:instrText>
                </w:r>
                <w:r w:rsidRPr="009E6200">
                  <w:instrText xml:space="preserve"> \* </w:instrText>
                </w:r>
                <w:r w:rsidRPr="009E6200">
                  <w:rPr>
                    <w:lang w:val="en-US"/>
                  </w:rPr>
                  <w:instrText>MERGEFORMAT</w:instrText>
                </w:r>
                <w:r w:rsidRPr="009E6200">
                  <w:instrText xml:space="preserve"> </w:instrText>
                </w:r>
                <w:r w:rsidRPr="009E6200">
                  <w:fldChar w:fldCharType="separate"/>
                </w:r>
                <w:r w:rsidR="005A436A" w:rsidRPr="005A436A">
                  <w:rPr>
                    <w:noProof/>
                  </w:rPr>
                  <w:t>6</w:t>
                </w:r>
                <w:r w:rsidRPr="009E6200">
                  <w:fldChar w:fldCharType="end"/>
                </w:r>
                <w:r w:rsidRPr="009E6200">
                  <w:t>.</w:t>
                </w:r>
                <w:r w:rsidRPr="009E6200">
                  <w:tab/>
                </w:r>
                <w:r w:rsidRPr="009E6200">
                  <w:rPr>
                    <w:lang w:eastAsia="ru-RU"/>
                  </w:rPr>
                  <w:t>Другие виды лечения основного заболевания, кроме предусмотренных протоколом.</w:t>
                </w:r>
              </w:p>
              <w:p w14:paraId="28B7DD03" w14:textId="06F097A5" w:rsidR="000A55EF" w:rsidRPr="009E6200" w:rsidRDefault="000A55EF" w:rsidP="007B46F5">
                <w:pPr>
                  <w:pStyle w:val="SDText"/>
                  <w:ind w:left="302" w:hanging="284"/>
                  <w:jc w:val="both"/>
                  <w:rPr>
                    <w:lang w:eastAsia="ru-RU"/>
                  </w:rPr>
                </w:pPr>
              </w:p>
              <w:p w14:paraId="4723E188" w14:textId="2D4F4B9E" w:rsidR="007F47FD" w:rsidRPr="009E6200" w:rsidRDefault="007A2F57" w:rsidP="007B46F5">
                <w:pPr>
                  <w:pStyle w:val="SDText"/>
                  <w:ind w:left="19" w:hanging="1"/>
                  <w:jc w:val="both"/>
                  <w:rPr>
                    <w:lang w:eastAsia="ru-RU"/>
                  </w:rPr>
                </w:pPr>
                <w:r w:rsidRPr="009E6200">
                  <w:rPr>
                    <w:lang w:eastAsia="ru-RU"/>
                  </w:rPr>
                  <w:t>Применение нестероидных противовоспалительных препаратов возможно только при одновременной гастропротекции и энтеропротекции (назначение ингибиторов протонной помпы и ребамипида).</w:t>
                </w:r>
                <w:r>
                  <w:rPr>
                    <w:lang w:eastAsia="ru-RU"/>
                  </w:rPr>
                  <w:t xml:space="preserve"> </w:t>
                </w:r>
                <w:r>
                  <w:rPr>
                    <w:rFonts w:cs="Times New Roman"/>
                    <w:szCs w:val="24"/>
                  </w:rPr>
                  <w:t>Для пациентов</w:t>
                </w:r>
                <w:r w:rsidR="00A11119">
                  <w:rPr>
                    <w:rFonts w:cs="Times New Roman"/>
                    <w:szCs w:val="24"/>
                  </w:rPr>
                  <w:t xml:space="preserve">, у которых выявлены </w:t>
                </w:r>
                <w:r>
                  <w:rPr>
                    <w:rFonts w:cs="Times New Roman"/>
                    <w:szCs w:val="24"/>
                  </w:rPr>
                  <w:t>ме</w:t>
                </w:r>
                <w:r w:rsidRPr="00EE650A">
                  <w:rPr>
                    <w:rFonts w:cs="Times New Roman"/>
                    <w:szCs w:val="24"/>
                  </w:rPr>
                  <w:t>тастазы в костях</w:t>
                </w:r>
                <w:r w:rsidR="00A11119">
                  <w:rPr>
                    <w:rFonts w:cs="Times New Roman"/>
                    <w:szCs w:val="24"/>
                  </w:rPr>
                  <w:t>,</w:t>
                </w:r>
                <w:r w:rsidRPr="00EE650A">
                  <w:rPr>
                    <w:rFonts w:cs="Times New Roman"/>
                    <w:szCs w:val="24"/>
                  </w:rPr>
                  <w:t xml:space="preserve"> разрешено назначение бисфосфонатов или ингибиторов RANKL</w:t>
                </w:r>
                <w:r>
                  <w:rPr>
                    <w:rFonts w:cs="Times New Roman"/>
                    <w:szCs w:val="24"/>
                  </w:rPr>
                  <w:t xml:space="preserve"> (например, деносумаб).</w:t>
                </w:r>
              </w:p>
            </w:tc>
          </w:sdtContent>
        </w:sdt>
        <w:bookmarkEnd w:id="26" w:displacedByCustomXml="prev"/>
      </w:tr>
      <w:tr w:rsidR="00F46B68" w:rsidRPr="009E6200" w14:paraId="2AFE6D42" w14:textId="77777777" w:rsidTr="007B46F5">
        <w:trPr>
          <w:trHeight w:val="332"/>
        </w:trPr>
        <w:tc>
          <w:tcPr>
            <w:tcW w:w="1170" w:type="pct"/>
            <w:tcBorders>
              <w:top w:val="single" w:sz="4" w:space="0" w:color="00000A"/>
              <w:left w:val="single" w:sz="4" w:space="0" w:color="00000A"/>
              <w:bottom w:val="single" w:sz="4" w:space="0" w:color="00000A"/>
              <w:right w:val="single" w:sz="4" w:space="0" w:color="00000A"/>
            </w:tcBorders>
            <w:shd w:val="clear" w:color="auto" w:fill="auto"/>
            <w:tcMar>
              <w:top w:w="0" w:type="dxa"/>
              <w:left w:w="57" w:type="dxa"/>
              <w:bottom w:w="0" w:type="dxa"/>
              <w:right w:w="57" w:type="dxa"/>
            </w:tcMar>
          </w:tcPr>
          <w:p w14:paraId="1D5E4D1C" w14:textId="77777777" w:rsidR="007F47FD" w:rsidRPr="009E6200" w:rsidRDefault="007F47FD" w:rsidP="007B46F5">
            <w:pPr>
              <w:pStyle w:val="SDText"/>
              <w:jc w:val="both"/>
              <w:rPr>
                <w:lang w:eastAsia="ru-RU"/>
              </w:rPr>
            </w:pPr>
            <w:r w:rsidRPr="009E6200">
              <w:rPr>
                <w:b/>
                <w:lang w:eastAsia="ru-RU"/>
              </w:rPr>
              <w:t>Обоснование размера выборки</w:t>
            </w:r>
          </w:p>
        </w:tc>
        <w:bookmarkStart w:id="27" w:name="OLE_LINK_Sample_size" w:displacedByCustomXml="next"/>
        <w:sdt>
          <w:sdtPr>
            <w:rPr>
              <w:lang w:eastAsia="ru-RU"/>
            </w:rPr>
            <w:alias w:val="Обоснование размера выборки"/>
            <w:tag w:val="Обоснование размера выборки"/>
            <w:id w:val="-1160463158"/>
            <w:placeholder>
              <w:docPart w:val="85004051257C49BB8AC946D44029EA63"/>
            </w:placeholder>
          </w:sdtPr>
          <w:sdtEndPr/>
          <w:sdtContent>
            <w:sdt>
              <w:sdtPr>
                <w:rPr>
                  <w:lang w:eastAsia="ru-RU"/>
                </w:rPr>
                <w:alias w:val="Обоснование размера выборки"/>
                <w:tag w:val="Обоснование размера выборки"/>
                <w:id w:val="-1850323139"/>
                <w:placeholder>
                  <w:docPart w:val="7143642B71A74773A31A8F8F787E6341"/>
                </w:placeholder>
              </w:sdtPr>
              <w:sdtEndPr/>
              <w:sdtContent>
                <w:tc>
                  <w:tcPr>
                    <w:tcW w:w="3830" w:type="pct"/>
                    <w:tcBorders>
                      <w:top w:val="single" w:sz="4" w:space="0" w:color="00000A"/>
                      <w:left w:val="single" w:sz="4" w:space="0" w:color="00000A"/>
                      <w:bottom w:val="single" w:sz="4" w:space="0" w:color="00000A"/>
                      <w:right w:val="single" w:sz="4" w:space="0" w:color="00000A"/>
                    </w:tcBorders>
                    <w:shd w:val="clear" w:color="auto" w:fill="auto"/>
                    <w:tcMar>
                      <w:top w:w="0" w:type="dxa"/>
                      <w:left w:w="57" w:type="dxa"/>
                      <w:bottom w:w="0" w:type="dxa"/>
                      <w:right w:w="57" w:type="dxa"/>
                    </w:tcMar>
                    <w:vAlign w:val="center"/>
                  </w:tcPr>
                  <w:p w14:paraId="45C0FDF8" w14:textId="77777777" w:rsidR="00AD69CE" w:rsidRPr="009E6200" w:rsidRDefault="00AD69CE" w:rsidP="007B46F5">
                    <w:pPr>
                      <w:pStyle w:val="SDText"/>
                      <w:jc w:val="both"/>
                      <w:rPr>
                        <w:rFonts w:cs="Times New Roman"/>
                        <w:lang w:eastAsia="ru-RU"/>
                      </w:rPr>
                    </w:pPr>
                    <w:r w:rsidRPr="009E6200">
                      <w:rPr>
                        <w:lang w:eastAsia="ru-RU"/>
                      </w:rPr>
                      <w:t xml:space="preserve">С целью установления биоаналогичности препаратов </w:t>
                    </w:r>
                    <w:r w:rsidRPr="009E6200">
                      <w:rPr>
                        <w:lang w:val="en-US" w:eastAsia="ru-RU"/>
                      </w:rPr>
                      <w:t>RPH</w:t>
                    </w:r>
                    <w:r w:rsidRPr="009E6200">
                      <w:rPr>
                        <w:lang w:eastAsia="ru-RU"/>
                      </w:rPr>
                      <w:t>-001 и Авастина</w:t>
                    </w:r>
                    <w:r w:rsidR="00121FA5" w:rsidRPr="009E6200">
                      <w:rPr>
                        <w:rFonts w:cs="Times New Roman"/>
                        <w:vertAlign w:val="superscript"/>
                        <w:lang w:eastAsia="ru-RU"/>
                      </w:rPr>
                      <w:t>®</w:t>
                    </w:r>
                    <w:r w:rsidRPr="009E6200">
                      <w:rPr>
                        <w:rFonts w:cs="Times New Roman"/>
                        <w:vertAlign w:val="superscript"/>
                        <w:lang w:eastAsia="ru-RU"/>
                      </w:rPr>
                      <w:softHyphen/>
                    </w:r>
                    <w:r w:rsidRPr="009E6200">
                      <w:rPr>
                        <w:rFonts w:cs="Times New Roman"/>
                        <w:vertAlign w:val="superscript"/>
                        <w:lang w:eastAsia="ru-RU"/>
                      </w:rPr>
                      <w:softHyphen/>
                    </w:r>
                    <w:r w:rsidRPr="009E6200">
                      <w:rPr>
                        <w:rFonts w:cs="Times New Roman"/>
                        <w:lang w:eastAsia="ru-RU"/>
                      </w:rPr>
                      <w:t xml:space="preserve"> настоящее исследование запланировано как исследование терапевтической (клинической) эквивалентности. Учитывая, что установившиеся подходы к исследованиям </w:t>
                    </w:r>
                    <w:r w:rsidRPr="009E6200">
                      <w:rPr>
                        <w:rFonts w:cs="Times New Roman"/>
                        <w:lang w:val="en-US" w:eastAsia="ru-RU"/>
                      </w:rPr>
                      <w:t>III</w:t>
                    </w:r>
                    <w:r w:rsidRPr="009E6200">
                      <w:rPr>
                        <w:rFonts w:cs="Times New Roman"/>
                        <w:lang w:eastAsia="ru-RU"/>
                      </w:rPr>
                      <w:t xml:space="preserve"> фазы для биоаналогов в настоящее время недостаточно чувствительны в отношении доказательства бионалогичности и клинически значимых отличий в эффективности и безопасности препаратов </w:t>
                    </w:r>
                    <w:r w:rsidRPr="009E6200">
                      <w:rPr>
                        <w:rFonts w:cs="Times New Roman"/>
                        <w:lang w:eastAsia="ru-RU"/>
                      </w:rPr>
                      <w:fldChar w:fldCharType="begin"/>
                    </w:r>
                    <w:r w:rsidRPr="009E6200">
                      <w:rPr>
                        <w:rFonts w:cs="Times New Roman"/>
                        <w:lang w:eastAsia="ru-RU"/>
                      </w:rPr>
                      <w:instrText xml:space="preserve"> ADDIN ZOTERO_ITEM CSL_CITATION {"citationID":"nW2nuV01","properties":{"formattedCitation":"[1]","plainCitation":"[1]","noteIndex":0},"citationItems":[{"id":35021,"uris":["http://zotero.org/groups/2341397/items/TENAUME5"],"uri":["http://zotero.org/groups/2341397/items/TENAUME5"],"itemData":{"id":35021,"type":"article-journal","title":"The End of Phase 3 Clinical Trials in Biosimilars Development?","container-title":"BioDrugs: Clinical Immunotherapeutics, Biopharmaceuticals and Gene Therapy","page":"319-324","volume":"32","issue":"4","source":"PubMed","abstract":"Most patients still have limited or no access to life-changing therapeutic proteins in the treatment of their cancer or autoimmune disorders. The current clinical development model of biosimilars is expensive, and in most cases, large, phase 3 trials do not provide meaningful information on the clinical equivalence of biosimilars and reference compounds. At the same time, the development of state-of-the-art orthogonal analytical methods has enabled a better understanding of the structure and structure-function relationship of biotherapeutics. Hence, we suggest here that a solid chemistry, manufacturing, and controls (CMC) package and meaningful phase 1 studies will leave limited uncertainty on biosimilarity, which can be addressed-if needed-by post-approval, long-term follow-up studies (post-approval studies, pharmacovigilance, real world evidence data and registries, and possibly new post-approval models to be developed). We believe that this new approach may be more appropriate than 600- to 1000-patient, phase 3 trials in assessing biosimilarity and therapeutic equivalence, under the condition that the administered biosimilar given to individual patients can be clearly identified. Obviously, there will probably never be a \"one size fits all\" development model, and an individualized, risk-based approach to biosimilar development will always have to be considered and discussed early with regulators.","DOI":"10.1007/s40259-018-0287-0","ISSN":"1179-190X","note":"PMID: 29943088","journalAbbreviation":"BioDrugs","language":"eng","author":[{"family":"Frapaise","given":"Francois-Xavier"}],"issued":{"date-parts":[["2018",8]]}}}],"schema":"https://github.com/citation-style-language/schema/raw/master/csl-citation.json"} </w:instrText>
                    </w:r>
                    <w:r w:rsidRPr="009E6200">
                      <w:rPr>
                        <w:rFonts w:cs="Times New Roman"/>
                        <w:lang w:eastAsia="ru-RU"/>
                      </w:rPr>
                      <w:fldChar w:fldCharType="separate"/>
                    </w:r>
                    <w:r w:rsidRPr="009E6200">
                      <w:rPr>
                        <w:rFonts w:cs="Times New Roman"/>
                      </w:rPr>
                      <w:t>[1]</w:t>
                    </w:r>
                    <w:r w:rsidRPr="009E6200">
                      <w:rPr>
                        <w:rFonts w:cs="Times New Roman"/>
                        <w:lang w:eastAsia="ru-RU"/>
                      </w:rPr>
                      <w:fldChar w:fldCharType="end"/>
                    </w:r>
                    <w:r w:rsidRPr="009E6200">
                      <w:rPr>
                        <w:rFonts w:cs="Times New Roman"/>
                        <w:lang w:eastAsia="ru-RU"/>
                      </w:rPr>
                      <w:t xml:space="preserve">, для планирования объема выборки и последующего анализа первичной конечной точки в настоящем исследовании будет использоваться байесовский подход, основанный на публикации  </w:t>
                    </w:r>
                    <w:r w:rsidRPr="009E6200">
                      <w:rPr>
                        <w:rFonts w:cs="Times New Roman"/>
                        <w:lang w:val="en-US" w:eastAsia="ru-RU"/>
                      </w:rPr>
                      <w:t>Weiss</w:t>
                    </w:r>
                    <w:r w:rsidRPr="009E6200">
                      <w:rPr>
                        <w:rFonts w:cs="Times New Roman"/>
                        <w:lang w:eastAsia="ru-RU"/>
                      </w:rPr>
                      <w:t xml:space="preserve"> </w:t>
                    </w:r>
                    <w:r w:rsidRPr="009E6200">
                      <w:rPr>
                        <w:rFonts w:cs="Times New Roman"/>
                        <w:lang w:val="en-US" w:eastAsia="ru-RU"/>
                      </w:rPr>
                      <w:t>et</w:t>
                    </w:r>
                    <w:r w:rsidRPr="009E6200">
                      <w:rPr>
                        <w:rFonts w:cs="Times New Roman"/>
                        <w:lang w:eastAsia="ru-RU"/>
                      </w:rPr>
                      <w:t xml:space="preserve"> </w:t>
                    </w:r>
                    <w:r w:rsidRPr="009E6200">
                      <w:rPr>
                        <w:rFonts w:cs="Times New Roman"/>
                        <w:lang w:val="en-US" w:eastAsia="ru-RU"/>
                      </w:rPr>
                      <w:t>al</w:t>
                    </w:r>
                    <w:r w:rsidRPr="009E6200">
                      <w:rPr>
                        <w:rFonts w:cs="Times New Roman"/>
                        <w:lang w:eastAsia="ru-RU"/>
                      </w:rPr>
                      <w:t xml:space="preserve">. </w:t>
                    </w:r>
                    <w:r w:rsidRPr="009E6200">
                      <w:rPr>
                        <w:rFonts w:cs="Times New Roman"/>
                        <w:lang w:val="en-US" w:eastAsia="ru-RU"/>
                      </w:rPr>
                      <w:t xml:space="preserve">“Bayesian methods for analysis of biosimilar phase III trials” (Stat Med. 2018 Sep 10;37(20):2938-2953) </w:t>
                    </w:r>
                    <w:r w:rsidRPr="009E6200">
                      <w:rPr>
                        <w:rFonts w:cs="Times New Roman"/>
                        <w:lang w:eastAsia="ru-RU"/>
                      </w:rPr>
                      <w:fldChar w:fldCharType="begin"/>
                    </w:r>
                    <w:r w:rsidRPr="009E6200">
                      <w:rPr>
                        <w:rFonts w:cs="Times New Roman"/>
                        <w:lang w:val="en-US" w:eastAsia="ru-RU"/>
                      </w:rPr>
                      <w:instrText xml:space="preserve"> ADDIN ZOTERO_ITEM CSL_CITATION {"citationID":"QkMgKonx","properties":{"formattedCitation":"[2]","plainCitation":"[2]","noteIndex":0},"citationItems":[{"id":35023,"uris":["http://zotero.org/groups/2341397/items/SGTQCEEZ"],"uri":["http://zotero.org/groups/2341397/items/SGTQCEEZ"],"itemData":{"id":35023,"type":"article-journal","title":"Bayesian methods for analysis of biosimilar phase III trials","container-title":"Statistics in Medicine","page":"2938-2953","volume":"37","issue":"20","source":"PubMed","abstract":"A biologic is a product made from living organisms. A biosimilar is a new version of an already approved branded biologic. Regulatory guidelines recommend a totality-of-the-evidence approach with stepwise development for a new biosimilar. Initial steps for biosimilar development are (a) analytical comparisons to establish similarity in structure and function followed by (b) potential animal studies and a human pharmacokinetics/pharmacodynamics equivalence study. The last step is a phase III clinical trial to confirm similar efficacy, safety, and immunogenicity between the biosimilar and the biologic</w:instrText>
                    </w:r>
                    <w:r w:rsidRPr="00391D4B">
                      <w:rPr>
                        <w:rFonts w:cs="Times New Roman"/>
                        <w:lang w:eastAsia="ru-RU"/>
                      </w:rPr>
                      <w:instrText xml:space="preserve">. </w:instrText>
                    </w:r>
                    <w:r w:rsidRPr="009E6200">
                      <w:rPr>
                        <w:rFonts w:cs="Times New Roman"/>
                        <w:lang w:val="en-US" w:eastAsia="ru-RU"/>
                      </w:rPr>
                      <w:instrText>A</w:instrText>
                    </w:r>
                    <w:r w:rsidRPr="00391D4B">
                      <w:rPr>
                        <w:rFonts w:cs="Times New Roman"/>
                        <w:lang w:eastAsia="ru-RU"/>
                      </w:rPr>
                      <w:instrText xml:space="preserve"> </w:instrText>
                    </w:r>
                    <w:r w:rsidRPr="009E6200">
                      <w:rPr>
                        <w:rFonts w:cs="Times New Roman"/>
                        <w:lang w:val="en-US" w:eastAsia="ru-RU"/>
                      </w:rPr>
                      <w:instrText>high</w:instrText>
                    </w:r>
                    <w:r w:rsidRPr="00391D4B">
                      <w:rPr>
                        <w:rFonts w:cs="Times New Roman"/>
                        <w:lang w:eastAsia="ru-RU"/>
                      </w:rPr>
                      <w:instrText xml:space="preserve"> </w:instrText>
                    </w:r>
                    <w:r w:rsidRPr="009E6200">
                      <w:rPr>
                        <w:rFonts w:cs="Times New Roman"/>
                        <w:lang w:val="en-US" w:eastAsia="ru-RU"/>
                      </w:rPr>
                      <w:instrText>degree</w:instrText>
                    </w:r>
                    <w:r w:rsidRPr="00391D4B">
                      <w:rPr>
                        <w:rFonts w:cs="Times New Roman"/>
                        <w:lang w:eastAsia="ru-RU"/>
                      </w:rPr>
                      <w:instrText xml:space="preserve"> </w:instrText>
                    </w:r>
                    <w:r w:rsidRPr="009E6200">
                      <w:rPr>
                        <w:rFonts w:cs="Times New Roman"/>
                        <w:lang w:val="en-US" w:eastAsia="ru-RU"/>
                      </w:rPr>
                      <w:instrText>of</w:instrText>
                    </w:r>
                    <w:r w:rsidRPr="00391D4B">
                      <w:rPr>
                        <w:rFonts w:cs="Times New Roman"/>
                        <w:lang w:eastAsia="ru-RU"/>
                      </w:rPr>
                      <w:instrText xml:space="preserve"> </w:instrText>
                    </w:r>
                    <w:r w:rsidRPr="009E6200">
                      <w:rPr>
                        <w:rFonts w:cs="Times New Roman"/>
                        <w:lang w:val="en-US" w:eastAsia="ru-RU"/>
                      </w:rPr>
                      <w:instrText>analytical</w:instrText>
                    </w:r>
                    <w:r w:rsidRPr="00391D4B">
                      <w:rPr>
                        <w:rFonts w:cs="Times New Roman"/>
                        <w:lang w:eastAsia="ru-RU"/>
                      </w:rPr>
                      <w:instrText xml:space="preserve"> </w:instrText>
                    </w:r>
                    <w:r w:rsidRPr="009E6200">
                      <w:rPr>
                        <w:rFonts w:cs="Times New Roman"/>
                        <w:lang w:val="en-US" w:eastAsia="ru-RU"/>
                      </w:rPr>
                      <w:instrText>and</w:instrText>
                    </w:r>
                    <w:r w:rsidRPr="00391D4B">
                      <w:rPr>
                        <w:rFonts w:cs="Times New Roman"/>
                        <w:lang w:eastAsia="ru-RU"/>
                      </w:rPr>
                      <w:instrText xml:space="preserve"> </w:instrText>
                    </w:r>
                    <w:r w:rsidRPr="009E6200">
                      <w:rPr>
                        <w:rFonts w:cs="Times New Roman"/>
                        <w:lang w:val="en-US" w:eastAsia="ru-RU"/>
                      </w:rPr>
                      <w:instrText>pharmacokinetics</w:instrText>
                    </w:r>
                    <w:r w:rsidRPr="00391D4B">
                      <w:rPr>
                        <w:rFonts w:cs="Times New Roman"/>
                        <w:lang w:eastAsia="ru-RU"/>
                      </w:rPr>
                      <w:instrText>/</w:instrText>
                    </w:r>
                    <w:r w:rsidRPr="009E6200">
                      <w:rPr>
                        <w:rFonts w:cs="Times New Roman"/>
                        <w:lang w:val="en-US" w:eastAsia="ru-RU"/>
                      </w:rPr>
                      <w:instrText>pharmacodynamics</w:instrText>
                    </w:r>
                    <w:r w:rsidRPr="00391D4B">
                      <w:rPr>
                        <w:rFonts w:cs="Times New Roman"/>
                        <w:lang w:eastAsia="ru-RU"/>
                      </w:rPr>
                      <w:instrText xml:space="preserve"> </w:instrText>
                    </w:r>
                    <w:r w:rsidRPr="009E6200">
                      <w:rPr>
                        <w:rFonts w:cs="Times New Roman"/>
                        <w:lang w:val="en-US" w:eastAsia="ru-RU"/>
                      </w:rPr>
                      <w:instrText>similarity</w:instrText>
                    </w:r>
                    <w:r w:rsidRPr="00391D4B">
                      <w:rPr>
                        <w:rFonts w:cs="Times New Roman"/>
                        <w:lang w:eastAsia="ru-RU"/>
                      </w:rPr>
                      <w:instrText xml:space="preserve"> </w:instrText>
                    </w:r>
                    <w:r w:rsidRPr="009E6200">
                      <w:rPr>
                        <w:rFonts w:cs="Times New Roman"/>
                        <w:lang w:val="en-US" w:eastAsia="ru-RU"/>
                      </w:rPr>
                      <w:instrText>could</w:instrText>
                    </w:r>
                    <w:r w:rsidRPr="00391D4B">
                      <w:rPr>
                        <w:rFonts w:cs="Times New Roman"/>
                        <w:lang w:eastAsia="ru-RU"/>
                      </w:rPr>
                      <w:instrText xml:space="preserve"> </w:instrText>
                    </w:r>
                    <w:r w:rsidRPr="009E6200">
                      <w:rPr>
                        <w:rFonts w:cs="Times New Roman"/>
                        <w:lang w:val="en-US" w:eastAsia="ru-RU"/>
                      </w:rPr>
                      <w:instrText>provide</w:instrText>
                    </w:r>
                    <w:r w:rsidRPr="00391D4B">
                      <w:rPr>
                        <w:rFonts w:cs="Times New Roman"/>
                        <w:lang w:eastAsia="ru-RU"/>
                      </w:rPr>
                      <w:instrText xml:space="preserve"> </w:instrText>
                    </w:r>
                    <w:r w:rsidRPr="009E6200">
                      <w:rPr>
                        <w:rFonts w:cs="Times New Roman"/>
                        <w:lang w:val="en-US" w:eastAsia="ru-RU"/>
                      </w:rPr>
                      <w:instrText>justification</w:instrText>
                    </w:r>
                    <w:r w:rsidRPr="00391D4B">
                      <w:rPr>
                        <w:rFonts w:cs="Times New Roman"/>
                        <w:lang w:eastAsia="ru-RU"/>
                      </w:rPr>
                      <w:instrText xml:space="preserve"> </w:instrText>
                    </w:r>
                    <w:r w:rsidRPr="009E6200">
                      <w:rPr>
                        <w:rFonts w:cs="Times New Roman"/>
                        <w:lang w:val="en-US" w:eastAsia="ru-RU"/>
                      </w:rPr>
                      <w:instrText>for</w:instrText>
                    </w:r>
                    <w:r w:rsidRPr="00391D4B">
                      <w:rPr>
                        <w:rFonts w:cs="Times New Roman"/>
                        <w:lang w:eastAsia="ru-RU"/>
                      </w:rPr>
                      <w:instrText xml:space="preserve"> </w:instrText>
                    </w:r>
                    <w:r w:rsidRPr="009E6200">
                      <w:rPr>
                        <w:rFonts w:cs="Times New Roman"/>
                        <w:lang w:val="en-US" w:eastAsia="ru-RU"/>
                      </w:rPr>
                      <w:instrText>an</w:instrText>
                    </w:r>
                    <w:r w:rsidRPr="00391D4B">
                      <w:rPr>
                        <w:rFonts w:cs="Times New Roman"/>
                        <w:lang w:eastAsia="ru-RU"/>
                      </w:rPr>
                      <w:instrText xml:space="preserve"> </w:instrText>
                    </w:r>
                    <w:r w:rsidRPr="009E6200">
                      <w:rPr>
                        <w:rFonts w:cs="Times New Roman"/>
                        <w:lang w:val="en-US" w:eastAsia="ru-RU"/>
                      </w:rPr>
                      <w:instrText>eased</w:instrText>
                    </w:r>
                    <w:r w:rsidRPr="00391D4B">
                      <w:rPr>
                        <w:rFonts w:cs="Times New Roman"/>
                        <w:lang w:eastAsia="ru-RU"/>
                      </w:rPr>
                      <w:instrText xml:space="preserve"> </w:instrText>
                    </w:r>
                    <w:r w:rsidRPr="009E6200">
                      <w:rPr>
                        <w:rFonts w:cs="Times New Roman"/>
                        <w:lang w:val="en-US" w:eastAsia="ru-RU"/>
                      </w:rPr>
                      <w:instrText>statistical</w:instrText>
                    </w:r>
                    <w:r w:rsidRPr="00391D4B">
                      <w:rPr>
                        <w:rFonts w:cs="Times New Roman"/>
                        <w:lang w:eastAsia="ru-RU"/>
                      </w:rPr>
                      <w:instrText xml:space="preserve"> </w:instrText>
                    </w:r>
                    <w:r w:rsidRPr="009E6200">
                      <w:rPr>
                        <w:rFonts w:cs="Times New Roman"/>
                        <w:lang w:val="en-US" w:eastAsia="ru-RU"/>
                      </w:rPr>
                      <w:instrText>threshold</w:instrText>
                    </w:r>
                    <w:r w:rsidRPr="00391D4B">
                      <w:rPr>
                        <w:rFonts w:cs="Times New Roman"/>
                        <w:lang w:eastAsia="ru-RU"/>
                      </w:rPr>
                      <w:instrText xml:space="preserve"> </w:instrText>
                    </w:r>
                    <w:r w:rsidRPr="009E6200">
                      <w:rPr>
                        <w:rFonts w:cs="Times New Roman"/>
                        <w:lang w:val="en-US" w:eastAsia="ru-RU"/>
                      </w:rPr>
                      <w:instrText>in</w:instrText>
                    </w:r>
                    <w:r w:rsidRPr="00391D4B">
                      <w:rPr>
                        <w:rFonts w:cs="Times New Roman"/>
                        <w:lang w:eastAsia="ru-RU"/>
                      </w:rPr>
                      <w:instrText xml:space="preserve"> </w:instrText>
                    </w:r>
                    <w:r w:rsidRPr="009E6200">
                      <w:rPr>
                        <w:rFonts w:cs="Times New Roman"/>
                        <w:lang w:val="en-US" w:eastAsia="ru-RU"/>
                      </w:rPr>
                      <w:instrText>the</w:instrText>
                    </w:r>
                    <w:r w:rsidRPr="00391D4B">
                      <w:rPr>
                        <w:rFonts w:cs="Times New Roman"/>
                        <w:lang w:eastAsia="ru-RU"/>
                      </w:rPr>
                      <w:instrText xml:space="preserve"> </w:instrText>
                    </w:r>
                    <w:r w:rsidRPr="009E6200">
                      <w:rPr>
                        <w:rFonts w:cs="Times New Roman"/>
                        <w:lang w:val="en-US" w:eastAsia="ru-RU"/>
                      </w:rPr>
                      <w:instrText>phase</w:instrText>
                    </w:r>
                    <w:r w:rsidRPr="00391D4B">
                      <w:rPr>
                        <w:rFonts w:cs="Times New Roman"/>
                        <w:lang w:eastAsia="ru-RU"/>
                      </w:rPr>
                      <w:instrText xml:space="preserve"> </w:instrText>
                    </w:r>
                    <w:r w:rsidRPr="009E6200">
                      <w:rPr>
                        <w:rFonts w:cs="Times New Roman"/>
                        <w:lang w:val="en-US" w:eastAsia="ru-RU"/>
                      </w:rPr>
                      <w:instrText>III</w:instrText>
                    </w:r>
                    <w:r w:rsidRPr="00391D4B">
                      <w:rPr>
                        <w:rFonts w:cs="Times New Roman"/>
                        <w:lang w:eastAsia="ru-RU"/>
                      </w:rPr>
                      <w:instrText xml:space="preserve"> </w:instrText>
                    </w:r>
                    <w:r w:rsidRPr="009E6200">
                      <w:rPr>
                        <w:rFonts w:cs="Times New Roman"/>
                        <w:lang w:val="en-US" w:eastAsia="ru-RU"/>
                      </w:rPr>
                      <w:instrText>trial</w:instrText>
                    </w:r>
                    <w:r w:rsidRPr="00391D4B">
                      <w:rPr>
                        <w:rFonts w:cs="Times New Roman"/>
                        <w:lang w:eastAsia="ru-RU"/>
                      </w:rPr>
                      <w:instrText xml:space="preserve">, </w:instrText>
                    </w:r>
                    <w:r w:rsidRPr="009E6200">
                      <w:rPr>
                        <w:rFonts w:cs="Times New Roman"/>
                        <w:lang w:val="en-US" w:eastAsia="ru-RU"/>
                      </w:rPr>
                      <w:instrText>which</w:instrText>
                    </w:r>
                    <w:r w:rsidRPr="00391D4B">
                      <w:rPr>
                        <w:rFonts w:cs="Times New Roman"/>
                        <w:lang w:eastAsia="ru-RU"/>
                      </w:rPr>
                      <w:instrText xml:space="preserve"> </w:instrText>
                    </w:r>
                    <w:r w:rsidRPr="009E6200">
                      <w:rPr>
                        <w:rFonts w:cs="Times New Roman"/>
                        <w:lang w:val="en-US" w:eastAsia="ru-RU"/>
                      </w:rPr>
                      <w:instrText>could</w:instrText>
                    </w:r>
                    <w:r w:rsidRPr="00391D4B">
                      <w:rPr>
                        <w:rFonts w:cs="Times New Roman"/>
                        <w:lang w:eastAsia="ru-RU"/>
                      </w:rPr>
                      <w:instrText xml:space="preserve"> </w:instrText>
                    </w:r>
                    <w:r w:rsidRPr="009E6200">
                      <w:rPr>
                        <w:rFonts w:cs="Times New Roman"/>
                        <w:lang w:val="en-US" w:eastAsia="ru-RU"/>
                      </w:rPr>
                      <w:instrText>then</w:instrText>
                    </w:r>
                    <w:r w:rsidRPr="00391D4B">
                      <w:rPr>
                        <w:rFonts w:cs="Times New Roman"/>
                        <w:lang w:eastAsia="ru-RU"/>
                      </w:rPr>
                      <w:instrText xml:space="preserve"> </w:instrText>
                    </w:r>
                    <w:r w:rsidRPr="009E6200">
                      <w:rPr>
                        <w:rFonts w:cs="Times New Roman"/>
                        <w:lang w:val="en-US" w:eastAsia="ru-RU"/>
                      </w:rPr>
                      <w:instrText>further</w:instrText>
                    </w:r>
                    <w:r w:rsidRPr="00391D4B">
                      <w:rPr>
                        <w:rFonts w:cs="Times New Roman"/>
                        <w:lang w:eastAsia="ru-RU"/>
                      </w:rPr>
                      <w:instrText xml:space="preserve"> </w:instrText>
                    </w:r>
                    <w:r w:rsidRPr="009E6200">
                      <w:rPr>
                        <w:rFonts w:cs="Times New Roman"/>
                        <w:lang w:val="en-US" w:eastAsia="ru-RU"/>
                      </w:rPr>
                      <w:instrText>facilitate</w:instrText>
                    </w:r>
                    <w:r w:rsidRPr="00391D4B">
                      <w:rPr>
                        <w:rFonts w:cs="Times New Roman"/>
                        <w:lang w:eastAsia="ru-RU"/>
                      </w:rPr>
                      <w:instrText xml:space="preserve"> </w:instrText>
                    </w:r>
                    <w:r w:rsidRPr="009E6200">
                      <w:rPr>
                        <w:rFonts w:cs="Times New Roman"/>
                        <w:lang w:val="en-US" w:eastAsia="ru-RU"/>
                      </w:rPr>
                      <w:instrText>an</w:instrText>
                    </w:r>
                    <w:r w:rsidRPr="00391D4B">
                      <w:rPr>
                        <w:rFonts w:cs="Times New Roman"/>
                        <w:lang w:eastAsia="ru-RU"/>
                      </w:rPr>
                      <w:instrText xml:space="preserve"> </w:instrText>
                    </w:r>
                    <w:r w:rsidRPr="009E6200">
                      <w:rPr>
                        <w:rFonts w:cs="Times New Roman"/>
                        <w:lang w:val="en-US" w:eastAsia="ru-RU"/>
                      </w:rPr>
                      <w:instrText>overall</w:instrText>
                    </w:r>
                    <w:r w:rsidRPr="00391D4B">
                      <w:rPr>
                        <w:rFonts w:cs="Times New Roman"/>
                        <w:lang w:eastAsia="ru-RU"/>
                      </w:rPr>
                      <w:instrText xml:space="preserve"> </w:instrText>
                    </w:r>
                    <w:r w:rsidRPr="009E6200">
                      <w:rPr>
                        <w:rFonts w:cs="Times New Roman"/>
                        <w:lang w:val="en-US" w:eastAsia="ru-RU"/>
                      </w:rPr>
                      <w:instrText>abbreviated</w:instrText>
                    </w:r>
                    <w:r w:rsidRPr="00391D4B">
                      <w:rPr>
                        <w:rFonts w:cs="Times New Roman"/>
                        <w:lang w:eastAsia="ru-RU"/>
                      </w:rPr>
                      <w:instrText xml:space="preserve"> </w:instrText>
                    </w:r>
                    <w:r w:rsidRPr="009E6200">
                      <w:rPr>
                        <w:rFonts w:cs="Times New Roman"/>
                        <w:lang w:val="en-US" w:eastAsia="ru-RU"/>
                      </w:rPr>
                      <w:instrText>approval</w:instrText>
                    </w:r>
                    <w:r w:rsidRPr="00391D4B">
                      <w:rPr>
                        <w:rFonts w:cs="Times New Roman"/>
                        <w:lang w:eastAsia="ru-RU"/>
                      </w:rPr>
                      <w:instrText xml:space="preserve"> </w:instrText>
                    </w:r>
                    <w:r w:rsidRPr="009E6200">
                      <w:rPr>
                        <w:rFonts w:cs="Times New Roman"/>
                        <w:lang w:val="en-US" w:eastAsia="ru-RU"/>
                      </w:rPr>
                      <w:instrText>process</w:instrText>
                    </w:r>
                    <w:r w:rsidRPr="00391D4B">
                      <w:rPr>
                        <w:rFonts w:cs="Times New Roman"/>
                        <w:lang w:eastAsia="ru-RU"/>
                      </w:rPr>
                      <w:instrText xml:space="preserve"> </w:instrText>
                    </w:r>
                    <w:r w:rsidRPr="009E6200">
                      <w:rPr>
                        <w:rFonts w:cs="Times New Roman"/>
                        <w:lang w:val="en-US" w:eastAsia="ru-RU"/>
                      </w:rPr>
                      <w:instrText>for</w:instrText>
                    </w:r>
                    <w:r w:rsidRPr="00391D4B">
                      <w:rPr>
                        <w:rFonts w:cs="Times New Roman"/>
                        <w:lang w:eastAsia="ru-RU"/>
                      </w:rPr>
                      <w:instrText xml:space="preserve"> </w:instrText>
                    </w:r>
                    <w:r w:rsidRPr="009E6200">
                      <w:rPr>
                        <w:rFonts w:cs="Times New Roman"/>
                        <w:lang w:val="en-US" w:eastAsia="ru-RU"/>
                      </w:rPr>
                      <w:instrText>biosimilars</w:instrText>
                    </w:r>
                    <w:r w:rsidRPr="00391D4B">
                      <w:rPr>
                        <w:rFonts w:cs="Times New Roman"/>
                        <w:lang w:eastAsia="ru-RU"/>
                      </w:rPr>
                      <w:instrText xml:space="preserve">. </w:instrText>
                    </w:r>
                    <w:r w:rsidRPr="009E6200">
                      <w:rPr>
                        <w:rFonts w:cs="Times New Roman"/>
                        <w:lang w:val="en-US" w:eastAsia="ru-RU"/>
                      </w:rPr>
                      <w:instrText>Bayesian</w:instrText>
                    </w:r>
                    <w:r w:rsidRPr="00391D4B">
                      <w:rPr>
                        <w:rFonts w:cs="Times New Roman"/>
                        <w:lang w:eastAsia="ru-RU"/>
                      </w:rPr>
                      <w:instrText xml:space="preserve"> </w:instrText>
                    </w:r>
                    <w:r w:rsidRPr="009E6200">
                      <w:rPr>
                        <w:rFonts w:cs="Times New Roman"/>
                        <w:lang w:val="en-US" w:eastAsia="ru-RU"/>
                      </w:rPr>
                      <w:instrText>methods</w:instrText>
                    </w:r>
                    <w:r w:rsidRPr="00506E2A">
                      <w:rPr>
                        <w:rFonts w:cs="Times New Roman"/>
                        <w:lang w:eastAsia="ru-RU"/>
                      </w:rPr>
                      <w:instrText xml:space="preserve"> </w:instrText>
                    </w:r>
                    <w:r w:rsidRPr="009E6200">
                      <w:rPr>
                        <w:rFonts w:cs="Times New Roman"/>
                        <w:lang w:val="en-US" w:eastAsia="ru-RU"/>
                      </w:rPr>
                      <w:instrText>can</w:instrText>
                    </w:r>
                    <w:r w:rsidRPr="00506E2A">
                      <w:rPr>
                        <w:rFonts w:cs="Times New Roman"/>
                        <w:lang w:eastAsia="ru-RU"/>
                      </w:rPr>
                      <w:instrText xml:space="preserve"> </w:instrText>
                    </w:r>
                    <w:r w:rsidRPr="009E6200">
                      <w:rPr>
                        <w:rFonts w:cs="Times New Roman"/>
                        <w:lang w:val="en-US" w:eastAsia="ru-RU"/>
                      </w:rPr>
                      <w:instrText>help</w:instrText>
                    </w:r>
                    <w:r w:rsidRPr="00506E2A">
                      <w:rPr>
                        <w:rFonts w:cs="Times New Roman"/>
                        <w:lang w:eastAsia="ru-RU"/>
                      </w:rPr>
                      <w:instrText xml:space="preserve"> </w:instrText>
                    </w:r>
                    <w:r w:rsidRPr="009E6200">
                      <w:rPr>
                        <w:rFonts w:cs="Times New Roman"/>
                        <w:lang w:val="en-US" w:eastAsia="ru-RU"/>
                      </w:rPr>
                      <w:instrText>in</w:instrText>
                    </w:r>
                    <w:r w:rsidRPr="00506E2A">
                      <w:rPr>
                        <w:rFonts w:cs="Times New Roman"/>
                        <w:lang w:eastAsia="ru-RU"/>
                      </w:rPr>
                      <w:instrText xml:space="preserve"> </w:instrText>
                    </w:r>
                    <w:r w:rsidRPr="009E6200">
                      <w:rPr>
                        <w:rFonts w:cs="Times New Roman"/>
                        <w:lang w:val="en-US" w:eastAsia="ru-RU"/>
                      </w:rPr>
                      <w:instrText>the</w:instrText>
                    </w:r>
                    <w:r w:rsidRPr="00506E2A">
                      <w:rPr>
                        <w:rFonts w:cs="Times New Roman"/>
                        <w:lang w:eastAsia="ru-RU"/>
                      </w:rPr>
                      <w:instrText xml:space="preserve"> </w:instrText>
                    </w:r>
                    <w:r w:rsidRPr="009E6200">
                      <w:rPr>
                        <w:rFonts w:cs="Times New Roman"/>
                        <w:lang w:val="en-US" w:eastAsia="ru-RU"/>
                      </w:rPr>
                      <w:instrText>analysis</w:instrText>
                    </w:r>
                    <w:r w:rsidRPr="00506E2A">
                      <w:rPr>
                        <w:rFonts w:cs="Times New Roman"/>
                        <w:lang w:eastAsia="ru-RU"/>
                      </w:rPr>
                      <w:instrText xml:space="preserve"> </w:instrText>
                    </w:r>
                    <w:r w:rsidRPr="009E6200">
                      <w:rPr>
                        <w:rFonts w:cs="Times New Roman"/>
                        <w:lang w:val="en-US" w:eastAsia="ru-RU"/>
                      </w:rPr>
                      <w:instrText>of</w:instrText>
                    </w:r>
                    <w:r w:rsidRPr="00506E2A">
                      <w:rPr>
                        <w:rFonts w:cs="Times New Roman"/>
                        <w:lang w:eastAsia="ru-RU"/>
                      </w:rPr>
                      <w:instrText xml:space="preserve"> </w:instrText>
                    </w:r>
                    <w:r w:rsidRPr="009E6200">
                      <w:rPr>
                        <w:rFonts w:cs="Times New Roman"/>
                        <w:lang w:val="en-US" w:eastAsia="ru-RU"/>
                      </w:rPr>
                      <w:instrText>clinical</w:instrText>
                    </w:r>
                    <w:r w:rsidRPr="00506E2A">
                      <w:rPr>
                        <w:rFonts w:cs="Times New Roman"/>
                        <w:lang w:eastAsia="ru-RU"/>
                      </w:rPr>
                      <w:instrText xml:space="preserve"> </w:instrText>
                    </w:r>
                    <w:r w:rsidRPr="009E6200">
                      <w:rPr>
                        <w:rFonts w:cs="Times New Roman"/>
                        <w:lang w:val="en-US" w:eastAsia="ru-RU"/>
                      </w:rPr>
                      <w:instrText>trials</w:instrText>
                    </w:r>
                    <w:r w:rsidRPr="00506E2A">
                      <w:rPr>
                        <w:rFonts w:cs="Times New Roman"/>
                        <w:lang w:eastAsia="ru-RU"/>
                      </w:rPr>
                      <w:instrText xml:space="preserve">, </w:instrText>
                    </w:r>
                    <w:r w:rsidRPr="009E6200">
                      <w:rPr>
                        <w:rFonts w:cs="Times New Roman"/>
                        <w:lang w:val="en-US" w:eastAsia="ru-RU"/>
                      </w:rPr>
                      <w:instrText>by</w:instrText>
                    </w:r>
                    <w:r w:rsidRPr="00506E2A">
                      <w:rPr>
                        <w:rFonts w:cs="Times New Roman"/>
                        <w:lang w:eastAsia="ru-RU"/>
                      </w:rPr>
                      <w:instrText xml:space="preserve"> </w:instrText>
                    </w:r>
                    <w:r w:rsidRPr="009E6200">
                      <w:rPr>
                        <w:rFonts w:cs="Times New Roman"/>
                        <w:lang w:val="en-US" w:eastAsia="ru-RU"/>
                      </w:rPr>
                      <w:instrText>adding</w:instrText>
                    </w:r>
                    <w:r w:rsidRPr="00506E2A">
                      <w:rPr>
                        <w:rFonts w:cs="Times New Roman"/>
                        <w:lang w:eastAsia="ru-RU"/>
                      </w:rPr>
                      <w:instrText xml:space="preserve"> </w:instrText>
                    </w:r>
                    <w:r w:rsidRPr="009E6200">
                      <w:rPr>
                        <w:rFonts w:cs="Times New Roman"/>
                        <w:lang w:val="en-US" w:eastAsia="ru-RU"/>
                      </w:rPr>
                      <w:instrText>proper</w:instrText>
                    </w:r>
                    <w:r w:rsidRPr="00506E2A">
                      <w:rPr>
                        <w:rFonts w:cs="Times New Roman"/>
                        <w:lang w:eastAsia="ru-RU"/>
                      </w:rPr>
                      <w:instrText xml:space="preserve"> </w:instrText>
                    </w:r>
                    <w:r w:rsidRPr="009E6200">
                      <w:rPr>
                        <w:rFonts w:cs="Times New Roman"/>
                        <w:lang w:val="en-US" w:eastAsia="ru-RU"/>
                      </w:rPr>
                      <w:instrText>prior</w:instrText>
                    </w:r>
                    <w:r w:rsidRPr="00506E2A">
                      <w:rPr>
                        <w:rFonts w:cs="Times New Roman"/>
                        <w:lang w:eastAsia="ru-RU"/>
                      </w:rPr>
                      <w:instrText xml:space="preserve"> </w:instrText>
                    </w:r>
                    <w:r w:rsidRPr="009E6200">
                      <w:rPr>
                        <w:rFonts w:cs="Times New Roman"/>
                        <w:lang w:val="en-US" w:eastAsia="ru-RU"/>
                      </w:rPr>
                      <w:instrText>i</w:instrText>
                    </w:r>
                    <w:r w:rsidRPr="009E6200">
                      <w:rPr>
                        <w:rFonts w:cs="Times New Roman"/>
                        <w:lang w:eastAsia="ru-RU"/>
                      </w:rPr>
                      <w:instrText xml:space="preserve">nformation into the analysis, thereby potentially decreasing required sample size. We develop proper prior information for the analysis of a phase III trial for showing that a proposed biosimilar is similar to a reference biologic. For the reference product, we use a meta-analysis of published results to set a prior for the probability of efficacy, and we propose priors for the proposed biosimilar informed by the strength of the evidence generated in the earlier steps of the approval process. A simulation study shows that with few exceptions, the Bayesian relative risk analysis provides greater power, shorter 90% credible intervals with more than 90% frequentist coverage, and better root mean squared error.","DOI":"10.1002/sim.7814","ISSN":"1097-0258","note":"PMID: 29797335","journalAbbreviation":"Stat Med","language":"eng","author":[{"family":"Weiss","given":"Robert E."},{"family":"Xia","given":"Xiaomao"},{"family":"Zhang","given":"Nan"},{"family":"Wang","given":"Hui"},{"family":"Chi","given":"Eric"}],"issued":{"date-parts":[["2018",9,10]]}}}],"schema":"https://github.com/citation-style-language/schema/raw/master/csl-citation.json"} </w:instrText>
                    </w:r>
                    <w:r w:rsidRPr="009E6200">
                      <w:rPr>
                        <w:rFonts w:cs="Times New Roman"/>
                        <w:lang w:eastAsia="ru-RU"/>
                      </w:rPr>
                      <w:fldChar w:fldCharType="separate"/>
                    </w:r>
                    <w:r w:rsidRPr="009E6200">
                      <w:rPr>
                        <w:rFonts w:cs="Times New Roman"/>
                      </w:rPr>
                      <w:t>[2]</w:t>
                    </w:r>
                    <w:r w:rsidRPr="009E6200">
                      <w:rPr>
                        <w:rFonts w:cs="Times New Roman"/>
                        <w:lang w:eastAsia="ru-RU"/>
                      </w:rPr>
                      <w:fldChar w:fldCharType="end"/>
                    </w:r>
                    <w:r w:rsidRPr="009E6200">
                      <w:rPr>
                        <w:rFonts w:cs="Times New Roman"/>
                        <w:lang w:eastAsia="ru-RU"/>
                      </w:rPr>
                      <w:t>, который при анализе относительного риска позволяет получить большую мощность, более узкие границы 90% доверительного интервала (который будет соответствовать границам более 90% для стандартного частотного подхода), а также меньшую величину ошибки при меньшем объеме выборки по сравнению со стандартными частотными методами.</w:t>
                    </w:r>
                  </w:p>
                  <w:p w14:paraId="17DBE1EC" w14:textId="77777777" w:rsidR="00AD69CE" w:rsidRPr="009E6200" w:rsidRDefault="00AD69CE" w:rsidP="007B46F5">
                    <w:pPr>
                      <w:pStyle w:val="SDText"/>
                      <w:jc w:val="both"/>
                      <w:rPr>
                        <w:lang w:eastAsia="ru-RU" w:bidi="ru-RU"/>
                      </w:rPr>
                    </w:pPr>
                    <w:r w:rsidRPr="009E6200">
                      <w:rPr>
                        <w:rFonts w:cs="Arial"/>
                        <w:color w:val="000000"/>
                        <w:szCs w:val="20"/>
                        <w:shd w:val="clear" w:color="auto" w:fill="FFFFFF"/>
                      </w:rPr>
                      <w:t>В связи с использованием методики, описанной в вышеприведенной публикации, в качестве первичной конечной точки выбрана ч</w:t>
                    </w:r>
                    <w:r w:rsidRPr="009E6200">
                      <w:rPr>
                        <w:lang w:eastAsia="ru-RU" w:bidi="ru-RU"/>
                      </w:rPr>
                      <w:t xml:space="preserve">астота объективного ответа через 6 месяцев, выраженная в виде отношения долей (то есть относительного риска). </w:t>
                    </w:r>
                  </w:p>
                  <w:p w14:paraId="6976D181" w14:textId="77777777" w:rsidR="00AD69CE" w:rsidRPr="009E6200" w:rsidRDefault="00AD69CE" w:rsidP="007B46F5">
                    <w:pPr>
                      <w:pStyle w:val="SDText"/>
                      <w:jc w:val="both"/>
                      <w:rPr>
                        <w:rFonts w:cs="Arial"/>
                        <w:color w:val="000000"/>
                        <w:szCs w:val="20"/>
                        <w:shd w:val="clear" w:color="auto" w:fill="FFFFFF"/>
                      </w:rPr>
                    </w:pPr>
                    <w:r w:rsidRPr="009E6200">
                      <w:rPr>
                        <w:rFonts w:cs="Arial"/>
                        <w:color w:val="000000"/>
                        <w:szCs w:val="20"/>
                        <w:shd w:val="clear" w:color="auto" w:fill="FFFFFF"/>
                      </w:rPr>
                      <w:t>Для расчета объема выборки были выдвинуты следующие допущения:</w:t>
                    </w:r>
                  </w:p>
                  <w:p w14:paraId="0E50399A" w14:textId="77777777" w:rsidR="00AD69CE" w:rsidRPr="009E6200" w:rsidRDefault="00AD69CE" w:rsidP="007B46F5">
                    <w:pPr>
                      <w:pStyle w:val="SDText"/>
                      <w:numPr>
                        <w:ilvl w:val="0"/>
                        <w:numId w:val="27"/>
                      </w:numPr>
                      <w:jc w:val="both"/>
                      <w:rPr>
                        <w:rFonts w:cs="Arial"/>
                        <w:color w:val="000000"/>
                        <w:szCs w:val="20"/>
                        <w:shd w:val="clear" w:color="auto" w:fill="FFFFFF"/>
                      </w:rPr>
                    </w:pPr>
                    <w:r w:rsidRPr="009E6200">
                      <w:rPr>
                        <w:rFonts w:cs="Arial"/>
                        <w:color w:val="000000"/>
                        <w:szCs w:val="20"/>
                        <w:shd w:val="clear" w:color="auto" w:fill="FFFFFF"/>
                      </w:rPr>
                      <w:t>Расчет произведен на основании точного байесовского подхода для долей с использованием модифицированной модели наихудшего исхода (</w:t>
                    </w:r>
                    <w:r w:rsidRPr="009E6200">
                      <w:rPr>
                        <w:rFonts w:cs="Arial"/>
                        <w:color w:val="000000"/>
                        <w:szCs w:val="20"/>
                        <w:shd w:val="clear" w:color="auto" w:fill="FFFFFF"/>
                        <w:lang w:val="en-US"/>
                      </w:rPr>
                      <w:t>MWOC</w:t>
                    </w:r>
                    <w:r w:rsidRPr="009E6200">
                      <w:rPr>
                        <w:rFonts w:cs="Arial"/>
                        <w:color w:val="000000"/>
                        <w:szCs w:val="20"/>
                        <w:shd w:val="clear" w:color="auto" w:fill="FFFFFF"/>
                      </w:rPr>
                      <w:t>) как наиболее консервативной оценки объема выборки</w:t>
                    </w:r>
                  </w:p>
                  <w:p w14:paraId="36BE8676" w14:textId="77777777" w:rsidR="00AD69CE" w:rsidRPr="009E6200" w:rsidRDefault="00AD69CE" w:rsidP="007B46F5">
                    <w:pPr>
                      <w:pStyle w:val="SDText"/>
                      <w:numPr>
                        <w:ilvl w:val="0"/>
                        <w:numId w:val="27"/>
                      </w:numPr>
                      <w:jc w:val="both"/>
                      <w:rPr>
                        <w:rFonts w:cs="Arial"/>
                        <w:color w:val="000000"/>
                        <w:szCs w:val="20"/>
                        <w:shd w:val="clear" w:color="auto" w:fill="FFFFFF"/>
                      </w:rPr>
                    </w:pPr>
                    <w:r w:rsidRPr="009E6200">
                      <w:rPr>
                        <w:rFonts w:cs="Arial"/>
                        <w:color w:val="000000"/>
                        <w:szCs w:val="20"/>
                        <w:shd w:val="clear" w:color="auto" w:fill="FFFFFF"/>
                      </w:rPr>
                      <w:t xml:space="preserve">Границы признания терапевтической (клинической) эквивалентности выбраны на основании исследования  биоаналога бевацизумаба при аналогичной нозологии (Efficacy and Safety of the Biosimilar ABP 215 </w:t>
                    </w:r>
                    <w:r w:rsidRPr="009E6200">
                      <w:rPr>
                        <w:rFonts w:cs="Arial"/>
                        <w:color w:val="000000"/>
                        <w:szCs w:val="20"/>
                        <w:shd w:val="clear" w:color="auto" w:fill="FFFFFF"/>
                        <w:lang w:val="en-US"/>
                      </w:rPr>
                      <w:t>Compared</w:t>
                    </w:r>
                    <w:r w:rsidRPr="009E6200">
                      <w:rPr>
                        <w:rFonts w:cs="Arial"/>
                        <w:color w:val="000000"/>
                        <w:szCs w:val="20"/>
                        <w:shd w:val="clear" w:color="auto" w:fill="FFFFFF"/>
                      </w:rPr>
                      <w:t xml:space="preserve"> </w:t>
                    </w:r>
                    <w:r w:rsidRPr="009E6200">
                      <w:rPr>
                        <w:rFonts w:cs="Arial"/>
                        <w:color w:val="000000"/>
                        <w:szCs w:val="20"/>
                        <w:shd w:val="clear" w:color="auto" w:fill="FFFFFF"/>
                        <w:lang w:val="en-US"/>
                      </w:rPr>
                      <w:t>with</w:t>
                    </w:r>
                    <w:r w:rsidRPr="009E6200">
                      <w:rPr>
                        <w:rFonts w:cs="Arial"/>
                        <w:color w:val="000000"/>
                        <w:szCs w:val="20"/>
                        <w:shd w:val="clear" w:color="auto" w:fill="FFFFFF"/>
                      </w:rPr>
                      <w:t xml:space="preserve"> </w:t>
                    </w:r>
                    <w:r w:rsidRPr="009E6200">
                      <w:rPr>
                        <w:rFonts w:cs="Arial"/>
                        <w:color w:val="000000"/>
                        <w:szCs w:val="20"/>
                        <w:shd w:val="clear" w:color="auto" w:fill="FFFFFF"/>
                        <w:lang w:val="en-US"/>
                      </w:rPr>
                      <w:t>Bevacizumab</w:t>
                    </w:r>
                    <w:r w:rsidRPr="009E6200">
                      <w:rPr>
                        <w:rFonts w:cs="Arial"/>
                        <w:color w:val="000000"/>
                        <w:szCs w:val="20"/>
                        <w:shd w:val="clear" w:color="auto" w:fill="FFFFFF"/>
                      </w:rPr>
                      <w:t xml:space="preserve"> </w:t>
                    </w:r>
                    <w:r w:rsidRPr="009E6200">
                      <w:rPr>
                        <w:rFonts w:cs="Arial"/>
                        <w:color w:val="000000"/>
                        <w:szCs w:val="20"/>
                        <w:shd w:val="clear" w:color="auto" w:fill="FFFFFF"/>
                        <w:lang w:val="en-US"/>
                      </w:rPr>
                      <w:t>in</w:t>
                    </w:r>
                    <w:r w:rsidRPr="009E6200">
                      <w:rPr>
                        <w:rFonts w:cs="Arial"/>
                        <w:color w:val="000000"/>
                        <w:szCs w:val="20"/>
                        <w:shd w:val="clear" w:color="auto" w:fill="FFFFFF"/>
                      </w:rPr>
                      <w:t xml:space="preserve"> </w:t>
                    </w:r>
                    <w:r w:rsidRPr="009E6200">
                      <w:rPr>
                        <w:rFonts w:cs="Arial"/>
                        <w:color w:val="000000"/>
                        <w:szCs w:val="20"/>
                        <w:shd w:val="clear" w:color="auto" w:fill="FFFFFF"/>
                        <w:lang w:val="en-US"/>
                      </w:rPr>
                      <w:t>Patients</w:t>
                    </w:r>
                    <w:r w:rsidRPr="009E6200">
                      <w:rPr>
                        <w:rFonts w:cs="Arial"/>
                        <w:color w:val="000000"/>
                        <w:szCs w:val="20"/>
                        <w:shd w:val="clear" w:color="auto" w:fill="FFFFFF"/>
                      </w:rPr>
                      <w:t xml:space="preserve"> </w:t>
                    </w:r>
                    <w:r w:rsidRPr="009E6200">
                      <w:rPr>
                        <w:rFonts w:cs="Arial"/>
                        <w:color w:val="000000"/>
                        <w:szCs w:val="20"/>
                        <w:shd w:val="clear" w:color="auto" w:fill="FFFFFF"/>
                        <w:lang w:val="en-US"/>
                      </w:rPr>
                      <w:t>with</w:t>
                    </w:r>
                    <w:r w:rsidRPr="009E6200">
                      <w:rPr>
                        <w:rFonts w:cs="Arial"/>
                        <w:color w:val="000000"/>
                        <w:szCs w:val="20"/>
                        <w:shd w:val="clear" w:color="auto" w:fill="FFFFFF"/>
                      </w:rPr>
                      <w:t xml:space="preserve"> </w:t>
                    </w:r>
                    <w:r w:rsidRPr="009E6200">
                      <w:rPr>
                        <w:rFonts w:cs="Arial"/>
                        <w:color w:val="000000"/>
                        <w:szCs w:val="20"/>
                        <w:shd w:val="clear" w:color="auto" w:fill="FFFFFF"/>
                        <w:lang w:val="en-US"/>
                      </w:rPr>
                      <w:t>Advanced</w:t>
                    </w:r>
                    <w:r w:rsidRPr="009E6200">
                      <w:rPr>
                        <w:rFonts w:cs="Arial"/>
                        <w:color w:val="000000"/>
                        <w:szCs w:val="20"/>
                        <w:shd w:val="clear" w:color="auto" w:fill="FFFFFF"/>
                      </w:rPr>
                      <w:t xml:space="preserve"> </w:t>
                    </w:r>
                    <w:r w:rsidRPr="009E6200">
                      <w:rPr>
                        <w:rFonts w:cs="Arial"/>
                        <w:color w:val="000000"/>
                        <w:szCs w:val="20"/>
                        <w:shd w:val="clear" w:color="auto" w:fill="FFFFFF"/>
                        <w:lang w:val="en-US"/>
                      </w:rPr>
                      <w:t>Nonsquamous</w:t>
                    </w:r>
                    <w:r w:rsidRPr="009E6200">
                      <w:rPr>
                        <w:rFonts w:cs="Arial"/>
                        <w:color w:val="000000"/>
                        <w:szCs w:val="20"/>
                        <w:shd w:val="clear" w:color="auto" w:fill="FFFFFF"/>
                      </w:rPr>
                      <w:t xml:space="preserve"> </w:t>
                    </w:r>
                    <w:r w:rsidRPr="009E6200">
                      <w:rPr>
                        <w:rFonts w:cs="Arial"/>
                        <w:color w:val="000000"/>
                        <w:szCs w:val="20"/>
                        <w:shd w:val="clear" w:color="auto" w:fill="FFFFFF"/>
                        <w:lang w:val="en-US"/>
                      </w:rPr>
                      <w:t>Non</w:t>
                    </w:r>
                    <w:r w:rsidRPr="009E6200">
                      <w:rPr>
                        <w:rFonts w:cs="Arial"/>
                        <w:color w:val="000000"/>
                        <w:szCs w:val="20"/>
                        <w:shd w:val="clear" w:color="auto" w:fill="FFFFFF"/>
                      </w:rPr>
                      <w:t>–</w:t>
                    </w:r>
                    <w:r w:rsidRPr="009E6200">
                      <w:rPr>
                        <w:rFonts w:cs="Arial"/>
                        <w:color w:val="000000"/>
                        <w:szCs w:val="20"/>
                        <w:shd w:val="clear" w:color="auto" w:fill="FFFFFF"/>
                        <w:lang w:val="en-US"/>
                      </w:rPr>
                      <w:t>small</w:t>
                    </w:r>
                    <w:r w:rsidRPr="009E6200">
                      <w:rPr>
                        <w:rFonts w:cs="Arial"/>
                        <w:color w:val="000000"/>
                        <w:szCs w:val="20"/>
                        <w:shd w:val="clear" w:color="auto" w:fill="FFFFFF"/>
                      </w:rPr>
                      <w:t xml:space="preserve"> </w:t>
                    </w:r>
                    <w:r w:rsidRPr="009E6200">
                      <w:rPr>
                        <w:rFonts w:cs="Arial"/>
                        <w:color w:val="000000"/>
                        <w:szCs w:val="20"/>
                        <w:shd w:val="clear" w:color="auto" w:fill="FFFFFF"/>
                        <w:lang w:val="en-US"/>
                      </w:rPr>
                      <w:t>Cell</w:t>
                    </w:r>
                    <w:r w:rsidRPr="009E6200">
                      <w:rPr>
                        <w:rFonts w:cs="Arial"/>
                        <w:color w:val="000000"/>
                        <w:szCs w:val="20"/>
                        <w:shd w:val="clear" w:color="auto" w:fill="FFFFFF"/>
                      </w:rPr>
                      <w:t xml:space="preserve"> </w:t>
                    </w:r>
                    <w:r w:rsidRPr="009E6200">
                      <w:rPr>
                        <w:rFonts w:cs="Arial"/>
                        <w:color w:val="000000"/>
                        <w:szCs w:val="20"/>
                        <w:shd w:val="clear" w:color="auto" w:fill="FFFFFF"/>
                        <w:lang w:val="en-US"/>
                      </w:rPr>
                      <w:t>Lung</w:t>
                    </w:r>
                    <w:r w:rsidRPr="009E6200">
                      <w:rPr>
                        <w:rFonts w:cs="Arial"/>
                        <w:color w:val="000000"/>
                        <w:szCs w:val="20"/>
                        <w:shd w:val="clear" w:color="auto" w:fill="FFFFFF"/>
                      </w:rPr>
                      <w:t xml:space="preserve"> </w:t>
                    </w:r>
                    <w:r w:rsidRPr="009E6200">
                      <w:rPr>
                        <w:rFonts w:cs="Arial"/>
                        <w:color w:val="000000"/>
                        <w:szCs w:val="20"/>
                        <w:shd w:val="clear" w:color="auto" w:fill="FFFFFF"/>
                        <w:lang w:val="en-US"/>
                      </w:rPr>
                      <w:t>Cancer</w:t>
                    </w:r>
                    <w:r w:rsidRPr="009E6200">
                      <w:rPr>
                        <w:rFonts w:cs="Arial"/>
                        <w:color w:val="000000"/>
                        <w:szCs w:val="20"/>
                        <w:shd w:val="clear" w:color="auto" w:fill="FFFFFF"/>
                      </w:rPr>
                      <w:t xml:space="preserve"> (</w:t>
                    </w:r>
                    <w:r w:rsidRPr="009E6200">
                      <w:rPr>
                        <w:rFonts w:cs="Arial"/>
                        <w:color w:val="000000"/>
                        <w:szCs w:val="20"/>
                        <w:shd w:val="clear" w:color="auto" w:fill="FFFFFF"/>
                        <w:lang w:val="en-US"/>
                      </w:rPr>
                      <w:t>MAPLE</w:t>
                    </w:r>
                    <w:r w:rsidRPr="009E6200">
                      <w:rPr>
                        <w:rFonts w:cs="Arial"/>
                        <w:color w:val="000000"/>
                        <w:szCs w:val="20"/>
                        <w:shd w:val="clear" w:color="auto" w:fill="FFFFFF"/>
                      </w:rPr>
                      <w:t xml:space="preserve">): </w:t>
                    </w:r>
                    <w:r w:rsidRPr="009E6200">
                      <w:rPr>
                        <w:rFonts w:cs="Arial"/>
                        <w:color w:val="000000"/>
                        <w:szCs w:val="20"/>
                        <w:shd w:val="clear" w:color="auto" w:fill="FFFFFF"/>
                        <w:lang w:val="en-US"/>
                      </w:rPr>
                      <w:t>A</w:t>
                    </w:r>
                    <w:r w:rsidRPr="009E6200">
                      <w:rPr>
                        <w:rFonts w:cs="Arial"/>
                        <w:color w:val="000000"/>
                        <w:szCs w:val="20"/>
                        <w:shd w:val="clear" w:color="auto" w:fill="FFFFFF"/>
                      </w:rPr>
                      <w:t xml:space="preserve"> </w:t>
                    </w:r>
                    <w:r w:rsidRPr="009E6200">
                      <w:rPr>
                        <w:rFonts w:cs="Arial"/>
                        <w:color w:val="000000"/>
                        <w:szCs w:val="20"/>
                        <w:shd w:val="clear" w:color="auto" w:fill="FFFFFF"/>
                        <w:lang w:val="en-US"/>
                      </w:rPr>
                      <w:t>Randomized</w:t>
                    </w:r>
                    <w:r w:rsidRPr="009E6200">
                      <w:rPr>
                        <w:rFonts w:cs="Arial"/>
                        <w:color w:val="000000"/>
                        <w:szCs w:val="20"/>
                        <w:shd w:val="clear" w:color="auto" w:fill="FFFFFF"/>
                      </w:rPr>
                      <w:t xml:space="preserve">, </w:t>
                    </w:r>
                    <w:r w:rsidRPr="009E6200">
                      <w:rPr>
                        <w:rFonts w:cs="Arial"/>
                        <w:color w:val="000000"/>
                        <w:szCs w:val="20"/>
                        <w:shd w:val="clear" w:color="auto" w:fill="FFFFFF"/>
                        <w:lang w:val="en-US"/>
                      </w:rPr>
                      <w:t>Double</w:t>
                    </w:r>
                    <w:r w:rsidRPr="009E6200">
                      <w:rPr>
                        <w:rFonts w:cs="Arial"/>
                        <w:color w:val="000000"/>
                        <w:szCs w:val="20"/>
                        <w:shd w:val="clear" w:color="auto" w:fill="FFFFFF"/>
                      </w:rPr>
                      <w:t>-</w:t>
                    </w:r>
                    <w:r w:rsidRPr="009E6200">
                      <w:rPr>
                        <w:rFonts w:cs="Arial"/>
                        <w:color w:val="000000"/>
                        <w:szCs w:val="20"/>
                        <w:shd w:val="clear" w:color="auto" w:fill="FFFFFF"/>
                        <w:lang w:val="en-US"/>
                      </w:rPr>
                      <w:t>blind</w:t>
                    </w:r>
                    <w:r w:rsidRPr="009E6200">
                      <w:rPr>
                        <w:rFonts w:cs="Arial"/>
                        <w:color w:val="000000"/>
                        <w:szCs w:val="20"/>
                        <w:shd w:val="clear" w:color="auto" w:fill="FFFFFF"/>
                      </w:rPr>
                      <w:t xml:space="preserve">, Phase III Study) </w:t>
                    </w:r>
                    <w:r w:rsidRPr="009E6200">
                      <w:rPr>
                        <w:rFonts w:cs="Arial"/>
                        <w:color w:val="000000"/>
                        <w:szCs w:val="20"/>
                        <w:shd w:val="clear" w:color="auto" w:fill="FFFFFF"/>
                      </w:rPr>
                      <w:fldChar w:fldCharType="begin"/>
                    </w:r>
                    <w:r w:rsidRPr="009E6200">
                      <w:rPr>
                        <w:rFonts w:cs="Arial"/>
                        <w:color w:val="000000"/>
                        <w:szCs w:val="20"/>
                        <w:shd w:val="clear" w:color="auto" w:fill="FFFFFF"/>
                      </w:rPr>
                      <w:instrText xml:space="preserve"> ADDIN ZOTERO_ITEM CSL_CITATION {"citationID":"wUkXqFEY","properties":{"formattedCitation":"[3]","plainCitation":"[3]","noteIndex":0},"citationItems":[{"id":35025,"uris":["http://zotero.org/groups/2341397/items/QVY32IW5"],"uri":["http://zotero.org/groups/2341397/items/QVY32IW5"],"itemData":{"id":35025,"type":"article-journal","title":"Efficacy and Safety of the Biosimilar ABP 215 Compared with Bevacizumab in Patients with Advanced Nonsquamous Non-small Cell Lung Cancer (MAPLE): A Randomized, Double-blind, Phase III Study","container-title":"Clinical Cancer Research: An Official Journal of the American Association for Cancer Research","page":"2088-2095","volume":"25","issue":"7","source":"PubMed","abstract":"PURPOSE: This phase III study compared clinical efficacy and safety of the biosimilar ABP 215 with bevacizumab reference product (RP) in patients with advanced nonsquamous non-small cell lung cancer (NSCLC).\nPATIENTS AND METHODS: Patients were randomized 1:1 to ABP 215 or bevacizumab 15 mg/kg every three weeks for 6 cycles. All patients received carboplatin and paclitaxel every three weeks for ≥4 and ≤6 cycles. The primary efficacy endpoint was risk ratio of objective response rate (ORR); clinical equivalence was confirmed if the 2-sided 90% confidence interval (CI) of the risk ratio was within the margin of 0.67 to 1.5. Secondary endpoints included risk difference of ORR, duration of response (DOR), progression-free survival (PFS), and overall survival (OS); pharmacokinetics, adverse events (AEs), and incidence of antidrug antibodies (ADAs) were monitored.\nRESULTS: A total of 820 patients were screened; 642 were randomized to ABP 215 (n = 328) and bevacizumab (n = 314). Overall, 128 (39.0%) and 131 (41.7%) patients in the ABP 215 and bevacizumab groups, respectively, had objective responses [ORR risk ratio: 0.93 (90% CI, 0.80-1.09)]. In the ABP 215 and bevacizumab group, 308 (95.1%) and 289 (93.5%) patients, respectively, had at least 1 AE; 13 (4.0%) and 11 (3.6%) experienced a fatal AE. Anti-VEGF toxicity was low and comparable between treatment groups. At week 19, median trough serum drug concentration was 132 μg/mL (ABP 215 group) and 129 μg/mL (bevacizumab group). No patient tested positive for neutralizing antibodies.\nCONCLUSIONS: ABP 215 is similar to bevacizumab RP with respect to clinical efficacy, safety, immunogenicity, and pharmacokinetics. The totality of evidence supports clinical equivalence of ABP 215 and bevacizumab.","DOI":"10.1158/1078-0432.CCR-18-2702","ISSN":"1078-0432","note":"PMID: 30617139","title-short":"Efficacy and Safety of the Biosimilar ABP 215 Compared with Bevacizumab in Patients with Advanced Nonsquamous Non-small Cell Lung Cancer (MAPLE)","journalAbbreviation":"Clin. Cancer Res.","language":"eng","author":[{"family":"Thatcher","given":"Nicholas"},{"family":"Goldschmidt","given":"Jerome H."},{"family":"Thomas","given":"Michael"},{"family":"Schenker","given":"Michael"},{"family":"Pan","given":"Zhiying"},{"family":"Paz-Ares Rodriguez","given":"Luis"},{"family":"Breder","given":"Valery"},{"family":"Ostoros","given":"Gyula"},{"family":"Hanes","given":"Vladimir"}],"issued":{"date-parts":[["2019",4,1]]}}}],"schema":"https://github.com/citation-style-language/schema/raw/master/csl-citation.json"} </w:instrText>
                    </w:r>
                    <w:r w:rsidRPr="009E6200">
                      <w:rPr>
                        <w:rFonts w:cs="Arial"/>
                        <w:color w:val="000000"/>
                        <w:szCs w:val="20"/>
                        <w:shd w:val="clear" w:color="auto" w:fill="FFFFFF"/>
                      </w:rPr>
                      <w:fldChar w:fldCharType="separate"/>
                    </w:r>
                    <w:r w:rsidRPr="009E6200">
                      <w:rPr>
                        <w:rFonts w:cs="Times New Roman"/>
                      </w:rPr>
                      <w:t>[3]</w:t>
                    </w:r>
                    <w:r w:rsidRPr="009E6200">
                      <w:rPr>
                        <w:rFonts w:cs="Arial"/>
                        <w:color w:val="000000"/>
                        <w:szCs w:val="20"/>
                        <w:shd w:val="clear" w:color="auto" w:fill="FFFFFF"/>
                      </w:rPr>
                      <w:fldChar w:fldCharType="end"/>
                    </w:r>
                    <w:r w:rsidRPr="009E6200">
                      <w:rPr>
                        <w:rFonts w:cs="Arial"/>
                        <w:color w:val="000000"/>
                        <w:szCs w:val="20"/>
                        <w:shd w:val="clear" w:color="auto" w:fill="FFFFFF"/>
                      </w:rPr>
                      <w:t xml:space="preserve">, в котором также использовался показатель отношения долей (относительного риска) – в данном случае использованы границы от 0,67 до 1,5. </w:t>
                    </w:r>
                  </w:p>
                  <w:p w14:paraId="46393B94" w14:textId="77777777" w:rsidR="00AD69CE" w:rsidRPr="009E6200" w:rsidRDefault="00AD69CE" w:rsidP="007B46F5">
                    <w:pPr>
                      <w:pStyle w:val="SDText"/>
                      <w:numPr>
                        <w:ilvl w:val="0"/>
                        <w:numId w:val="27"/>
                      </w:numPr>
                      <w:jc w:val="both"/>
                      <w:rPr>
                        <w:rFonts w:cs="Arial"/>
                        <w:color w:val="000000"/>
                        <w:szCs w:val="20"/>
                        <w:shd w:val="clear" w:color="auto" w:fill="FFFFFF"/>
                      </w:rPr>
                    </w:pPr>
                    <w:r w:rsidRPr="009E6200">
                      <w:rPr>
                        <w:rFonts w:cs="Arial"/>
                        <w:color w:val="000000"/>
                        <w:szCs w:val="20"/>
                        <w:shd w:val="clear" w:color="auto" w:fill="FFFFFF"/>
                      </w:rPr>
                      <w:t xml:space="preserve">Частота объективного ответа через 6 месяцев для биоаналогов бевацизумаба (по данным публичных отчетов </w:t>
                    </w:r>
                    <w:r w:rsidRPr="009E6200">
                      <w:rPr>
                        <w:rFonts w:cs="Arial"/>
                        <w:color w:val="000000"/>
                        <w:szCs w:val="20"/>
                        <w:shd w:val="clear" w:color="auto" w:fill="FFFFFF"/>
                        <w:lang w:val="en-US"/>
                      </w:rPr>
                      <w:t>EMA</w:t>
                    </w:r>
                    <w:r w:rsidRPr="009E6200">
                      <w:rPr>
                        <w:rFonts w:cs="Arial"/>
                        <w:color w:val="000000"/>
                        <w:szCs w:val="20"/>
                        <w:shd w:val="clear" w:color="auto" w:fill="FFFFFF"/>
                      </w:rPr>
                      <w:t xml:space="preserve"> и F</w:t>
                    </w:r>
                    <w:r w:rsidRPr="009E6200">
                      <w:rPr>
                        <w:rFonts w:cs="Arial"/>
                        <w:color w:val="000000"/>
                        <w:szCs w:val="20"/>
                        <w:shd w:val="clear" w:color="auto" w:fill="FFFFFF"/>
                        <w:lang w:val="en-US"/>
                      </w:rPr>
                      <w:t>DA</w:t>
                    </w:r>
                    <w:r w:rsidRPr="009E6200">
                      <w:rPr>
                        <w:rFonts w:cs="Arial"/>
                        <w:color w:val="000000"/>
                        <w:szCs w:val="20"/>
                        <w:shd w:val="clear" w:color="auto" w:fill="FFFFFF"/>
                      </w:rPr>
                      <w:t xml:space="preserve">, а также публичных данных с сайта </w:t>
                    </w:r>
                    <w:r w:rsidRPr="009E6200">
                      <w:rPr>
                        <w:rFonts w:cs="Arial"/>
                        <w:color w:val="000000"/>
                        <w:szCs w:val="20"/>
                        <w:shd w:val="clear" w:color="auto" w:fill="FFFFFF"/>
                        <w:lang w:val="en-US"/>
                      </w:rPr>
                      <w:t>clinicaltrials</w:t>
                    </w:r>
                    <w:r w:rsidRPr="009E6200">
                      <w:rPr>
                        <w:rFonts w:cs="Arial"/>
                        <w:color w:val="000000"/>
                        <w:szCs w:val="20"/>
                        <w:shd w:val="clear" w:color="auto" w:fill="FFFFFF"/>
                      </w:rPr>
                      <w:t>.</w:t>
                    </w:r>
                    <w:r w:rsidRPr="009E6200">
                      <w:rPr>
                        <w:rFonts w:cs="Arial"/>
                        <w:color w:val="000000"/>
                        <w:szCs w:val="20"/>
                        <w:shd w:val="clear" w:color="auto" w:fill="FFFFFF"/>
                        <w:lang w:val="en-US"/>
                      </w:rPr>
                      <w:t>gov</w:t>
                    </w:r>
                    <w:r w:rsidRPr="009E6200">
                      <w:rPr>
                        <w:rFonts w:cs="Arial"/>
                        <w:color w:val="000000"/>
                        <w:szCs w:val="20"/>
                        <w:shd w:val="clear" w:color="auto" w:fill="FFFFFF"/>
                      </w:rPr>
                      <w:t>) составляет в среднем 40%, соответственно, вышеуказанные границы в абсолютном выражении составляют от 26,8% до 60%, что соответствует ширине доверительного интервала для разницы долей = 33,2% (для расчетов использована величина 33%)</w:t>
                    </w:r>
                  </w:p>
                  <w:p w14:paraId="1CAF6706" w14:textId="77777777" w:rsidR="00AD69CE" w:rsidRPr="009E6200" w:rsidRDefault="00AD69CE" w:rsidP="007B46F5">
                    <w:pPr>
                      <w:pStyle w:val="SDText"/>
                      <w:numPr>
                        <w:ilvl w:val="0"/>
                        <w:numId w:val="27"/>
                      </w:numPr>
                      <w:jc w:val="both"/>
                      <w:rPr>
                        <w:rFonts w:cs="Arial"/>
                        <w:color w:val="000000"/>
                        <w:szCs w:val="20"/>
                        <w:shd w:val="clear" w:color="auto" w:fill="FFFFFF"/>
                      </w:rPr>
                    </w:pPr>
                    <w:r w:rsidRPr="009E6200">
                      <w:rPr>
                        <w:rFonts w:cs="Arial"/>
                        <w:color w:val="000000"/>
                        <w:szCs w:val="20"/>
                        <w:shd w:val="clear" w:color="auto" w:fill="FFFFFF"/>
                      </w:rPr>
                      <w:t xml:space="preserve">В связи с близостью ЧОО к 50% претестовая вероятность, используемая в расчетах, оценена как неинформативная (частота достижения и недостижения исхода оценены как приблизительно равные, то есть для расчетов использованы неинформативные показатели </w:t>
                    </w:r>
                    <w:r w:rsidRPr="009E6200">
                      <w:rPr>
                        <w:rFonts w:cs="Arial"/>
                        <w:color w:val="000000"/>
                        <w:szCs w:val="20"/>
                        <w:shd w:val="clear" w:color="auto" w:fill="FFFFFF"/>
                        <w:lang w:val="en-US"/>
                      </w:rPr>
                      <w:t>c</w:t>
                    </w:r>
                    <w:r w:rsidRPr="009E6200">
                      <w:rPr>
                        <w:rFonts w:cs="Arial"/>
                        <w:color w:val="000000"/>
                        <w:szCs w:val="20"/>
                        <w:shd w:val="clear" w:color="auto" w:fill="FFFFFF"/>
                      </w:rPr>
                      <w:t xml:space="preserve"> и </w:t>
                    </w:r>
                    <w:r w:rsidRPr="009E6200">
                      <w:rPr>
                        <w:rFonts w:cs="Arial"/>
                        <w:color w:val="000000"/>
                        <w:szCs w:val="20"/>
                        <w:shd w:val="clear" w:color="auto" w:fill="FFFFFF"/>
                        <w:lang w:val="en-US"/>
                      </w:rPr>
                      <w:t>d</w:t>
                    </w:r>
                    <w:r w:rsidRPr="009E6200">
                      <w:rPr>
                        <w:rFonts w:cs="Arial"/>
                        <w:color w:val="000000"/>
                        <w:szCs w:val="20"/>
                        <w:shd w:val="clear" w:color="auto" w:fill="FFFFFF"/>
                      </w:rPr>
                      <w:t xml:space="preserve"> для бета-плотности биномиального распределения) – </w:t>
                    </w:r>
                    <w:r w:rsidRPr="009E6200">
                      <w:rPr>
                        <w:rFonts w:cs="Arial"/>
                        <w:color w:val="000000"/>
                        <w:szCs w:val="20"/>
                        <w:shd w:val="clear" w:color="auto" w:fill="FFFFFF"/>
                        <w:lang w:val="en-US"/>
                      </w:rPr>
                      <w:t>Beta</w:t>
                    </w:r>
                    <w:r w:rsidRPr="009E6200">
                      <w:rPr>
                        <w:rFonts w:cs="Arial"/>
                        <w:color w:val="000000"/>
                        <w:szCs w:val="20"/>
                        <w:shd w:val="clear" w:color="auto" w:fill="FFFFFF"/>
                      </w:rPr>
                      <w:t>[1,1]</w:t>
                    </w:r>
                  </w:p>
                  <w:p w14:paraId="101004E2" w14:textId="77777777" w:rsidR="00AD69CE" w:rsidRPr="009E6200" w:rsidRDefault="00AD69CE" w:rsidP="007B46F5">
                    <w:pPr>
                      <w:pStyle w:val="SDText"/>
                      <w:numPr>
                        <w:ilvl w:val="0"/>
                        <w:numId w:val="27"/>
                      </w:numPr>
                      <w:jc w:val="both"/>
                      <w:rPr>
                        <w:rFonts w:cs="Arial"/>
                        <w:color w:val="000000"/>
                        <w:szCs w:val="20"/>
                        <w:shd w:val="clear" w:color="auto" w:fill="FFFFFF"/>
                      </w:rPr>
                    </w:pPr>
                    <w:r w:rsidRPr="009E6200">
                      <w:rPr>
                        <w:rFonts w:cs="Arial"/>
                        <w:color w:val="000000"/>
                        <w:szCs w:val="20"/>
                        <w:shd w:val="clear" w:color="auto" w:fill="FFFFFF"/>
                      </w:rPr>
                      <w:t>Уровень значимости составляет 5% (как основной, так и для модели наихудшего исхода)</w:t>
                    </w:r>
                  </w:p>
                  <w:p w14:paraId="51981250" w14:textId="77777777" w:rsidR="00AD69CE" w:rsidRPr="009E6200" w:rsidRDefault="00AD69CE" w:rsidP="007B46F5">
                    <w:pPr>
                      <w:pStyle w:val="SDText"/>
                      <w:numPr>
                        <w:ilvl w:val="0"/>
                        <w:numId w:val="27"/>
                      </w:numPr>
                      <w:jc w:val="both"/>
                      <w:rPr>
                        <w:rFonts w:cs="Arial"/>
                        <w:color w:val="000000"/>
                        <w:szCs w:val="20"/>
                        <w:shd w:val="clear" w:color="auto" w:fill="FFFFFF"/>
                      </w:rPr>
                    </w:pPr>
                    <w:r w:rsidRPr="009E6200">
                      <w:rPr>
                        <w:rFonts w:cs="Arial"/>
                        <w:color w:val="000000"/>
                        <w:szCs w:val="20"/>
                        <w:shd w:val="clear" w:color="auto" w:fill="FFFFFF"/>
                      </w:rPr>
                      <w:t>Объем групп будет равным</w:t>
                    </w:r>
                  </w:p>
                  <w:p w14:paraId="52037A74" w14:textId="77777777" w:rsidR="00AD69CE" w:rsidRPr="009E6200" w:rsidRDefault="00AD69CE" w:rsidP="007B46F5">
                    <w:pPr>
                      <w:pStyle w:val="SDText"/>
                      <w:numPr>
                        <w:ilvl w:val="0"/>
                        <w:numId w:val="27"/>
                      </w:numPr>
                      <w:jc w:val="both"/>
                      <w:rPr>
                        <w:rFonts w:cs="Arial"/>
                        <w:color w:val="000000"/>
                        <w:szCs w:val="20"/>
                        <w:shd w:val="clear" w:color="auto" w:fill="FFFFFF"/>
                      </w:rPr>
                    </w:pPr>
                    <w:r w:rsidRPr="009E6200">
                      <w:rPr>
                        <w:rFonts w:cs="Arial"/>
                        <w:color w:val="000000"/>
                        <w:szCs w:val="20"/>
                        <w:shd w:val="clear" w:color="auto" w:fill="FFFFFF"/>
                      </w:rPr>
                      <w:t>Выбытие в ходе исследования не закладывается в расчет в связи с использованием методов компенсации отсутствующих данных в основном анализе</w:t>
                    </w:r>
                  </w:p>
                  <w:p w14:paraId="6A7D837D" w14:textId="56F7E1B1" w:rsidR="00AD69CE" w:rsidRPr="009E6200" w:rsidRDefault="00AD69CE" w:rsidP="007B46F5">
                    <w:pPr>
                      <w:pStyle w:val="SDText"/>
                      <w:jc w:val="both"/>
                      <w:rPr>
                        <w:rFonts w:cs="Arial"/>
                        <w:color w:val="000000"/>
                        <w:szCs w:val="20"/>
                        <w:shd w:val="clear" w:color="auto" w:fill="FFFFFF"/>
                      </w:rPr>
                    </w:pPr>
                    <w:r w:rsidRPr="009E6200">
                      <w:rPr>
                        <w:rFonts w:cs="Arial"/>
                        <w:color w:val="000000"/>
                        <w:szCs w:val="20"/>
                        <w:shd w:val="clear" w:color="auto" w:fill="FFFFFF"/>
                      </w:rPr>
                      <w:t xml:space="preserve">Расчеты проведены с использованием процедуры propdiff.mblmodwoc пакета SampleSizeProportions (версия 1.0) языка статистического программирования </w:t>
                    </w:r>
                    <w:r w:rsidRPr="009E6200">
                      <w:rPr>
                        <w:rFonts w:cs="Arial"/>
                        <w:color w:val="000000"/>
                        <w:szCs w:val="20"/>
                        <w:shd w:val="clear" w:color="auto" w:fill="FFFFFF"/>
                        <w:lang w:val="en-US"/>
                      </w:rPr>
                      <w:t>R</w:t>
                    </w:r>
                    <w:r w:rsidRPr="009E6200">
                      <w:rPr>
                        <w:rFonts w:cs="Arial"/>
                        <w:color w:val="000000"/>
                        <w:szCs w:val="20"/>
                        <w:shd w:val="clear" w:color="auto" w:fill="FFFFFF"/>
                      </w:rPr>
                      <w:t xml:space="preserve"> (использована версия языка </w:t>
                    </w:r>
                    <w:r w:rsidRPr="009E6200">
                      <w:rPr>
                        <w:rFonts w:cs="Arial"/>
                        <w:color w:val="000000"/>
                        <w:szCs w:val="20"/>
                        <w:shd w:val="clear" w:color="auto" w:fill="FFFFFF"/>
                        <w:lang w:val="en-US"/>
                      </w:rPr>
                      <w:t>R</w:t>
                    </w:r>
                    <w:r w:rsidRPr="009E6200">
                      <w:rPr>
                        <w:rFonts w:cs="Arial"/>
                        <w:color w:val="000000"/>
                        <w:szCs w:val="20"/>
                        <w:shd w:val="clear" w:color="auto" w:fill="FFFFFF"/>
                      </w:rPr>
                      <w:t xml:space="preserve"> 3.5.1 от </w:t>
                    </w:r>
                    <w:r w:rsidRPr="009E6200">
                      <w:rPr>
                        <w:rFonts w:cs="Arial"/>
                        <w:color w:val="000000"/>
                        <w:szCs w:val="20"/>
                        <w:shd w:val="clear" w:color="auto" w:fill="FFFFFF"/>
                        <w:lang w:val="en-US"/>
                      </w:rPr>
                      <w:t>Microsoft</w:t>
                    </w:r>
                    <w:r w:rsidRPr="009E6200">
                      <w:rPr>
                        <w:rFonts w:cs="Arial"/>
                        <w:color w:val="000000"/>
                        <w:szCs w:val="20"/>
                        <w:shd w:val="clear" w:color="auto" w:fill="FFFFFF"/>
                      </w:rPr>
                      <w:t xml:space="preserve"> (</w:t>
                    </w:r>
                    <w:r w:rsidRPr="009E6200">
                      <w:rPr>
                        <w:rFonts w:cs="Arial"/>
                        <w:color w:val="000000"/>
                        <w:szCs w:val="20"/>
                        <w:shd w:val="clear" w:color="auto" w:fill="FFFFFF"/>
                        <w:lang w:val="en-US"/>
                      </w:rPr>
                      <w:t>Microsoft</w:t>
                    </w:r>
                    <w:r w:rsidRPr="009E6200">
                      <w:rPr>
                        <w:rFonts w:cs="Arial"/>
                        <w:color w:val="000000"/>
                        <w:szCs w:val="20"/>
                        <w:shd w:val="clear" w:color="auto" w:fill="FFFFFF"/>
                      </w:rPr>
                      <w:t xml:space="preserve"> </w:t>
                    </w:r>
                    <w:r w:rsidRPr="009E6200">
                      <w:rPr>
                        <w:rFonts w:cs="Arial"/>
                        <w:color w:val="000000"/>
                        <w:szCs w:val="20"/>
                        <w:shd w:val="clear" w:color="auto" w:fill="FFFFFF"/>
                        <w:lang w:val="en-US"/>
                      </w:rPr>
                      <w:t>R</w:t>
                    </w:r>
                    <w:r w:rsidRPr="009E6200">
                      <w:rPr>
                        <w:rFonts w:cs="Arial"/>
                        <w:color w:val="000000"/>
                        <w:szCs w:val="20"/>
                        <w:shd w:val="clear" w:color="auto" w:fill="FFFFFF"/>
                      </w:rPr>
                      <w:t xml:space="preserve"> </w:t>
                    </w:r>
                    <w:r w:rsidRPr="009E6200">
                      <w:rPr>
                        <w:rFonts w:cs="Arial"/>
                        <w:color w:val="000000"/>
                        <w:szCs w:val="20"/>
                        <w:shd w:val="clear" w:color="auto" w:fill="FFFFFF"/>
                        <w:lang w:val="en-US"/>
                      </w:rPr>
                      <w:t>Application</w:t>
                    </w:r>
                    <w:r w:rsidRPr="009E6200">
                      <w:rPr>
                        <w:rFonts w:cs="Arial"/>
                        <w:color w:val="000000"/>
                        <w:szCs w:val="20"/>
                        <w:shd w:val="clear" w:color="auto" w:fill="FFFFFF"/>
                      </w:rPr>
                      <w:t xml:space="preserve"> </w:t>
                    </w:r>
                    <w:r w:rsidRPr="009E6200">
                      <w:rPr>
                        <w:rFonts w:cs="Arial"/>
                        <w:color w:val="000000"/>
                        <w:szCs w:val="20"/>
                        <w:shd w:val="clear" w:color="auto" w:fill="FFFFFF"/>
                        <w:lang w:val="en-US"/>
                      </w:rPr>
                      <w:t>Network</w:t>
                    </w:r>
                    <w:r w:rsidRPr="009E6200">
                      <w:rPr>
                        <w:rFonts w:cs="Arial"/>
                        <w:color w:val="000000"/>
                        <w:szCs w:val="20"/>
                        <w:shd w:val="clear" w:color="auto" w:fill="FFFFFF"/>
                      </w:rPr>
                      <w:t xml:space="preserve">, </w:t>
                    </w:r>
                    <w:hyperlink r:id="rId11" w:history="1">
                      <w:r w:rsidRPr="009E6200">
                        <w:rPr>
                          <w:rStyle w:val="Hyperlink"/>
                          <w:rFonts w:cs="Arial"/>
                          <w:szCs w:val="20"/>
                          <w:shd w:val="clear" w:color="auto" w:fill="FFFFFF"/>
                          <w:lang w:val="en-US"/>
                        </w:rPr>
                        <w:t>https</w:t>
                      </w:r>
                      <w:r w:rsidRPr="009E6200">
                        <w:rPr>
                          <w:rStyle w:val="Hyperlink"/>
                          <w:rFonts w:cs="Arial"/>
                          <w:szCs w:val="20"/>
                          <w:shd w:val="clear" w:color="auto" w:fill="FFFFFF"/>
                        </w:rPr>
                        <w:t>://</w:t>
                      </w:r>
                      <w:r w:rsidRPr="009E6200">
                        <w:rPr>
                          <w:rStyle w:val="Hyperlink"/>
                          <w:rFonts w:cs="Arial"/>
                          <w:szCs w:val="20"/>
                          <w:shd w:val="clear" w:color="auto" w:fill="FFFFFF"/>
                          <w:lang w:val="en-US"/>
                        </w:rPr>
                        <w:t>mran</w:t>
                      </w:r>
                      <w:r w:rsidRPr="009E6200">
                        <w:rPr>
                          <w:rStyle w:val="Hyperlink"/>
                          <w:rFonts w:cs="Arial"/>
                          <w:szCs w:val="20"/>
                          <w:shd w:val="clear" w:color="auto" w:fill="FFFFFF"/>
                        </w:rPr>
                        <w:t>.</w:t>
                      </w:r>
                      <w:r w:rsidRPr="009E6200">
                        <w:rPr>
                          <w:rStyle w:val="Hyperlink"/>
                          <w:rFonts w:cs="Arial"/>
                          <w:szCs w:val="20"/>
                          <w:shd w:val="clear" w:color="auto" w:fill="FFFFFF"/>
                          <w:lang w:val="en-US"/>
                        </w:rPr>
                        <w:t>microsoft</w:t>
                      </w:r>
                      <w:r w:rsidRPr="009E6200">
                        <w:rPr>
                          <w:rStyle w:val="Hyperlink"/>
                          <w:rFonts w:cs="Arial"/>
                          <w:szCs w:val="20"/>
                          <w:shd w:val="clear" w:color="auto" w:fill="FFFFFF"/>
                        </w:rPr>
                        <w:t>.</w:t>
                      </w:r>
                      <w:r w:rsidRPr="009E6200">
                        <w:rPr>
                          <w:rStyle w:val="Hyperlink"/>
                          <w:rFonts w:cs="Arial"/>
                          <w:szCs w:val="20"/>
                          <w:shd w:val="clear" w:color="auto" w:fill="FFFFFF"/>
                          <w:lang w:val="en-US"/>
                        </w:rPr>
                        <w:t>com</w:t>
                      </w:r>
                    </w:hyperlink>
                    <w:r w:rsidRPr="009E6200">
                      <w:rPr>
                        <w:rFonts w:cs="Arial"/>
                        <w:color w:val="000000"/>
                        <w:szCs w:val="20"/>
                        <w:shd w:val="clear" w:color="auto" w:fill="FFFFFF"/>
                      </w:rPr>
                      <w:t>).</w:t>
                    </w:r>
                  </w:p>
                  <w:p w14:paraId="6C2A39F5" w14:textId="77777777" w:rsidR="007F47FD" w:rsidRPr="009E6200" w:rsidRDefault="00AD69CE" w:rsidP="007B46F5">
                    <w:pPr>
                      <w:pStyle w:val="SDText"/>
                      <w:jc w:val="both"/>
                      <w:rPr>
                        <w:rFonts w:cs="Arial"/>
                        <w:color w:val="000000"/>
                        <w:szCs w:val="20"/>
                        <w:shd w:val="clear" w:color="auto" w:fill="FFFFFF"/>
                      </w:rPr>
                    </w:pPr>
                    <w:r w:rsidRPr="009E6200">
                      <w:rPr>
                        <w:rFonts w:cs="Arial"/>
                        <w:color w:val="000000"/>
                        <w:szCs w:val="20"/>
                        <w:shd w:val="clear" w:color="auto" w:fill="FFFFFF"/>
                      </w:rPr>
                      <w:t>Используя указанные выше допущения и условия, объем выборки, полученный с использованием симуляции Монте-Карло, составил 68 пациентов в каждой группе (итого – 136 пациентов).</w:t>
                    </w:r>
                  </w:p>
                </w:tc>
              </w:sdtContent>
            </w:sdt>
          </w:sdtContent>
        </w:sdt>
        <w:bookmarkEnd w:id="27" w:displacedByCustomXml="prev"/>
      </w:tr>
      <w:tr w:rsidR="00F46B68" w:rsidRPr="009E6200" w14:paraId="7F9B8E20" w14:textId="77777777" w:rsidTr="007B46F5">
        <w:trPr>
          <w:trHeight w:val="332"/>
        </w:trPr>
        <w:tc>
          <w:tcPr>
            <w:tcW w:w="1170" w:type="pct"/>
            <w:tcBorders>
              <w:top w:val="single" w:sz="4" w:space="0" w:color="00000A"/>
              <w:left w:val="single" w:sz="4" w:space="0" w:color="00000A"/>
              <w:bottom w:val="single" w:sz="4" w:space="0" w:color="00000A"/>
              <w:right w:val="single" w:sz="4" w:space="0" w:color="00000A"/>
            </w:tcBorders>
            <w:shd w:val="clear" w:color="auto" w:fill="auto"/>
            <w:tcMar>
              <w:top w:w="0" w:type="dxa"/>
              <w:left w:w="57" w:type="dxa"/>
              <w:bottom w:w="0" w:type="dxa"/>
              <w:right w:w="57" w:type="dxa"/>
            </w:tcMar>
          </w:tcPr>
          <w:p w14:paraId="7DB23D30" w14:textId="77777777" w:rsidR="007F47FD" w:rsidRPr="009E6200" w:rsidRDefault="007F47FD" w:rsidP="007B46F5">
            <w:pPr>
              <w:pStyle w:val="SDText"/>
              <w:jc w:val="both"/>
              <w:rPr>
                <w:b/>
                <w:lang w:eastAsia="ru-RU"/>
              </w:rPr>
            </w:pPr>
            <w:r w:rsidRPr="009E6200">
              <w:rPr>
                <w:b/>
                <w:lang w:eastAsia="ru-RU"/>
              </w:rPr>
              <w:t>Заслепление, рандомизация</w:t>
            </w:r>
          </w:p>
        </w:tc>
        <w:tc>
          <w:tcPr>
            <w:tcW w:w="3830" w:type="pct"/>
            <w:tcBorders>
              <w:top w:val="single" w:sz="4" w:space="0" w:color="00000A"/>
              <w:left w:val="single" w:sz="4" w:space="0" w:color="00000A"/>
              <w:bottom w:val="single" w:sz="4" w:space="0" w:color="00000A"/>
              <w:right w:val="single" w:sz="4" w:space="0" w:color="00000A"/>
            </w:tcBorders>
            <w:shd w:val="clear" w:color="auto" w:fill="auto"/>
            <w:tcMar>
              <w:top w:w="0" w:type="dxa"/>
              <w:left w:w="57" w:type="dxa"/>
              <w:bottom w:w="0" w:type="dxa"/>
              <w:right w:w="57" w:type="dxa"/>
            </w:tcMar>
          </w:tcPr>
          <w:p w14:paraId="39E24DD4" w14:textId="2D2784BB" w:rsidR="00FB2A76" w:rsidRPr="009E6200" w:rsidRDefault="00FB2A76" w:rsidP="007B46F5">
            <w:pPr>
              <w:pStyle w:val="SDText"/>
              <w:jc w:val="both"/>
              <w:rPr>
                <w:lang w:eastAsia="ru-RU"/>
              </w:rPr>
            </w:pPr>
            <w:r w:rsidRPr="009E6200">
              <w:rPr>
                <w:lang w:eastAsia="ru-RU"/>
              </w:rPr>
              <w:t xml:space="preserve">Планируется проведение двойного слепого рандомизированного исследования с основной и продленной </w:t>
            </w:r>
            <w:r w:rsidR="000B2B17" w:rsidRPr="009E6200">
              <w:rPr>
                <w:lang w:eastAsia="ru-RU"/>
              </w:rPr>
              <w:t xml:space="preserve">частями </w:t>
            </w:r>
            <w:r w:rsidRPr="009E6200">
              <w:rPr>
                <w:lang w:eastAsia="ru-RU"/>
              </w:rPr>
              <w:t>с</w:t>
            </w:r>
            <w:r w:rsidR="009250E2" w:rsidRPr="009E6200">
              <w:rPr>
                <w:lang w:eastAsia="ru-RU"/>
              </w:rPr>
              <w:t xml:space="preserve"> основным</w:t>
            </w:r>
            <w:r w:rsidRPr="009E6200">
              <w:rPr>
                <w:lang w:eastAsia="ru-RU"/>
              </w:rPr>
              <w:t xml:space="preserve"> анализом эффективности и безопасности по итогам основной </w:t>
            </w:r>
            <w:r w:rsidR="007E0256" w:rsidRPr="009E6200">
              <w:rPr>
                <w:lang w:eastAsia="ru-RU"/>
              </w:rPr>
              <w:t xml:space="preserve">части </w:t>
            </w:r>
            <w:r w:rsidRPr="009E6200">
              <w:rPr>
                <w:lang w:eastAsia="ru-RU"/>
              </w:rPr>
              <w:t>исследования</w:t>
            </w:r>
            <w:r w:rsidR="0005143B" w:rsidRPr="009E6200">
              <w:rPr>
                <w:lang w:eastAsia="ru-RU"/>
              </w:rPr>
              <w:t xml:space="preserve"> (после завершения всеми пациентами Визита 9)</w:t>
            </w:r>
            <w:r w:rsidRPr="009E6200">
              <w:rPr>
                <w:lang w:eastAsia="ru-RU"/>
              </w:rPr>
              <w:t xml:space="preserve"> </w:t>
            </w:r>
            <w:r w:rsidR="009250E2" w:rsidRPr="009E6200">
              <w:rPr>
                <w:lang w:eastAsia="ru-RU"/>
              </w:rPr>
              <w:t>и дополнительным анализом эффективности и безопасности по итогам продленной части исследования</w:t>
            </w:r>
            <w:r w:rsidR="0005143B" w:rsidRPr="009E6200">
              <w:rPr>
                <w:lang w:eastAsia="ru-RU"/>
              </w:rPr>
              <w:t xml:space="preserve"> (после завершения всеми пацентами Визита 18)</w:t>
            </w:r>
            <w:r w:rsidR="009250E2" w:rsidRPr="009E6200">
              <w:rPr>
                <w:lang w:eastAsia="ru-RU"/>
              </w:rPr>
              <w:t xml:space="preserve"> </w:t>
            </w:r>
            <w:r w:rsidRPr="009E6200">
              <w:rPr>
                <w:lang w:eastAsia="ru-RU"/>
              </w:rPr>
              <w:t>с использованием электронной системы рандомизации с распределением пациентов по группам терапии в соотношении 1:1 и стратификацией по характеру заболевания (в</w:t>
            </w:r>
            <w:r w:rsidRPr="009E6200">
              <w:t>первые диагностированный или рецидивирующий неплоскоклеточный НМРЛ)</w:t>
            </w:r>
            <w:r w:rsidR="0028319C" w:rsidRPr="009E6200">
              <w:t>, полу и курению (</w:t>
            </w:r>
            <w:r w:rsidR="00F6468A" w:rsidRPr="009E6200">
              <w:t>группа высокого риска по курению: стаж курения 20 пачка/лет и более, продолжающие курить пациенты или пациенты, бросившие курить менее чем за 15 лет до визита рандомизации; группа низкого риска по курению: пациенты, которые никогда не курили или бросили курить более чем за 15 лет до визита рандомизации</w:t>
            </w:r>
            <w:r w:rsidR="0040320D" w:rsidRPr="009E6200">
              <w:t>).</w:t>
            </w:r>
            <w:r w:rsidRPr="009E6200">
              <w:rPr>
                <w:lang w:eastAsia="ru-RU"/>
              </w:rPr>
              <w:t xml:space="preserve"> </w:t>
            </w:r>
          </w:p>
          <w:p w14:paraId="39D08D5E" w14:textId="77777777" w:rsidR="007F47FD" w:rsidRPr="009E6200" w:rsidRDefault="00FB2A76" w:rsidP="007B46F5">
            <w:pPr>
              <w:pStyle w:val="SDText"/>
              <w:jc w:val="both"/>
              <w:rPr>
                <w:lang w:eastAsia="ru-RU"/>
              </w:rPr>
            </w:pPr>
            <w:r w:rsidRPr="009E6200">
              <w:rPr>
                <w:lang w:eastAsia="ru-RU"/>
              </w:rPr>
              <w:t>Двойное ослепление будет достигаться путем приготовления бевацизумаба (исследуемого или препарата сравнения) для введения пациенту расслепленным врачом. При этом ни врачу-исследователю, ни врачу лучевой диагностики, ни лаборатории, ни пациенту не будет известно, какой препарат (исследуемый или препарат сравнения) получает пациент.</w:t>
            </w:r>
          </w:p>
          <w:p w14:paraId="36536933" w14:textId="2686E561" w:rsidR="008569D6" w:rsidRPr="009E6200" w:rsidRDefault="008569D6" w:rsidP="007B46F5">
            <w:pPr>
              <w:pStyle w:val="SDText"/>
              <w:jc w:val="both"/>
              <w:rPr>
                <w:lang w:eastAsia="ru-RU"/>
              </w:rPr>
            </w:pPr>
            <w:r w:rsidRPr="009E6200">
              <w:rPr>
                <w:lang w:eastAsia="ru-RU"/>
              </w:rPr>
              <w:t xml:space="preserve">В случае доказательства эквивалентности исследуемого препарата препарату сравнения по результатам основной </w:t>
            </w:r>
            <w:r w:rsidR="000B2B17" w:rsidRPr="009E6200">
              <w:rPr>
                <w:lang w:eastAsia="ru-RU"/>
              </w:rPr>
              <w:t xml:space="preserve">части </w:t>
            </w:r>
            <w:r w:rsidRPr="009E6200">
              <w:rPr>
                <w:lang w:eastAsia="ru-RU"/>
              </w:rPr>
              <w:t xml:space="preserve">исследования, в рамках продленной </w:t>
            </w:r>
            <w:r w:rsidR="000B2B17" w:rsidRPr="009E6200">
              <w:rPr>
                <w:lang w:eastAsia="ru-RU"/>
              </w:rPr>
              <w:t xml:space="preserve">части </w:t>
            </w:r>
            <w:r w:rsidRPr="009E6200">
              <w:rPr>
                <w:lang w:eastAsia="ru-RU"/>
              </w:rPr>
              <w:t>исследователь и пациент будут расслеплены, пациентам, получающим препарат сравнения Авастин</w:t>
            </w:r>
            <w:r w:rsidRPr="009E6200">
              <w:rPr>
                <w:vertAlign w:val="superscript"/>
                <w:lang w:eastAsia="ru-RU"/>
              </w:rPr>
              <w:t>®</w:t>
            </w:r>
            <w:r w:rsidRPr="009E6200">
              <w:rPr>
                <w:lang w:eastAsia="ru-RU"/>
              </w:rPr>
              <w:t xml:space="preserve"> будет предложено продолжить лечение препаратом RPH-001.</w:t>
            </w:r>
          </w:p>
          <w:p w14:paraId="10CC1057" w14:textId="26D76910" w:rsidR="0005143B" w:rsidRPr="009E6200" w:rsidRDefault="0005143B" w:rsidP="007B46F5">
            <w:pPr>
              <w:pStyle w:val="SDText"/>
              <w:jc w:val="both"/>
              <w:rPr>
                <w:lang w:eastAsia="ru-RU"/>
              </w:rPr>
            </w:pPr>
            <w:r w:rsidRPr="009E6200">
              <w:rPr>
                <w:lang w:eastAsia="ru-RU"/>
              </w:rPr>
              <w:t xml:space="preserve">Данные, полученные из рутинной клинической практики (Визит 19 и далее, до завершения участия всех пациентов в исследовании либо наступления условий, предписывающих прекращение участия как отдельных пациентов, так и исследования в целом), будут представлены в виде информационных материалов, которые будут направлены в исследовательские центры и регуляторные органы с информационной целью. В связи с тем, что в рамках последующего наблюдения информация будет собираться только в рамках рутинной клинической практики и будет носить несравнительный характер, она будет представлена описательно, по фактическим данным, без проведения какого-либо статистического анализа. </w:t>
            </w:r>
          </w:p>
        </w:tc>
      </w:tr>
    </w:tbl>
    <w:p w14:paraId="0DA86E7E" w14:textId="77777777" w:rsidR="00E86CC0" w:rsidRPr="009E6200" w:rsidRDefault="00E86CC0" w:rsidP="007B46F5">
      <w:pPr>
        <w:jc w:val="both"/>
        <w:sectPr w:rsidR="00E86CC0" w:rsidRPr="009E6200" w:rsidSect="007B46F5">
          <w:headerReference w:type="even" r:id="rId12"/>
          <w:headerReference w:type="default" r:id="rId13"/>
          <w:footerReference w:type="even" r:id="rId14"/>
          <w:footerReference w:type="default" r:id="rId15"/>
          <w:headerReference w:type="first" r:id="rId16"/>
          <w:footerReference w:type="first" r:id="rId17"/>
          <w:pgSz w:w="11906" w:h="16838"/>
          <w:pgMar w:top="1134" w:right="850" w:bottom="1134" w:left="1701" w:header="709" w:footer="708" w:gutter="0"/>
          <w:cols w:space="708"/>
          <w:docGrid w:linePitch="360"/>
        </w:sectPr>
      </w:pPr>
      <w:bookmarkStart w:id="28" w:name="_Toc464212826"/>
    </w:p>
    <w:p w14:paraId="11A39DD6" w14:textId="77777777" w:rsidR="00EF25E9" w:rsidRPr="007B46F5" w:rsidRDefault="00EF25E9" w:rsidP="007B46F5">
      <w:pPr>
        <w:pStyle w:val="Heading1"/>
        <w:spacing w:before="0" w:after="0" w:line="240" w:lineRule="auto"/>
        <w:jc w:val="both"/>
        <w:rPr>
          <w:color w:val="auto"/>
          <w:sz w:val="28"/>
          <w:szCs w:val="24"/>
          <w:lang w:eastAsia="ru-RU"/>
        </w:rPr>
      </w:pPr>
      <w:bookmarkStart w:id="29" w:name="_Toc120865219"/>
      <w:r w:rsidRPr="007B46F5">
        <w:rPr>
          <w:color w:val="auto"/>
          <w:sz w:val="28"/>
          <w:szCs w:val="24"/>
          <w:lang w:eastAsia="ru-RU"/>
        </w:rPr>
        <w:t>Общая информация</w:t>
      </w:r>
      <w:bookmarkEnd w:id="28"/>
      <w:bookmarkEnd w:id="29"/>
    </w:p>
    <w:p w14:paraId="37E7041F" w14:textId="77777777" w:rsidR="00BB6320" w:rsidRPr="00BB6320" w:rsidRDefault="00BB6320" w:rsidP="007B46F5">
      <w:bookmarkStart w:id="30" w:name="_Toc464212827"/>
    </w:p>
    <w:p w14:paraId="4CEAC7D9" w14:textId="78D253D5" w:rsidR="00EF25E9" w:rsidRPr="009E6200" w:rsidRDefault="00EF25E9" w:rsidP="007B46F5">
      <w:pPr>
        <w:pStyle w:val="Heading2"/>
      </w:pPr>
      <w:bookmarkStart w:id="31" w:name="_Toc120865220"/>
      <w:r w:rsidRPr="009E6200">
        <w:t>Название протокола, идентификационный номер протокола и дата:</w:t>
      </w:r>
      <w:bookmarkEnd w:id="30"/>
      <w:bookmarkEnd w:id="31"/>
      <w:r w:rsidRPr="009E6200">
        <w:t xml:space="preserve"> </w:t>
      </w:r>
    </w:p>
    <w:p w14:paraId="52B63499" w14:textId="77777777" w:rsidR="00BB6320" w:rsidRDefault="00BB6320" w:rsidP="007B46F5">
      <w:pPr>
        <w:pStyle w:val="SDText"/>
        <w:jc w:val="both"/>
        <w:rPr>
          <w:b/>
          <w:lang w:eastAsia="ru-RU"/>
        </w:rPr>
      </w:pPr>
    </w:p>
    <w:p w14:paraId="6601B702" w14:textId="07E76263" w:rsidR="00E86CC0" w:rsidRPr="009E6200" w:rsidRDefault="00E71B06" w:rsidP="007B46F5">
      <w:pPr>
        <w:pStyle w:val="SDText"/>
        <w:jc w:val="both"/>
        <w:rPr>
          <w:b/>
        </w:rPr>
      </w:pPr>
      <w:r w:rsidRPr="009E6200">
        <w:rPr>
          <w:b/>
          <w:lang w:eastAsia="ru-RU"/>
        </w:rPr>
        <w:t>Название</w:t>
      </w:r>
      <w:r w:rsidRPr="009E6200">
        <w:rPr>
          <w:lang w:eastAsia="ru-RU"/>
        </w:rPr>
        <w:t>:</w:t>
      </w:r>
      <w:r w:rsidR="003C3DFF" w:rsidRPr="009E6200">
        <w:rPr>
          <w:rFonts w:cs="Times New Roman"/>
          <w:szCs w:val="24"/>
        </w:rPr>
        <w:t xml:space="preserve"> </w:t>
      </w:r>
      <w:sdt>
        <w:sdtPr>
          <w:id w:val="-130786301"/>
          <w:placeholder>
            <w:docPart w:val="621D8BDDD8CE43D6BB8BA78627557CA3"/>
          </w:placeholder>
        </w:sdtPr>
        <w:sdtEndPr/>
        <w:sdtContent>
          <w:r w:rsidR="001D1A4D" w:rsidRPr="009E6200">
            <w:fldChar w:fldCharType="begin"/>
          </w:r>
          <w:r w:rsidR="001D1A4D" w:rsidRPr="009E6200">
            <w:instrText xml:space="preserve"> </w:instrText>
          </w:r>
          <w:r w:rsidR="001D1A4D" w:rsidRPr="009E6200">
            <w:rPr>
              <w:lang w:val="en-US"/>
            </w:rPr>
            <w:instrText>REF</w:instrText>
          </w:r>
          <w:r w:rsidR="001D1A4D" w:rsidRPr="009E6200">
            <w:instrText xml:space="preserve"> "OLE_LINK1" \* MERGEFORMAT </w:instrText>
          </w:r>
          <w:r w:rsidR="001D1A4D" w:rsidRPr="009E6200">
            <w:fldChar w:fldCharType="separate"/>
          </w:r>
          <w:sdt>
            <w:sdtPr>
              <w:alias w:val="Название исследования"/>
              <w:tag w:val="Название исследования"/>
              <w:id w:val="1464928670"/>
              <w:placeholder>
                <w:docPart w:val="22ACF9FA9CF44DE8AE3E43EF90D56011"/>
              </w:placeholder>
            </w:sdtPr>
            <w:sdtEndPr/>
            <w:sdtContent>
              <w:sdt>
                <w:sdtPr>
                  <w:alias w:val="Название исследования"/>
                  <w:tag w:val="Название исследования"/>
                  <w:id w:val="1221634856"/>
                  <w:placeholder>
                    <w:docPart w:val="61359440748E4F81A9B12D40F06577AD"/>
                  </w:placeholder>
                </w:sdtPr>
                <w:sdtEndPr/>
                <w:sdtContent>
                  <w:r w:rsidR="005A436A" w:rsidRPr="009E6200">
                    <w:t>Рандомизированное, многоцентровое, двойное слепое клиническое исследование для оценки эффективности и безопасности препарата RPH-001 (биоаналога Авастина</w:t>
                  </w:r>
                  <w:r w:rsidR="005A436A" w:rsidRPr="005A436A">
                    <w:t>®</w:t>
                  </w:r>
                  <w:r w:rsidR="005A436A" w:rsidRPr="009E6200">
                    <w:t>, АО «Р-Фарм»</w:t>
                  </w:r>
                  <w:r w:rsidR="005A436A" w:rsidRPr="005A436A">
                    <w:rPr>
                      <w:vertAlign w:val="superscript"/>
                    </w:rPr>
                    <w:t>,</w:t>
                  </w:r>
                  <w:r w:rsidR="005A436A" w:rsidRPr="009E6200">
                    <w:t xml:space="preserve"> Россия ) в</w:t>
                  </w:r>
                  <w:r w:rsidR="005A436A" w:rsidRPr="005A436A">
                    <w:rPr>
                      <w:vertAlign w:val="superscript"/>
                    </w:rPr>
                    <w:t xml:space="preserve"> </w:t>
                  </w:r>
                  <w:r w:rsidR="005A436A" w:rsidRPr="009E6200">
                    <w:t>сравнении с Авастином</w:t>
                  </w:r>
                  <w:r w:rsidR="005A436A" w:rsidRPr="005A436A">
                    <w:t>®</w:t>
                  </w:r>
                  <w:r w:rsidR="005A436A" w:rsidRPr="009E6200">
                    <w:t xml:space="preserve"> (Ф. Хоффманн-Ля </w:t>
                  </w:r>
                  <w:r w:rsidR="005A436A" w:rsidRPr="005A436A">
                    <w:rPr>
                      <w:vertAlign w:val="superscript"/>
                    </w:rPr>
                    <w:t>Рош</w:t>
                  </w:r>
                  <w:r w:rsidR="005A436A" w:rsidRPr="009E6200">
                    <w:t xml:space="preserve"> Лтд., Швейцария) в комбинации с карбоплатином и паклитакселом в лечении пациентов с неплоскоклеточным немелкоклеточным раком легкого стадии IIIB/IV</w:t>
                  </w:r>
                </w:sdtContent>
              </w:sdt>
            </w:sdtContent>
          </w:sdt>
          <w:r w:rsidR="001D1A4D" w:rsidRPr="009E6200">
            <w:fldChar w:fldCharType="end"/>
          </w:r>
        </w:sdtContent>
      </w:sdt>
      <w:r w:rsidR="001D1A4D" w:rsidRPr="009E6200">
        <w:rPr>
          <w:b/>
        </w:rPr>
        <w:t xml:space="preserve"> </w:t>
      </w:r>
    </w:p>
    <w:p w14:paraId="6AD6A622" w14:textId="63748F58" w:rsidR="00342A51" w:rsidRPr="009E6200" w:rsidRDefault="00EF25E9" w:rsidP="007B46F5">
      <w:pPr>
        <w:pStyle w:val="SDText"/>
        <w:jc w:val="both"/>
      </w:pPr>
      <w:r w:rsidRPr="009E6200">
        <w:rPr>
          <w:b/>
        </w:rPr>
        <w:t>Идентификационный номер протокола</w:t>
      </w:r>
      <w:r w:rsidR="00B1113F" w:rsidRPr="009E6200">
        <w:t>:</w:t>
      </w:r>
      <w:r w:rsidR="003C3DFF" w:rsidRPr="009E6200">
        <w:t xml:space="preserve"> </w:t>
      </w:r>
      <w:r w:rsidR="001D1A4D" w:rsidRPr="009E6200">
        <w:rPr>
          <w:noProof/>
        </w:rPr>
        <w:fldChar w:fldCharType="begin"/>
      </w:r>
      <w:r w:rsidR="001D1A4D" w:rsidRPr="009E6200">
        <w:rPr>
          <w:noProof/>
        </w:rPr>
        <w:instrText xml:space="preserve"> STYLEREF  ProtID  \* MERGEFORMAT </w:instrText>
      </w:r>
      <w:r w:rsidR="001D1A4D" w:rsidRPr="009E6200">
        <w:rPr>
          <w:noProof/>
        </w:rPr>
        <w:fldChar w:fldCharType="separate"/>
      </w:r>
      <w:r w:rsidR="005A436A">
        <w:rPr>
          <w:noProof/>
        </w:rPr>
        <w:t>CL01011070</w:t>
      </w:r>
      <w:r w:rsidR="001D1A4D" w:rsidRPr="009E6200">
        <w:rPr>
          <w:noProof/>
        </w:rPr>
        <w:fldChar w:fldCharType="end"/>
      </w:r>
    </w:p>
    <w:p w14:paraId="47B06175" w14:textId="24185AFF" w:rsidR="00063FF4" w:rsidRPr="009E6200" w:rsidRDefault="00063FF4" w:rsidP="007B46F5">
      <w:pPr>
        <w:pStyle w:val="SDText"/>
        <w:jc w:val="both"/>
        <w:rPr>
          <w:rFonts w:cs="Times New Roman"/>
          <w:lang w:eastAsia="ru-RU"/>
        </w:rPr>
      </w:pPr>
      <w:bookmarkStart w:id="32" w:name="_Toc464212828"/>
      <w:bookmarkStart w:id="33" w:name="_Toc523731561"/>
      <w:bookmarkStart w:id="34" w:name="_Toc464212830"/>
      <w:r w:rsidRPr="009E6200">
        <w:rPr>
          <w:rFonts w:cs="Times New Roman"/>
          <w:b/>
          <w:lang w:eastAsia="ru-RU"/>
        </w:rPr>
        <w:t>Версия протокола</w:t>
      </w:r>
      <w:r w:rsidRPr="009E6200">
        <w:rPr>
          <w:rFonts w:cs="Times New Roman"/>
          <w:lang w:eastAsia="ru-RU"/>
        </w:rPr>
        <w:t xml:space="preserve">: </w:t>
      </w:r>
      <w:r w:rsidRPr="009E6200">
        <w:rPr>
          <w:rFonts w:cs="Times New Roman"/>
          <w:lang w:eastAsia="ru-RU"/>
        </w:rPr>
        <w:fldChar w:fldCharType="begin"/>
      </w:r>
      <w:r w:rsidRPr="009E6200">
        <w:rPr>
          <w:rFonts w:cs="Times New Roman"/>
          <w:lang w:eastAsia="ru-RU"/>
        </w:rPr>
        <w:instrText xml:space="preserve"> STYLEREF  ProtVers  \* MERGEFORMAT </w:instrText>
      </w:r>
      <w:r w:rsidRPr="009E6200">
        <w:rPr>
          <w:rFonts w:cs="Times New Roman"/>
          <w:lang w:eastAsia="ru-RU"/>
        </w:rPr>
        <w:fldChar w:fldCharType="separate"/>
      </w:r>
      <w:r w:rsidR="00577BCF">
        <w:rPr>
          <w:rFonts w:cs="Times New Roman"/>
          <w:noProof/>
          <w:lang w:eastAsia="ru-RU"/>
        </w:rPr>
        <w:t>4</w:t>
      </w:r>
      <w:r w:rsidR="005A436A">
        <w:rPr>
          <w:rFonts w:cs="Times New Roman"/>
          <w:noProof/>
          <w:lang w:eastAsia="ru-RU"/>
        </w:rPr>
        <w:t>.0</w:t>
      </w:r>
      <w:r w:rsidRPr="009E6200">
        <w:rPr>
          <w:rFonts w:cs="Times New Roman"/>
          <w:lang w:eastAsia="ru-RU"/>
        </w:rPr>
        <w:fldChar w:fldCharType="end"/>
      </w:r>
    </w:p>
    <w:p w14:paraId="5497B020" w14:textId="7315E65A" w:rsidR="00063FF4" w:rsidRDefault="00063FF4" w:rsidP="007B46F5">
      <w:pPr>
        <w:pStyle w:val="SDText"/>
        <w:jc w:val="both"/>
        <w:rPr>
          <w:rFonts w:cs="Times New Roman"/>
          <w:lang w:val="en-US" w:eastAsia="ru-RU"/>
        </w:rPr>
      </w:pPr>
      <w:r w:rsidRPr="009E6200">
        <w:rPr>
          <w:rFonts w:cs="Times New Roman"/>
          <w:b/>
          <w:lang w:eastAsia="ru-RU"/>
        </w:rPr>
        <w:t>Дата:</w:t>
      </w:r>
      <w:r w:rsidRPr="008C68D8">
        <w:rPr>
          <w:rFonts w:cs="Times New Roman"/>
          <w:lang w:eastAsia="ru-RU"/>
        </w:rPr>
        <w:t xml:space="preserve"> </w:t>
      </w:r>
      <w:r w:rsidRPr="008C68D8">
        <w:rPr>
          <w:rFonts w:cs="Times New Roman"/>
          <w:lang w:val="en-US" w:eastAsia="ru-RU"/>
        </w:rPr>
        <w:fldChar w:fldCharType="begin"/>
      </w:r>
      <w:r w:rsidRPr="008C68D8">
        <w:rPr>
          <w:rFonts w:cs="Times New Roman"/>
          <w:lang w:eastAsia="ru-RU"/>
        </w:rPr>
        <w:instrText xml:space="preserve"> </w:instrText>
      </w:r>
      <w:r w:rsidRPr="008C68D8">
        <w:rPr>
          <w:rFonts w:cs="Times New Roman"/>
          <w:lang w:val="en-US" w:eastAsia="ru-RU"/>
        </w:rPr>
        <w:instrText>STYLEREF</w:instrText>
      </w:r>
      <w:r w:rsidRPr="008C68D8">
        <w:rPr>
          <w:rFonts w:cs="Times New Roman"/>
          <w:lang w:eastAsia="ru-RU"/>
        </w:rPr>
        <w:instrText xml:space="preserve">  </w:instrText>
      </w:r>
      <w:r w:rsidRPr="008C68D8">
        <w:rPr>
          <w:rFonts w:cs="Times New Roman"/>
          <w:lang w:val="en-US" w:eastAsia="ru-RU"/>
        </w:rPr>
        <w:instrText>ProtVersDate</w:instrText>
      </w:r>
      <w:r w:rsidRPr="008C68D8">
        <w:rPr>
          <w:rFonts w:cs="Times New Roman"/>
          <w:lang w:eastAsia="ru-RU"/>
        </w:rPr>
        <w:instrText xml:space="preserve">  \* </w:instrText>
      </w:r>
      <w:r w:rsidRPr="008C68D8">
        <w:rPr>
          <w:rFonts w:cs="Times New Roman"/>
          <w:lang w:val="en-US" w:eastAsia="ru-RU"/>
        </w:rPr>
        <w:instrText>MERGEFORMAT</w:instrText>
      </w:r>
      <w:r w:rsidRPr="008C68D8">
        <w:rPr>
          <w:rFonts w:cs="Times New Roman"/>
          <w:lang w:eastAsia="ru-RU"/>
        </w:rPr>
        <w:instrText xml:space="preserve"> </w:instrText>
      </w:r>
      <w:r w:rsidRPr="008C68D8">
        <w:rPr>
          <w:rFonts w:cs="Times New Roman"/>
          <w:lang w:val="en-US" w:eastAsia="ru-RU"/>
        </w:rPr>
        <w:fldChar w:fldCharType="separate"/>
      </w:r>
      <w:r w:rsidR="007B46F5">
        <w:rPr>
          <w:rFonts w:cs="Times New Roman"/>
          <w:noProof/>
          <w:lang w:eastAsia="ru-RU"/>
        </w:rPr>
        <w:t>01</w:t>
      </w:r>
      <w:r w:rsidR="005A436A" w:rsidRPr="005A436A">
        <w:rPr>
          <w:rFonts w:cs="Times New Roman"/>
          <w:noProof/>
          <w:lang w:eastAsia="ru-RU"/>
        </w:rPr>
        <w:t>.</w:t>
      </w:r>
      <w:r w:rsidR="007B46F5">
        <w:rPr>
          <w:rFonts w:cs="Times New Roman"/>
          <w:noProof/>
          <w:lang w:eastAsia="ru-RU"/>
        </w:rPr>
        <w:t>12</w:t>
      </w:r>
      <w:r w:rsidR="005A436A" w:rsidRPr="005A436A">
        <w:rPr>
          <w:rFonts w:cs="Times New Roman"/>
          <w:noProof/>
          <w:lang w:eastAsia="ru-RU"/>
        </w:rPr>
        <w:t>.2022</w:t>
      </w:r>
      <w:r w:rsidRPr="008C68D8">
        <w:rPr>
          <w:rFonts w:cs="Times New Roman"/>
          <w:lang w:val="en-US" w:eastAsia="ru-RU"/>
        </w:rPr>
        <w:fldChar w:fldCharType="end"/>
      </w:r>
    </w:p>
    <w:p w14:paraId="7E3DEE63" w14:textId="77777777" w:rsidR="00BB6320" w:rsidRPr="008C68D8" w:rsidRDefault="00BB6320" w:rsidP="007B46F5">
      <w:pPr>
        <w:pStyle w:val="SDText"/>
        <w:jc w:val="both"/>
        <w:rPr>
          <w:rFonts w:cs="Times New Roman"/>
          <w:lang w:eastAsia="ru-RU"/>
        </w:rPr>
      </w:pPr>
    </w:p>
    <w:p w14:paraId="5A4CA7AC" w14:textId="404E39B8" w:rsidR="00297EEB" w:rsidRDefault="00297EEB" w:rsidP="007B46F5">
      <w:pPr>
        <w:pStyle w:val="Heading2"/>
      </w:pPr>
      <w:bookmarkStart w:id="35" w:name="_Toc120865221"/>
      <w:r w:rsidRPr="009E6200">
        <w:t>Наименование/имя и адрес спонсора и монитора (если они различаются)</w:t>
      </w:r>
      <w:bookmarkEnd w:id="32"/>
      <w:bookmarkEnd w:id="33"/>
      <w:bookmarkEnd w:id="35"/>
    </w:p>
    <w:p w14:paraId="14091D1D" w14:textId="77777777" w:rsidR="00BB6320" w:rsidRPr="00BB6320" w:rsidRDefault="00BB6320" w:rsidP="007B46F5">
      <w:pPr>
        <w:pStyle w:val="SDText"/>
        <w:rPr>
          <w:lang w:eastAsia="ru-RU"/>
        </w:rPr>
      </w:pPr>
    </w:p>
    <w:p w14:paraId="49C9487A" w14:textId="77777777" w:rsidR="00297EEB" w:rsidRPr="009E6200" w:rsidRDefault="00661EE7" w:rsidP="007B46F5">
      <w:pPr>
        <w:pStyle w:val="SDText"/>
        <w:jc w:val="both"/>
        <w:rPr>
          <w:rFonts w:cs="Times New Roman"/>
          <w:lang w:val="en-US" w:eastAsia="ru-RU"/>
        </w:rPr>
      </w:pPr>
      <w:r w:rsidRPr="009E6200">
        <w:rPr>
          <w:rFonts w:cs="Times New Roman"/>
          <w:lang w:eastAsia="ru-RU"/>
        </w:rPr>
        <w:t xml:space="preserve"> </w:t>
      </w:r>
      <w:r w:rsidR="00297EEB" w:rsidRPr="009E6200">
        <w:rPr>
          <w:rFonts w:cs="Times New Roman"/>
          <w:lang w:eastAsia="ru-RU"/>
        </w:rPr>
        <w:t>Спонсор исследования:</w:t>
      </w:r>
      <w:r w:rsidRPr="009E6200">
        <w:rPr>
          <w:rFonts w:cs="Times New Roman"/>
          <w:lang w:val="en-US" w:eastAsia="ru-RU"/>
        </w:rPr>
        <w:t xml:space="preserve"> </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100"/>
      </w:tblGrid>
      <w:tr w:rsidR="00F46B68" w:rsidRPr="009E6200" w14:paraId="0609A485" w14:textId="77777777" w:rsidTr="005D3252">
        <w:tc>
          <w:tcPr>
            <w:tcW w:w="3256" w:type="dxa"/>
          </w:tcPr>
          <w:p w14:paraId="49EE45BD" w14:textId="77777777" w:rsidR="007E5AC5" w:rsidRPr="009E6200" w:rsidRDefault="007E5AC5" w:rsidP="007B46F5">
            <w:pPr>
              <w:pStyle w:val="NormalWeb"/>
              <w:spacing w:before="0" w:beforeAutospacing="0" w:after="0" w:afterAutospacing="0"/>
              <w:ind w:right="57"/>
              <w:jc w:val="both"/>
            </w:pPr>
            <w:r w:rsidRPr="009E6200">
              <w:t>Наименование организации:</w:t>
            </w:r>
          </w:p>
        </w:tc>
        <w:tc>
          <w:tcPr>
            <w:tcW w:w="6100" w:type="dxa"/>
          </w:tcPr>
          <w:p w14:paraId="54F64032" w14:textId="77777777" w:rsidR="007E5AC5" w:rsidRPr="009E6200" w:rsidRDefault="007E5AC5" w:rsidP="007B46F5">
            <w:pPr>
              <w:pStyle w:val="NormalWeb"/>
              <w:spacing w:before="0" w:beforeAutospacing="0" w:after="0" w:afterAutospacing="0"/>
              <w:jc w:val="both"/>
            </w:pPr>
            <w:r w:rsidRPr="009E6200">
              <w:t>Компания АО «Р-Фарм», Россия,</w:t>
            </w:r>
          </w:p>
        </w:tc>
      </w:tr>
      <w:tr w:rsidR="00F46B68" w:rsidRPr="009E6200" w14:paraId="6EB94D7B" w14:textId="77777777" w:rsidTr="005D3252">
        <w:tc>
          <w:tcPr>
            <w:tcW w:w="3256" w:type="dxa"/>
          </w:tcPr>
          <w:p w14:paraId="3AF93A70" w14:textId="77777777" w:rsidR="007E5AC5" w:rsidRPr="009E6200" w:rsidRDefault="007E5AC5" w:rsidP="007B46F5">
            <w:pPr>
              <w:pStyle w:val="NormalWeb"/>
              <w:spacing w:before="0" w:beforeAutospacing="0" w:after="0" w:afterAutospacing="0"/>
              <w:ind w:right="57"/>
              <w:jc w:val="both"/>
            </w:pPr>
            <w:r w:rsidRPr="009E6200">
              <w:t>Адрес:</w:t>
            </w:r>
            <w:r w:rsidRPr="009E6200">
              <w:tab/>
            </w:r>
          </w:p>
        </w:tc>
        <w:tc>
          <w:tcPr>
            <w:tcW w:w="6100" w:type="dxa"/>
          </w:tcPr>
          <w:p w14:paraId="0643B667" w14:textId="77777777" w:rsidR="007E5AC5" w:rsidRPr="009E6200" w:rsidRDefault="007E5AC5" w:rsidP="007B46F5">
            <w:pPr>
              <w:pStyle w:val="NormalWeb"/>
              <w:spacing w:before="0" w:beforeAutospacing="0" w:after="0" w:afterAutospacing="0"/>
              <w:jc w:val="both"/>
            </w:pPr>
            <w:r w:rsidRPr="009E6200">
              <w:t>123154, Москва, ул.  Берзарина, д. 19, корп. 1</w:t>
            </w:r>
          </w:p>
        </w:tc>
      </w:tr>
      <w:tr w:rsidR="00F46B68" w:rsidRPr="009E6200" w14:paraId="1D57C9E2" w14:textId="77777777" w:rsidTr="005D3252">
        <w:tc>
          <w:tcPr>
            <w:tcW w:w="3256" w:type="dxa"/>
          </w:tcPr>
          <w:p w14:paraId="55DE4D23" w14:textId="77777777" w:rsidR="007E5AC5" w:rsidRPr="009E6200" w:rsidRDefault="007E5AC5" w:rsidP="007B46F5">
            <w:pPr>
              <w:pStyle w:val="NormalWeb"/>
              <w:spacing w:before="0" w:beforeAutospacing="0" w:after="0" w:afterAutospacing="0"/>
              <w:ind w:right="57"/>
              <w:jc w:val="both"/>
            </w:pPr>
            <w:r w:rsidRPr="009E6200">
              <w:t xml:space="preserve">Телефон: </w:t>
            </w:r>
          </w:p>
        </w:tc>
        <w:tc>
          <w:tcPr>
            <w:tcW w:w="6100" w:type="dxa"/>
          </w:tcPr>
          <w:p w14:paraId="4C420F75" w14:textId="77777777" w:rsidR="007E5AC5" w:rsidRPr="009E6200" w:rsidRDefault="007E5AC5" w:rsidP="007B46F5">
            <w:pPr>
              <w:pStyle w:val="NormalWeb"/>
              <w:spacing w:before="0" w:beforeAutospacing="0" w:after="0" w:afterAutospacing="0"/>
              <w:jc w:val="both"/>
            </w:pPr>
            <w:r w:rsidRPr="009E6200">
              <w:t>+7 (495) 956-79-37</w:t>
            </w:r>
          </w:p>
        </w:tc>
      </w:tr>
      <w:tr w:rsidR="00F46B68" w:rsidRPr="009E6200" w14:paraId="067D374D" w14:textId="77777777" w:rsidTr="005D3252">
        <w:tc>
          <w:tcPr>
            <w:tcW w:w="3256" w:type="dxa"/>
          </w:tcPr>
          <w:p w14:paraId="4BE8966D" w14:textId="77777777" w:rsidR="007E5AC5" w:rsidRPr="009E6200" w:rsidRDefault="007E5AC5" w:rsidP="007B46F5">
            <w:pPr>
              <w:pStyle w:val="NormalWeb"/>
              <w:spacing w:before="0" w:beforeAutospacing="0" w:after="0" w:afterAutospacing="0"/>
              <w:ind w:right="57"/>
              <w:jc w:val="both"/>
            </w:pPr>
            <w:r w:rsidRPr="009E6200">
              <w:t>Электронная почта:</w:t>
            </w:r>
          </w:p>
        </w:tc>
        <w:tc>
          <w:tcPr>
            <w:tcW w:w="6100" w:type="dxa"/>
          </w:tcPr>
          <w:p w14:paraId="5D71D694" w14:textId="040452E6" w:rsidR="007E5AC5" w:rsidRDefault="00E767EF" w:rsidP="007B46F5">
            <w:pPr>
              <w:pStyle w:val="NormalWeb"/>
              <w:spacing w:before="0" w:beforeAutospacing="0" w:after="0" w:afterAutospacing="0"/>
              <w:jc w:val="both"/>
              <w:rPr>
                <w:lang w:val="en-US"/>
              </w:rPr>
            </w:pPr>
            <w:hyperlink r:id="rId18" w:history="1">
              <w:r w:rsidR="00BB6320" w:rsidRPr="00BE0D70">
                <w:rPr>
                  <w:rStyle w:val="Hyperlink"/>
                  <w:lang w:val="en-US"/>
                </w:rPr>
                <w:t>info@rpharm.ru</w:t>
              </w:r>
            </w:hyperlink>
          </w:p>
          <w:p w14:paraId="34DFBDB2" w14:textId="08451636" w:rsidR="00BB6320" w:rsidRPr="009E6200" w:rsidRDefault="00BB6320" w:rsidP="007B46F5">
            <w:pPr>
              <w:pStyle w:val="NormalWeb"/>
              <w:spacing w:before="0" w:beforeAutospacing="0" w:after="0" w:afterAutospacing="0"/>
              <w:jc w:val="both"/>
              <w:rPr>
                <w:lang w:val="en-US"/>
              </w:rPr>
            </w:pPr>
          </w:p>
        </w:tc>
      </w:tr>
    </w:tbl>
    <w:p w14:paraId="0CBF2C17" w14:textId="4A077B4F" w:rsidR="00297EEB" w:rsidRDefault="00297EEB" w:rsidP="007B46F5">
      <w:pPr>
        <w:pStyle w:val="Heading2"/>
      </w:pPr>
      <w:bookmarkStart w:id="36" w:name="_Toc464212829"/>
      <w:bookmarkStart w:id="37" w:name="_Toc523731562"/>
      <w:bookmarkStart w:id="38" w:name="_Toc120865222"/>
      <w:r w:rsidRPr="009E6200">
        <w:t>Имя и должность лиц, уполномоченных от имени спонсора подписывать протокол и поправки к протоколу:</w:t>
      </w:r>
      <w:bookmarkEnd w:id="36"/>
      <w:bookmarkEnd w:id="37"/>
      <w:bookmarkEnd w:id="38"/>
    </w:p>
    <w:p w14:paraId="1C125B45" w14:textId="77777777" w:rsidR="00BB6320" w:rsidRPr="00BB6320" w:rsidRDefault="00BB6320" w:rsidP="007B46F5">
      <w:pPr>
        <w:pStyle w:val="SDText"/>
        <w:rPr>
          <w:lang w:eastAsia="ru-RU"/>
        </w:rPr>
      </w:pP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100"/>
      </w:tblGrid>
      <w:tr w:rsidR="00F46B68" w:rsidRPr="009E6200" w14:paraId="449C7C64" w14:textId="77777777" w:rsidTr="00CC6651">
        <w:tc>
          <w:tcPr>
            <w:tcW w:w="3256" w:type="dxa"/>
            <w:vAlign w:val="center"/>
          </w:tcPr>
          <w:p w14:paraId="1D0B1ACA" w14:textId="77777777" w:rsidR="00297EEB" w:rsidRPr="009E6200" w:rsidRDefault="00297EEB" w:rsidP="007B46F5">
            <w:pPr>
              <w:pStyle w:val="NormalWeb"/>
              <w:spacing w:before="0" w:beforeAutospacing="0" w:after="0" w:afterAutospacing="0"/>
              <w:ind w:right="57"/>
              <w:jc w:val="both"/>
            </w:pPr>
            <w:r w:rsidRPr="009E6200">
              <w:t>ФИО:</w:t>
            </w:r>
          </w:p>
        </w:tc>
        <w:tc>
          <w:tcPr>
            <w:tcW w:w="6100" w:type="dxa"/>
            <w:tcBorders>
              <w:bottom w:val="single" w:sz="4" w:space="0" w:color="auto"/>
            </w:tcBorders>
          </w:tcPr>
          <w:p w14:paraId="4E0F8635" w14:textId="77777777" w:rsidR="00297EEB" w:rsidRPr="009E6200" w:rsidRDefault="001D2F8F" w:rsidP="007B46F5">
            <w:pPr>
              <w:pStyle w:val="SDText"/>
              <w:jc w:val="both"/>
              <w:rPr>
                <w:rFonts w:cs="Times New Roman"/>
                <w:lang w:eastAsia="ru-RU"/>
              </w:rPr>
            </w:pPr>
            <w:r w:rsidRPr="009E6200">
              <w:rPr>
                <w:rFonts w:cs="Times New Roman"/>
                <w:lang w:eastAsia="ru-RU"/>
              </w:rPr>
              <w:t>Самсонов Михаил Юрьевич</w:t>
            </w:r>
          </w:p>
        </w:tc>
      </w:tr>
      <w:tr w:rsidR="00F46B68" w:rsidRPr="009E6200" w14:paraId="6BBC21FD" w14:textId="77777777" w:rsidTr="00CC6651">
        <w:tc>
          <w:tcPr>
            <w:tcW w:w="3256" w:type="dxa"/>
            <w:vAlign w:val="center"/>
          </w:tcPr>
          <w:p w14:paraId="425CD9B3" w14:textId="77777777" w:rsidR="00297EEB" w:rsidRPr="009E6200" w:rsidRDefault="00297EEB" w:rsidP="007B46F5">
            <w:pPr>
              <w:pStyle w:val="NormalWeb"/>
              <w:spacing w:before="0" w:beforeAutospacing="0" w:after="0" w:afterAutospacing="0"/>
              <w:ind w:right="57"/>
              <w:jc w:val="both"/>
            </w:pPr>
            <w:r w:rsidRPr="009E6200">
              <w:t>Должность:</w:t>
            </w:r>
          </w:p>
        </w:tc>
        <w:tc>
          <w:tcPr>
            <w:tcW w:w="6100" w:type="dxa"/>
            <w:tcBorders>
              <w:bottom w:val="single" w:sz="4" w:space="0" w:color="auto"/>
            </w:tcBorders>
          </w:tcPr>
          <w:p w14:paraId="04832F0F" w14:textId="77777777" w:rsidR="002F7355" w:rsidRPr="008C68D8" w:rsidRDefault="002F7355" w:rsidP="007B46F5">
            <w:pPr>
              <w:jc w:val="both"/>
              <w:rPr>
                <w:rFonts w:eastAsia="Times New Roman" w:cs="Times New Roman"/>
                <w:szCs w:val="24"/>
              </w:rPr>
            </w:pPr>
            <w:r w:rsidRPr="008C68D8">
              <w:rPr>
                <w:rFonts w:eastAsia="Times New Roman" w:cs="Times New Roman"/>
                <w:szCs w:val="24"/>
              </w:rPr>
              <w:t xml:space="preserve">Медицинский </w:t>
            </w:r>
          </w:p>
          <w:p w14:paraId="7F188BE7" w14:textId="16559843" w:rsidR="00297EEB" w:rsidRPr="009E6200" w:rsidRDefault="002F7355" w:rsidP="007B46F5">
            <w:pPr>
              <w:pStyle w:val="NormalWeb"/>
              <w:spacing w:before="0" w:beforeAutospacing="0" w:after="0" w:afterAutospacing="0"/>
              <w:jc w:val="both"/>
            </w:pPr>
            <w:r w:rsidRPr="008C68D8">
              <w:rPr>
                <w:rFonts w:eastAsia="Times New Roman"/>
              </w:rPr>
              <w:t>Директор Медицинской Дирекции АО «Р-Фарм»</w:t>
            </w:r>
          </w:p>
        </w:tc>
      </w:tr>
      <w:tr w:rsidR="00F46B68" w:rsidRPr="009E6200" w14:paraId="328A4242" w14:textId="77777777" w:rsidTr="00CC6651">
        <w:tc>
          <w:tcPr>
            <w:tcW w:w="3256" w:type="dxa"/>
            <w:vAlign w:val="center"/>
          </w:tcPr>
          <w:p w14:paraId="2B70D787" w14:textId="77777777" w:rsidR="00297EEB" w:rsidRPr="009E6200" w:rsidRDefault="00297EEB" w:rsidP="007B46F5">
            <w:pPr>
              <w:pStyle w:val="NormalWeb"/>
              <w:spacing w:before="0" w:beforeAutospacing="0" w:after="0" w:afterAutospacing="0"/>
              <w:ind w:right="57"/>
              <w:jc w:val="both"/>
            </w:pPr>
            <w:r w:rsidRPr="009E6200">
              <w:t>Наименование организации:</w:t>
            </w:r>
          </w:p>
        </w:tc>
        <w:tc>
          <w:tcPr>
            <w:tcW w:w="6100" w:type="dxa"/>
            <w:tcBorders>
              <w:bottom w:val="single" w:sz="4" w:space="0" w:color="auto"/>
            </w:tcBorders>
          </w:tcPr>
          <w:p w14:paraId="2309302F" w14:textId="77777777" w:rsidR="00297EEB" w:rsidRPr="009E6200" w:rsidRDefault="001D2F8F" w:rsidP="007B46F5">
            <w:pPr>
              <w:pStyle w:val="NormalWeb"/>
              <w:spacing w:before="0" w:beforeAutospacing="0" w:after="0" w:afterAutospacing="0"/>
              <w:jc w:val="both"/>
            </w:pPr>
            <w:r w:rsidRPr="009E6200">
              <w:t>АО «Р-Фарм»</w:t>
            </w:r>
          </w:p>
        </w:tc>
      </w:tr>
      <w:tr w:rsidR="00063FF4" w:rsidRPr="009E6200" w14:paraId="24DBB1AF" w14:textId="77777777" w:rsidTr="00CC6651">
        <w:tc>
          <w:tcPr>
            <w:tcW w:w="3256" w:type="dxa"/>
            <w:vAlign w:val="center"/>
          </w:tcPr>
          <w:p w14:paraId="7D1CA6E1" w14:textId="77777777" w:rsidR="00063FF4" w:rsidRPr="009E6200" w:rsidRDefault="00063FF4" w:rsidP="007B46F5">
            <w:pPr>
              <w:pStyle w:val="NormalWeb"/>
              <w:spacing w:before="0" w:beforeAutospacing="0" w:after="0" w:afterAutospacing="0"/>
              <w:ind w:right="57"/>
              <w:jc w:val="both"/>
            </w:pPr>
            <w:r w:rsidRPr="009E6200">
              <w:t>Адрес:</w:t>
            </w:r>
            <w:r w:rsidRPr="009E6200">
              <w:tab/>
            </w:r>
          </w:p>
        </w:tc>
        <w:tc>
          <w:tcPr>
            <w:tcW w:w="6100" w:type="dxa"/>
            <w:tcBorders>
              <w:top w:val="single" w:sz="4" w:space="0" w:color="auto"/>
              <w:bottom w:val="single" w:sz="4" w:space="0" w:color="auto"/>
            </w:tcBorders>
          </w:tcPr>
          <w:p w14:paraId="4F3AFBD3" w14:textId="77777777" w:rsidR="00063FF4" w:rsidRPr="009E6200" w:rsidRDefault="00063FF4" w:rsidP="007B46F5">
            <w:pPr>
              <w:pStyle w:val="NormalWeb"/>
              <w:spacing w:before="0" w:beforeAutospacing="0" w:after="0" w:afterAutospacing="0"/>
              <w:jc w:val="both"/>
            </w:pPr>
            <w:r w:rsidRPr="009E6200">
              <w:t>123154, Москва, ул.  Берзарина, д. 19, корп. 1</w:t>
            </w:r>
          </w:p>
        </w:tc>
      </w:tr>
      <w:tr w:rsidR="00063FF4" w:rsidRPr="009E6200" w14:paraId="5EB68CA3" w14:textId="77777777" w:rsidTr="00E86CC0">
        <w:trPr>
          <w:trHeight w:val="79"/>
        </w:trPr>
        <w:tc>
          <w:tcPr>
            <w:tcW w:w="3256" w:type="dxa"/>
            <w:vAlign w:val="center"/>
          </w:tcPr>
          <w:p w14:paraId="1B3C4CDC" w14:textId="77777777" w:rsidR="00063FF4" w:rsidRPr="009E6200" w:rsidRDefault="00063FF4" w:rsidP="007B46F5">
            <w:pPr>
              <w:pStyle w:val="NormalWeb"/>
              <w:spacing w:before="0" w:beforeAutospacing="0" w:after="0" w:afterAutospacing="0"/>
              <w:ind w:right="57"/>
              <w:jc w:val="both"/>
            </w:pPr>
            <w:r w:rsidRPr="009E6200">
              <w:t xml:space="preserve">Телефон: </w:t>
            </w:r>
          </w:p>
        </w:tc>
        <w:tc>
          <w:tcPr>
            <w:tcW w:w="6100" w:type="dxa"/>
            <w:tcBorders>
              <w:top w:val="single" w:sz="4" w:space="0" w:color="auto"/>
              <w:bottom w:val="single" w:sz="4" w:space="0" w:color="auto"/>
            </w:tcBorders>
          </w:tcPr>
          <w:p w14:paraId="735D55EE" w14:textId="77777777" w:rsidR="00063FF4" w:rsidRPr="009E6200" w:rsidRDefault="00063FF4" w:rsidP="007B46F5">
            <w:pPr>
              <w:pStyle w:val="NormalWeb"/>
              <w:spacing w:before="0" w:beforeAutospacing="0" w:after="0" w:afterAutospacing="0"/>
              <w:jc w:val="both"/>
            </w:pPr>
            <w:r w:rsidRPr="009E6200">
              <w:t>+7 (495) 956-79-37</w:t>
            </w:r>
          </w:p>
        </w:tc>
      </w:tr>
      <w:tr w:rsidR="00063FF4" w:rsidRPr="009E6200" w14:paraId="0CD8D88F" w14:textId="77777777" w:rsidTr="00E86CC0">
        <w:trPr>
          <w:trHeight w:val="79"/>
        </w:trPr>
        <w:tc>
          <w:tcPr>
            <w:tcW w:w="3256" w:type="dxa"/>
            <w:vAlign w:val="center"/>
          </w:tcPr>
          <w:p w14:paraId="1C3E28C0" w14:textId="77777777" w:rsidR="00063FF4" w:rsidRPr="009E6200" w:rsidRDefault="00063FF4" w:rsidP="007B46F5">
            <w:pPr>
              <w:pStyle w:val="NormalWeb"/>
              <w:spacing w:before="0" w:beforeAutospacing="0" w:after="0" w:afterAutospacing="0"/>
              <w:ind w:right="57"/>
              <w:jc w:val="both"/>
            </w:pPr>
            <w:r w:rsidRPr="009E6200">
              <w:t>Электронная почта:</w:t>
            </w:r>
          </w:p>
        </w:tc>
        <w:tc>
          <w:tcPr>
            <w:tcW w:w="6100" w:type="dxa"/>
            <w:tcBorders>
              <w:top w:val="single" w:sz="4" w:space="0" w:color="auto"/>
              <w:bottom w:val="single" w:sz="4" w:space="0" w:color="auto"/>
            </w:tcBorders>
          </w:tcPr>
          <w:p w14:paraId="17AE17EF" w14:textId="77777777" w:rsidR="00063FF4" w:rsidRPr="009E6200" w:rsidRDefault="00063FF4" w:rsidP="007B46F5">
            <w:pPr>
              <w:pStyle w:val="NormalWeb"/>
              <w:spacing w:before="0" w:beforeAutospacing="0" w:after="0" w:afterAutospacing="0"/>
              <w:jc w:val="both"/>
            </w:pPr>
            <w:r w:rsidRPr="009E6200">
              <w:rPr>
                <w:lang w:val="en-US"/>
              </w:rPr>
              <w:t>info@rpharm.ru</w:t>
            </w:r>
          </w:p>
        </w:tc>
      </w:tr>
    </w:tbl>
    <w:p w14:paraId="54A2BEC8" w14:textId="314EFB55" w:rsidR="0054386A" w:rsidRDefault="0054386A" w:rsidP="007B46F5">
      <w:pPr>
        <w:pStyle w:val="SDText"/>
        <w:jc w:val="both"/>
        <w:rPr>
          <w:rFonts w:cs="Times New Roman"/>
          <w:lang w:eastAsia="ru-RU"/>
        </w:rPr>
      </w:pPr>
    </w:p>
    <w:p w14:paraId="5C61132E" w14:textId="24B2B7CE" w:rsidR="0054386A" w:rsidRDefault="0054386A" w:rsidP="007B46F5">
      <w:pPr>
        <w:pStyle w:val="Heading2"/>
      </w:pPr>
      <w:bookmarkStart w:id="39" w:name="_Toc94138162"/>
      <w:bookmarkStart w:id="40" w:name="_Toc120865223"/>
      <w:bookmarkStart w:id="41" w:name="_Toc464212834"/>
      <w:bookmarkEnd w:id="34"/>
      <w:r>
        <w:t>Имя,</w:t>
      </w:r>
      <w:r w:rsidRPr="009E6200">
        <w:t xml:space="preserve"> должность</w:t>
      </w:r>
      <w:r>
        <w:t>, адрес</w:t>
      </w:r>
      <w:r w:rsidR="00B32DE4">
        <w:t xml:space="preserve"> и номер теле</w:t>
      </w:r>
      <w:r w:rsidR="004421AC">
        <w:t>ф</w:t>
      </w:r>
      <w:r w:rsidR="00B32DE4">
        <w:t xml:space="preserve">он </w:t>
      </w:r>
      <w:r w:rsidR="005266F6">
        <w:t>квалифицированного врача,</w:t>
      </w:r>
      <w:r w:rsidR="00B32DE4">
        <w:t xml:space="preserve"> отвечающего за принятие решений медицинского характера:</w:t>
      </w:r>
      <w:bookmarkEnd w:id="39"/>
      <w:bookmarkEnd w:id="40"/>
    </w:p>
    <w:p w14:paraId="34BDF1B7" w14:textId="77777777" w:rsidR="00BB6320" w:rsidRPr="00BB6320" w:rsidRDefault="00BB6320" w:rsidP="007B46F5">
      <w:pPr>
        <w:pStyle w:val="SDText"/>
        <w:rPr>
          <w:lang w:eastAsia="ru-RU"/>
        </w:rPr>
      </w:pP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100"/>
      </w:tblGrid>
      <w:tr w:rsidR="00B32DE4" w:rsidRPr="009E6200" w14:paraId="69C27100" w14:textId="77777777" w:rsidTr="00092D27">
        <w:tc>
          <w:tcPr>
            <w:tcW w:w="3256" w:type="dxa"/>
            <w:vAlign w:val="center"/>
          </w:tcPr>
          <w:p w14:paraId="55C3B814" w14:textId="77777777" w:rsidR="00B32DE4" w:rsidRPr="009E6200" w:rsidRDefault="00B32DE4" w:rsidP="007B46F5">
            <w:pPr>
              <w:pStyle w:val="NormalWeb"/>
              <w:spacing w:before="0" w:beforeAutospacing="0" w:after="0" w:afterAutospacing="0"/>
              <w:ind w:right="57"/>
              <w:jc w:val="both"/>
            </w:pPr>
            <w:r w:rsidRPr="009E6200">
              <w:t>ФИО:</w:t>
            </w:r>
          </w:p>
        </w:tc>
        <w:tc>
          <w:tcPr>
            <w:tcW w:w="6100" w:type="dxa"/>
            <w:tcBorders>
              <w:bottom w:val="single" w:sz="4" w:space="0" w:color="auto"/>
            </w:tcBorders>
          </w:tcPr>
          <w:p w14:paraId="5079BFDD" w14:textId="02BFB67E" w:rsidR="00B32DE4" w:rsidRPr="009E6200" w:rsidRDefault="001470CF" w:rsidP="007B46F5">
            <w:pPr>
              <w:pStyle w:val="SDText"/>
              <w:jc w:val="both"/>
              <w:rPr>
                <w:rFonts w:cs="Times New Roman"/>
                <w:lang w:eastAsia="ru-RU"/>
              </w:rPr>
            </w:pPr>
            <w:r w:rsidRPr="001470CF">
              <w:rPr>
                <w:rFonts w:eastAsia="Times New Roman" w:cs="Times New Roman"/>
                <w:lang w:eastAsia="ru-RU"/>
              </w:rPr>
              <w:t>Заруба Евгений</w:t>
            </w:r>
            <w:r>
              <w:rPr>
                <w:rFonts w:cs="Times New Roman"/>
                <w:lang w:eastAsia="ru-RU"/>
              </w:rPr>
              <w:t xml:space="preserve"> Михайлович</w:t>
            </w:r>
          </w:p>
        </w:tc>
      </w:tr>
      <w:tr w:rsidR="00B32DE4" w:rsidRPr="009E6200" w14:paraId="1C957E6F" w14:textId="77777777" w:rsidTr="00092D27">
        <w:tc>
          <w:tcPr>
            <w:tcW w:w="3256" w:type="dxa"/>
            <w:vAlign w:val="center"/>
          </w:tcPr>
          <w:p w14:paraId="63760688" w14:textId="77777777" w:rsidR="00B32DE4" w:rsidRPr="009E6200" w:rsidRDefault="00B32DE4" w:rsidP="007B46F5">
            <w:pPr>
              <w:pStyle w:val="NormalWeb"/>
              <w:spacing w:before="0" w:beforeAutospacing="0" w:after="0" w:afterAutospacing="0"/>
              <w:ind w:right="57"/>
              <w:jc w:val="both"/>
            </w:pPr>
            <w:r w:rsidRPr="009E6200">
              <w:t>Должность:</w:t>
            </w:r>
          </w:p>
        </w:tc>
        <w:tc>
          <w:tcPr>
            <w:tcW w:w="6100" w:type="dxa"/>
            <w:tcBorders>
              <w:bottom w:val="single" w:sz="4" w:space="0" w:color="auto"/>
            </w:tcBorders>
          </w:tcPr>
          <w:p w14:paraId="41E58113" w14:textId="4F51DE02" w:rsidR="00B32DE4" w:rsidRPr="009E6200" w:rsidRDefault="00B32DE4" w:rsidP="007B46F5">
            <w:pPr>
              <w:pStyle w:val="NormalWeb"/>
              <w:spacing w:before="0" w:beforeAutospacing="0" w:after="0" w:afterAutospacing="0"/>
              <w:jc w:val="both"/>
            </w:pPr>
            <w:r>
              <w:t>Медицинский монитор</w:t>
            </w:r>
          </w:p>
        </w:tc>
      </w:tr>
      <w:tr w:rsidR="00B32DE4" w:rsidRPr="009E6200" w14:paraId="25231B79" w14:textId="77777777" w:rsidTr="00092D27">
        <w:tc>
          <w:tcPr>
            <w:tcW w:w="3256" w:type="dxa"/>
            <w:vAlign w:val="center"/>
          </w:tcPr>
          <w:p w14:paraId="2E203B92" w14:textId="77777777" w:rsidR="00B32DE4" w:rsidRPr="009E6200" w:rsidRDefault="00B32DE4" w:rsidP="007B46F5">
            <w:pPr>
              <w:pStyle w:val="NormalWeb"/>
              <w:spacing w:before="0" w:beforeAutospacing="0" w:after="0" w:afterAutospacing="0"/>
              <w:ind w:right="57"/>
              <w:jc w:val="both"/>
            </w:pPr>
            <w:r w:rsidRPr="009E6200">
              <w:t>Наименование организации:</w:t>
            </w:r>
          </w:p>
        </w:tc>
        <w:tc>
          <w:tcPr>
            <w:tcW w:w="6100" w:type="dxa"/>
            <w:tcBorders>
              <w:bottom w:val="single" w:sz="4" w:space="0" w:color="auto"/>
            </w:tcBorders>
          </w:tcPr>
          <w:p w14:paraId="259A2250" w14:textId="77777777" w:rsidR="00B32DE4" w:rsidRPr="009E6200" w:rsidRDefault="00B32DE4" w:rsidP="007B46F5">
            <w:pPr>
              <w:pStyle w:val="NormalWeb"/>
              <w:spacing w:before="0" w:beforeAutospacing="0" w:after="0" w:afterAutospacing="0"/>
              <w:jc w:val="both"/>
            </w:pPr>
            <w:r w:rsidRPr="009E6200">
              <w:t>АО «Р-Фарм»</w:t>
            </w:r>
          </w:p>
        </w:tc>
      </w:tr>
      <w:tr w:rsidR="00B32DE4" w:rsidRPr="009E6200" w14:paraId="01350E20" w14:textId="77777777" w:rsidTr="00092D27">
        <w:tc>
          <w:tcPr>
            <w:tcW w:w="3256" w:type="dxa"/>
            <w:vAlign w:val="center"/>
          </w:tcPr>
          <w:p w14:paraId="4EE1C494" w14:textId="77777777" w:rsidR="00B32DE4" w:rsidRPr="009E6200" w:rsidRDefault="00B32DE4" w:rsidP="007B46F5">
            <w:pPr>
              <w:pStyle w:val="NormalWeb"/>
              <w:spacing w:before="0" w:beforeAutospacing="0" w:after="0" w:afterAutospacing="0"/>
              <w:ind w:right="57"/>
              <w:jc w:val="both"/>
            </w:pPr>
            <w:r w:rsidRPr="009E6200">
              <w:t>Адрес:</w:t>
            </w:r>
            <w:r w:rsidRPr="009E6200">
              <w:tab/>
            </w:r>
          </w:p>
        </w:tc>
        <w:tc>
          <w:tcPr>
            <w:tcW w:w="6100" w:type="dxa"/>
            <w:tcBorders>
              <w:top w:val="single" w:sz="4" w:space="0" w:color="auto"/>
              <w:bottom w:val="single" w:sz="4" w:space="0" w:color="auto"/>
            </w:tcBorders>
          </w:tcPr>
          <w:p w14:paraId="463F3084" w14:textId="6427B423" w:rsidR="00B32DE4" w:rsidRPr="009E6200" w:rsidRDefault="00B32DE4" w:rsidP="007B46F5">
            <w:pPr>
              <w:pStyle w:val="NormalWeb"/>
              <w:spacing w:before="0" w:beforeAutospacing="0" w:after="0" w:afterAutospacing="0"/>
              <w:jc w:val="both"/>
            </w:pPr>
            <w:r>
              <w:t>123154, Москва, Ленинский проспект, д. 111</w:t>
            </w:r>
            <w:r w:rsidRPr="009E6200">
              <w:t>, корп. 1</w:t>
            </w:r>
          </w:p>
        </w:tc>
      </w:tr>
      <w:tr w:rsidR="00B32DE4" w:rsidRPr="009E6200" w14:paraId="5ED2DE2B" w14:textId="77777777" w:rsidTr="00092D27">
        <w:trPr>
          <w:trHeight w:val="79"/>
        </w:trPr>
        <w:tc>
          <w:tcPr>
            <w:tcW w:w="3256" w:type="dxa"/>
            <w:vAlign w:val="center"/>
          </w:tcPr>
          <w:p w14:paraId="6B6B90C1" w14:textId="77777777" w:rsidR="00B32DE4" w:rsidRPr="009E6200" w:rsidRDefault="00B32DE4" w:rsidP="007B46F5">
            <w:pPr>
              <w:pStyle w:val="NormalWeb"/>
              <w:spacing w:before="0" w:beforeAutospacing="0" w:after="0" w:afterAutospacing="0"/>
              <w:ind w:right="57"/>
              <w:jc w:val="both"/>
            </w:pPr>
            <w:r w:rsidRPr="009E6200">
              <w:t xml:space="preserve">Телефон: </w:t>
            </w:r>
          </w:p>
        </w:tc>
        <w:tc>
          <w:tcPr>
            <w:tcW w:w="6100" w:type="dxa"/>
            <w:tcBorders>
              <w:top w:val="single" w:sz="4" w:space="0" w:color="auto"/>
              <w:bottom w:val="single" w:sz="4" w:space="0" w:color="auto"/>
            </w:tcBorders>
          </w:tcPr>
          <w:p w14:paraId="189D1F9F" w14:textId="7254C973" w:rsidR="00B32DE4" w:rsidRPr="009E6200" w:rsidRDefault="00B32DE4" w:rsidP="007B46F5">
            <w:pPr>
              <w:pStyle w:val="NormalWeb"/>
              <w:spacing w:before="0" w:beforeAutospacing="0" w:after="0" w:afterAutospacing="0"/>
              <w:jc w:val="both"/>
            </w:pPr>
            <w:r>
              <w:t>+7 (968) 401-51-65</w:t>
            </w:r>
          </w:p>
        </w:tc>
      </w:tr>
      <w:tr w:rsidR="00B32DE4" w:rsidRPr="009E6200" w14:paraId="57DD2CBA" w14:textId="77777777" w:rsidTr="00092D27">
        <w:trPr>
          <w:trHeight w:val="79"/>
        </w:trPr>
        <w:tc>
          <w:tcPr>
            <w:tcW w:w="3256" w:type="dxa"/>
            <w:vAlign w:val="center"/>
          </w:tcPr>
          <w:p w14:paraId="5AA1F56E" w14:textId="77777777" w:rsidR="00B32DE4" w:rsidRPr="009E6200" w:rsidRDefault="00B32DE4" w:rsidP="007B46F5">
            <w:pPr>
              <w:pStyle w:val="NormalWeb"/>
              <w:spacing w:before="0" w:beforeAutospacing="0" w:after="0" w:afterAutospacing="0"/>
              <w:ind w:right="57"/>
              <w:jc w:val="both"/>
            </w:pPr>
            <w:r w:rsidRPr="009E6200">
              <w:t>Электронная почта:</w:t>
            </w:r>
          </w:p>
        </w:tc>
        <w:tc>
          <w:tcPr>
            <w:tcW w:w="6100" w:type="dxa"/>
            <w:tcBorders>
              <w:top w:val="single" w:sz="4" w:space="0" w:color="auto"/>
              <w:bottom w:val="single" w:sz="4" w:space="0" w:color="auto"/>
            </w:tcBorders>
          </w:tcPr>
          <w:p w14:paraId="125166B0" w14:textId="682BC0DF" w:rsidR="00B32DE4" w:rsidRPr="009E6200" w:rsidRDefault="00B32DE4" w:rsidP="007B46F5">
            <w:pPr>
              <w:pStyle w:val="NormalWeb"/>
              <w:spacing w:before="0" w:beforeAutospacing="0" w:after="0" w:afterAutospacing="0"/>
              <w:jc w:val="both"/>
            </w:pPr>
            <w:r>
              <w:rPr>
                <w:lang w:val="en-US"/>
              </w:rPr>
              <w:t>zaruba</w:t>
            </w:r>
            <w:r w:rsidRPr="00B32DE4">
              <w:t>@</w:t>
            </w:r>
            <w:r w:rsidRPr="009E6200">
              <w:rPr>
                <w:lang w:val="en-US"/>
              </w:rPr>
              <w:t>rpharm</w:t>
            </w:r>
            <w:r w:rsidRPr="00B32DE4">
              <w:t>.</w:t>
            </w:r>
            <w:r w:rsidRPr="009E6200">
              <w:rPr>
                <w:lang w:val="en-US"/>
              </w:rPr>
              <w:t>ru</w:t>
            </w:r>
          </w:p>
        </w:tc>
      </w:tr>
      <w:tr w:rsidR="00B32DE4" w:rsidRPr="009E6200" w14:paraId="4F62FD50" w14:textId="77777777" w:rsidTr="00092D27">
        <w:trPr>
          <w:gridAfter w:val="1"/>
          <w:wAfter w:w="6100" w:type="dxa"/>
          <w:trHeight w:val="79"/>
        </w:trPr>
        <w:tc>
          <w:tcPr>
            <w:tcW w:w="3256" w:type="dxa"/>
            <w:vAlign w:val="center"/>
          </w:tcPr>
          <w:p w14:paraId="34682673" w14:textId="77777777" w:rsidR="00B32DE4" w:rsidRPr="009E6200" w:rsidRDefault="00B32DE4" w:rsidP="007B46F5">
            <w:pPr>
              <w:pStyle w:val="NormalWeb"/>
              <w:spacing w:before="0" w:beforeAutospacing="0" w:after="0" w:afterAutospacing="0"/>
              <w:ind w:right="57"/>
              <w:jc w:val="both"/>
            </w:pPr>
          </w:p>
        </w:tc>
      </w:tr>
    </w:tbl>
    <w:p w14:paraId="744F812E" w14:textId="7FB72764" w:rsidR="00B32DE4" w:rsidRDefault="00B32DE4" w:rsidP="007B46F5">
      <w:pPr>
        <w:pStyle w:val="Heading2"/>
      </w:pPr>
      <w:bookmarkStart w:id="42" w:name="_Toc120865224"/>
      <w:r>
        <w:t>Наименование и адреса клинических и других медицинских и/или технических служб и/или организаций, вовлеченные в исследование.</w:t>
      </w:r>
      <w:bookmarkEnd w:id="42"/>
    </w:p>
    <w:p w14:paraId="306F256F" w14:textId="77777777" w:rsidR="00BB6320" w:rsidRPr="00BB6320" w:rsidRDefault="00BB6320" w:rsidP="007B46F5">
      <w:pPr>
        <w:pStyle w:val="SDText"/>
        <w:rPr>
          <w:lang w:eastAsia="ru-RU"/>
        </w:rPr>
      </w:pP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100"/>
      </w:tblGrid>
      <w:tr w:rsidR="00B32DE4" w:rsidRPr="009E6200" w14:paraId="327674E8" w14:textId="77777777" w:rsidTr="00092D27">
        <w:tc>
          <w:tcPr>
            <w:tcW w:w="3256" w:type="dxa"/>
            <w:vAlign w:val="center"/>
          </w:tcPr>
          <w:p w14:paraId="6084C00E" w14:textId="31A7C368" w:rsidR="00B32DE4" w:rsidRPr="009E6200" w:rsidRDefault="00B32DE4" w:rsidP="007B46F5">
            <w:pPr>
              <w:pStyle w:val="NormalWeb"/>
              <w:spacing w:before="0" w:beforeAutospacing="0" w:after="0" w:afterAutospacing="0"/>
              <w:ind w:right="57"/>
              <w:jc w:val="both"/>
            </w:pPr>
            <w:r>
              <w:t>Наименование организации</w:t>
            </w:r>
            <w:r w:rsidRPr="009E6200">
              <w:t>:</w:t>
            </w:r>
          </w:p>
        </w:tc>
        <w:tc>
          <w:tcPr>
            <w:tcW w:w="6100" w:type="dxa"/>
            <w:tcBorders>
              <w:bottom w:val="single" w:sz="4" w:space="0" w:color="auto"/>
            </w:tcBorders>
          </w:tcPr>
          <w:p w14:paraId="5FC8B938" w14:textId="14E379B7" w:rsidR="00B32DE4" w:rsidRPr="009E6200" w:rsidRDefault="00466ACC" w:rsidP="007B46F5">
            <w:pPr>
              <w:pStyle w:val="SDText"/>
              <w:jc w:val="both"/>
              <w:rPr>
                <w:rFonts w:cs="Times New Roman"/>
                <w:lang w:eastAsia="ru-RU"/>
              </w:rPr>
            </w:pPr>
            <w:r>
              <w:rPr>
                <w:rFonts w:cs="Times New Roman"/>
                <w:lang w:eastAsia="ru-RU"/>
              </w:rPr>
              <w:t>Центральный</w:t>
            </w:r>
            <w:r w:rsidRPr="008C68D8">
              <w:rPr>
                <w:rFonts w:cs="Times New Roman"/>
                <w:lang w:eastAsia="ru-RU"/>
              </w:rPr>
              <w:t xml:space="preserve"> </w:t>
            </w:r>
            <w:r>
              <w:rPr>
                <w:rFonts w:cs="Times New Roman"/>
                <w:lang w:eastAsia="ru-RU"/>
              </w:rPr>
              <w:t xml:space="preserve">независимый </w:t>
            </w:r>
            <w:r w:rsidRPr="00466ACC">
              <w:rPr>
                <w:rFonts w:cs="Times New Roman"/>
                <w:lang w:eastAsia="ru-RU"/>
              </w:rPr>
              <w:t>комитет по пересмотру КТ/МРТ изображений</w:t>
            </w:r>
          </w:p>
        </w:tc>
      </w:tr>
      <w:tr w:rsidR="00B32DE4" w:rsidRPr="009E6200" w14:paraId="4C12682E" w14:textId="77777777" w:rsidTr="00092D27">
        <w:tc>
          <w:tcPr>
            <w:tcW w:w="3256" w:type="dxa"/>
            <w:vAlign w:val="center"/>
          </w:tcPr>
          <w:p w14:paraId="056FC0C7" w14:textId="76E2C6BB" w:rsidR="00B32DE4" w:rsidRPr="009E6200" w:rsidRDefault="00B32DE4" w:rsidP="007B46F5">
            <w:pPr>
              <w:pStyle w:val="NormalWeb"/>
              <w:spacing w:before="0" w:beforeAutospacing="0" w:after="0" w:afterAutospacing="0"/>
              <w:ind w:right="57"/>
              <w:jc w:val="both"/>
            </w:pPr>
            <w:r>
              <w:t>Роль в исследовании</w:t>
            </w:r>
            <w:r w:rsidRPr="009E6200">
              <w:t>:</w:t>
            </w:r>
          </w:p>
        </w:tc>
        <w:tc>
          <w:tcPr>
            <w:tcW w:w="6100" w:type="dxa"/>
            <w:tcBorders>
              <w:bottom w:val="single" w:sz="4" w:space="0" w:color="auto"/>
            </w:tcBorders>
          </w:tcPr>
          <w:p w14:paraId="2B433343" w14:textId="1BF5F718" w:rsidR="00B32DE4" w:rsidRPr="009E6200" w:rsidRDefault="00B32DE4" w:rsidP="007B46F5">
            <w:pPr>
              <w:pStyle w:val="NormalWeb"/>
              <w:spacing w:before="0" w:beforeAutospacing="0" w:after="0" w:afterAutospacing="0"/>
              <w:jc w:val="both"/>
            </w:pPr>
            <w:r w:rsidRPr="00B32DE4">
              <w:t>Центральный Независимый Комитет (ЦНК) по оценке данных компьютерной томографии (КТ) и Магнитно-резонансной томографии (МРТ)</w:t>
            </w:r>
          </w:p>
        </w:tc>
      </w:tr>
      <w:tr w:rsidR="00A11119" w:rsidRPr="009E6200" w14:paraId="3CB0D2B9" w14:textId="77777777" w:rsidTr="00092D27">
        <w:tc>
          <w:tcPr>
            <w:tcW w:w="3256" w:type="dxa"/>
            <w:vAlign w:val="center"/>
          </w:tcPr>
          <w:p w14:paraId="39A518EE" w14:textId="76228154" w:rsidR="00A11119" w:rsidRPr="009E6200" w:rsidRDefault="00A11119" w:rsidP="007B46F5">
            <w:pPr>
              <w:pStyle w:val="NormalWeb"/>
              <w:spacing w:before="0" w:beforeAutospacing="0" w:after="0" w:afterAutospacing="0"/>
              <w:ind w:right="57"/>
              <w:jc w:val="both"/>
            </w:pPr>
            <w:r>
              <w:t>ФИО ответственного лица:</w:t>
            </w:r>
          </w:p>
        </w:tc>
        <w:tc>
          <w:tcPr>
            <w:tcW w:w="6100" w:type="dxa"/>
            <w:tcBorders>
              <w:top w:val="single" w:sz="4" w:space="0" w:color="auto"/>
              <w:bottom w:val="single" w:sz="4" w:space="0" w:color="auto"/>
            </w:tcBorders>
          </w:tcPr>
          <w:p w14:paraId="0DBA3C88" w14:textId="5B6DFC38" w:rsidR="00A11119" w:rsidRDefault="00A11119" w:rsidP="007B46F5">
            <w:pPr>
              <w:pStyle w:val="NormalWeb"/>
              <w:spacing w:before="0" w:beforeAutospacing="0" w:after="0" w:afterAutospacing="0"/>
              <w:jc w:val="both"/>
            </w:pPr>
            <w:r>
              <w:t>Бронов Олег Юрьевич - к.м.н., доцент, заведующий отделением рентгенологии, врач-рентгенолог;</w:t>
            </w:r>
          </w:p>
        </w:tc>
      </w:tr>
      <w:tr w:rsidR="00B32DE4" w:rsidRPr="009E6200" w14:paraId="2FA929C3" w14:textId="77777777" w:rsidTr="00092D27">
        <w:tc>
          <w:tcPr>
            <w:tcW w:w="3256" w:type="dxa"/>
            <w:vAlign w:val="center"/>
          </w:tcPr>
          <w:p w14:paraId="681E8A5C" w14:textId="77777777" w:rsidR="00B32DE4" w:rsidRPr="009E6200" w:rsidRDefault="00B32DE4" w:rsidP="007B46F5">
            <w:pPr>
              <w:pStyle w:val="NormalWeb"/>
              <w:spacing w:before="0" w:beforeAutospacing="0" w:after="0" w:afterAutospacing="0"/>
              <w:ind w:right="57"/>
              <w:jc w:val="both"/>
            </w:pPr>
            <w:r w:rsidRPr="009E6200">
              <w:t>Адрес:</w:t>
            </w:r>
            <w:r w:rsidRPr="009E6200">
              <w:tab/>
            </w:r>
          </w:p>
        </w:tc>
        <w:tc>
          <w:tcPr>
            <w:tcW w:w="6100" w:type="dxa"/>
            <w:tcBorders>
              <w:top w:val="single" w:sz="4" w:space="0" w:color="auto"/>
              <w:bottom w:val="single" w:sz="4" w:space="0" w:color="auto"/>
            </w:tcBorders>
          </w:tcPr>
          <w:p w14:paraId="76AEEC38" w14:textId="73982D49" w:rsidR="00B32DE4" w:rsidRPr="009E6200" w:rsidRDefault="00A11119" w:rsidP="007B46F5">
            <w:pPr>
              <w:pStyle w:val="NormalWeb"/>
              <w:spacing w:before="0" w:beforeAutospacing="0" w:after="0" w:afterAutospacing="0"/>
              <w:jc w:val="both"/>
            </w:pPr>
            <w:r>
              <w:t>РФ, 105203, Москва, ул. Нижняя Первомайская, д. 70</w:t>
            </w:r>
          </w:p>
        </w:tc>
      </w:tr>
      <w:tr w:rsidR="00B32DE4" w:rsidRPr="009E6200" w14:paraId="3B839B0F" w14:textId="77777777" w:rsidTr="00092D27">
        <w:trPr>
          <w:trHeight w:val="79"/>
        </w:trPr>
        <w:tc>
          <w:tcPr>
            <w:tcW w:w="3256" w:type="dxa"/>
            <w:vAlign w:val="center"/>
          </w:tcPr>
          <w:p w14:paraId="07B3FCC7" w14:textId="77777777" w:rsidR="00B32DE4" w:rsidRPr="009E6200" w:rsidRDefault="00B32DE4" w:rsidP="007B46F5">
            <w:pPr>
              <w:pStyle w:val="NormalWeb"/>
              <w:spacing w:before="0" w:beforeAutospacing="0" w:after="0" w:afterAutospacing="0"/>
              <w:ind w:right="57"/>
              <w:jc w:val="both"/>
            </w:pPr>
            <w:r w:rsidRPr="009E6200">
              <w:t xml:space="preserve">Телефон: </w:t>
            </w:r>
          </w:p>
        </w:tc>
        <w:tc>
          <w:tcPr>
            <w:tcW w:w="6100" w:type="dxa"/>
            <w:tcBorders>
              <w:top w:val="single" w:sz="4" w:space="0" w:color="auto"/>
              <w:bottom w:val="single" w:sz="4" w:space="0" w:color="auto"/>
            </w:tcBorders>
          </w:tcPr>
          <w:p w14:paraId="1EF51717" w14:textId="416F9BF2" w:rsidR="00B32DE4" w:rsidRPr="009E6200" w:rsidRDefault="00A11119" w:rsidP="007B46F5">
            <w:pPr>
              <w:pStyle w:val="NormalWeb"/>
              <w:spacing w:before="0" w:beforeAutospacing="0" w:after="0" w:afterAutospacing="0"/>
              <w:jc w:val="both"/>
            </w:pPr>
            <w:r>
              <w:t>+79160241934</w:t>
            </w:r>
          </w:p>
        </w:tc>
      </w:tr>
      <w:tr w:rsidR="00B32DE4" w:rsidRPr="009E6200" w14:paraId="6A49CEBA" w14:textId="77777777" w:rsidTr="00092D27">
        <w:trPr>
          <w:trHeight w:val="79"/>
        </w:trPr>
        <w:tc>
          <w:tcPr>
            <w:tcW w:w="3256" w:type="dxa"/>
            <w:vAlign w:val="center"/>
          </w:tcPr>
          <w:p w14:paraId="42E04FC9" w14:textId="77777777" w:rsidR="00B32DE4" w:rsidRPr="009E6200" w:rsidRDefault="00B32DE4" w:rsidP="007B46F5">
            <w:pPr>
              <w:pStyle w:val="NormalWeb"/>
              <w:spacing w:before="0" w:beforeAutospacing="0" w:after="0" w:afterAutospacing="0"/>
              <w:ind w:right="57"/>
              <w:jc w:val="both"/>
            </w:pPr>
            <w:r w:rsidRPr="009E6200">
              <w:t>Электронная почта:</w:t>
            </w:r>
          </w:p>
        </w:tc>
        <w:tc>
          <w:tcPr>
            <w:tcW w:w="6100" w:type="dxa"/>
            <w:tcBorders>
              <w:top w:val="single" w:sz="4" w:space="0" w:color="auto"/>
              <w:bottom w:val="single" w:sz="4" w:space="0" w:color="auto"/>
            </w:tcBorders>
          </w:tcPr>
          <w:p w14:paraId="3261BAD8" w14:textId="1B7355C2" w:rsidR="00B32DE4" w:rsidRPr="009E6200" w:rsidRDefault="00E767EF" w:rsidP="007B46F5">
            <w:pPr>
              <w:pStyle w:val="NormalWeb"/>
              <w:spacing w:before="0" w:beforeAutospacing="0" w:after="0" w:afterAutospacing="0"/>
              <w:jc w:val="both"/>
            </w:pPr>
            <w:hyperlink r:id="rId19" w:history="1">
              <w:r w:rsidR="00A11119">
                <w:rPr>
                  <w:rStyle w:val="Hyperlink"/>
                  <w:color w:val="auto"/>
                </w:rPr>
                <w:t>doctorbronov@gmail.com</w:t>
              </w:r>
            </w:hyperlink>
          </w:p>
        </w:tc>
      </w:tr>
    </w:tbl>
    <w:p w14:paraId="04808DEF" w14:textId="2B3060B5" w:rsidR="00EF25E9" w:rsidRPr="007B46F5" w:rsidRDefault="00EF25E9" w:rsidP="007B46F5">
      <w:pPr>
        <w:pStyle w:val="Heading1"/>
        <w:pageBreakBefore/>
        <w:spacing w:before="0" w:after="0" w:line="240" w:lineRule="auto"/>
        <w:ind w:left="431" w:hanging="431"/>
        <w:jc w:val="both"/>
        <w:rPr>
          <w:color w:val="auto"/>
          <w:sz w:val="28"/>
          <w:szCs w:val="24"/>
          <w:lang w:eastAsia="ru-RU"/>
        </w:rPr>
      </w:pPr>
      <w:bookmarkStart w:id="43" w:name="_Toc108131475"/>
      <w:bookmarkStart w:id="44" w:name="_Toc120865225"/>
      <w:bookmarkEnd w:id="43"/>
      <w:r w:rsidRPr="007B46F5">
        <w:rPr>
          <w:color w:val="auto"/>
          <w:sz w:val="28"/>
          <w:szCs w:val="24"/>
          <w:lang w:eastAsia="ru-RU"/>
        </w:rPr>
        <w:t>Обоснование исследования</w:t>
      </w:r>
      <w:bookmarkEnd w:id="41"/>
      <w:bookmarkEnd w:id="44"/>
    </w:p>
    <w:p w14:paraId="79FAC489" w14:textId="77777777" w:rsidR="00BB6320" w:rsidRPr="00BB6320" w:rsidRDefault="00BB6320" w:rsidP="007B46F5"/>
    <w:p w14:paraId="52D1C039" w14:textId="1D24B5C4" w:rsidR="00691DD7" w:rsidRDefault="006E6A15" w:rsidP="007B46F5">
      <w:pPr>
        <w:pStyle w:val="Heading2"/>
      </w:pPr>
      <w:bookmarkStart w:id="45" w:name="_Toc120865226"/>
      <w:r w:rsidRPr="009E6200">
        <w:t>Исследуемые лекарственные средства</w:t>
      </w:r>
      <w:bookmarkEnd w:id="45"/>
    </w:p>
    <w:p w14:paraId="245DE1C4" w14:textId="77777777" w:rsidR="00BB6320" w:rsidRPr="00BB6320" w:rsidRDefault="00BB6320" w:rsidP="007B46F5">
      <w:pPr>
        <w:pStyle w:val="SDText"/>
        <w:rPr>
          <w:lang w:eastAsia="ru-RU"/>
        </w:rPr>
      </w:pPr>
    </w:p>
    <w:p w14:paraId="53C81F9A" w14:textId="41D4EB48" w:rsidR="00AE61D1" w:rsidRDefault="00AE61D1" w:rsidP="007B46F5">
      <w:pPr>
        <w:pStyle w:val="Heading3"/>
        <w:spacing w:before="0" w:after="0" w:line="240" w:lineRule="auto"/>
        <w:ind w:left="709" w:hanging="709"/>
        <w:jc w:val="both"/>
        <w:rPr>
          <w:color w:val="auto"/>
          <w:sz w:val="24"/>
        </w:rPr>
      </w:pPr>
      <w:bookmarkStart w:id="46" w:name="_Ref12190790"/>
      <w:bookmarkStart w:id="47" w:name="_Ref12227355"/>
      <w:bookmarkStart w:id="48" w:name="_Toc120865227"/>
      <w:bookmarkStart w:id="49" w:name="_Toc463803748"/>
      <w:r w:rsidRPr="00BB6320">
        <w:rPr>
          <w:color w:val="auto"/>
          <w:sz w:val="24"/>
        </w:rPr>
        <w:t>Исследуемый препарат</w:t>
      </w:r>
      <w:r w:rsidR="00EC200A" w:rsidRPr="00BB6320">
        <w:rPr>
          <w:color w:val="auto"/>
          <w:sz w:val="24"/>
        </w:rPr>
        <w:t xml:space="preserve">: </w:t>
      </w:r>
      <w:r w:rsidR="00D25646" w:rsidRPr="00BB6320">
        <w:rPr>
          <w:color w:val="auto"/>
          <w:sz w:val="24"/>
          <w:lang w:val="en-US"/>
        </w:rPr>
        <w:t>RPH</w:t>
      </w:r>
      <w:r w:rsidR="00D25646" w:rsidRPr="00BB6320">
        <w:rPr>
          <w:color w:val="auto"/>
          <w:sz w:val="24"/>
        </w:rPr>
        <w:t>-001</w:t>
      </w:r>
      <w:bookmarkEnd w:id="46"/>
      <w:bookmarkEnd w:id="47"/>
      <w:bookmarkEnd w:id="48"/>
    </w:p>
    <w:p w14:paraId="2052F9EE" w14:textId="77777777" w:rsidR="00BB6320" w:rsidRPr="00BB6320" w:rsidRDefault="00BB6320" w:rsidP="007B46F5">
      <w:pPr>
        <w:pStyle w:val="SDText"/>
        <w:rPr>
          <w:lang w:eastAsia="ru-RU"/>
        </w:rPr>
      </w:pPr>
    </w:p>
    <w:p w14:paraId="3F712911" w14:textId="77777777" w:rsidR="00814476" w:rsidRPr="009E6200" w:rsidRDefault="00814476" w:rsidP="007B46F5">
      <w:pPr>
        <w:pStyle w:val="SDText"/>
        <w:jc w:val="both"/>
        <w:rPr>
          <w:b/>
          <w:lang w:eastAsia="ru-RU"/>
        </w:rPr>
      </w:pPr>
      <w:r w:rsidRPr="009E6200">
        <w:rPr>
          <w:b/>
          <w:lang w:eastAsia="ru-RU"/>
        </w:rPr>
        <w:t>Торговое название:</w:t>
      </w:r>
      <w:r w:rsidR="00EC200A" w:rsidRPr="009E6200">
        <w:rPr>
          <w:b/>
          <w:lang w:val="en-US" w:eastAsia="ru-RU"/>
        </w:rPr>
        <w:t xml:space="preserve"> </w:t>
      </w:r>
      <w:r w:rsidR="00EC200A" w:rsidRPr="009E6200">
        <w:rPr>
          <w:lang w:val="en-US" w:eastAsia="ru-RU"/>
        </w:rPr>
        <w:t>RPH</w:t>
      </w:r>
      <w:r w:rsidR="00EC200A" w:rsidRPr="009E6200">
        <w:rPr>
          <w:lang w:eastAsia="ru-RU"/>
        </w:rPr>
        <w:t>-001</w:t>
      </w:r>
    </w:p>
    <w:p w14:paraId="31C3FEB8" w14:textId="77777777" w:rsidR="00577BCF" w:rsidRDefault="00577BCF" w:rsidP="007B46F5">
      <w:pPr>
        <w:pStyle w:val="SDText"/>
        <w:jc w:val="both"/>
        <w:rPr>
          <w:b/>
          <w:lang w:eastAsia="ru-RU"/>
        </w:rPr>
      </w:pPr>
    </w:p>
    <w:p w14:paraId="73414E02" w14:textId="34C62D48" w:rsidR="00814476" w:rsidRPr="009E6200" w:rsidRDefault="00814476" w:rsidP="007B46F5">
      <w:pPr>
        <w:pStyle w:val="SDText"/>
        <w:jc w:val="both"/>
        <w:rPr>
          <w:b/>
          <w:lang w:eastAsia="ru-RU"/>
        </w:rPr>
      </w:pPr>
      <w:r w:rsidRPr="009E6200">
        <w:rPr>
          <w:b/>
          <w:lang w:eastAsia="ru-RU"/>
        </w:rPr>
        <w:t>Международное непатентованное название (МНН):</w:t>
      </w:r>
      <w:r w:rsidR="00EC200A" w:rsidRPr="009E6200">
        <w:rPr>
          <w:b/>
          <w:lang w:eastAsia="ru-RU"/>
        </w:rPr>
        <w:t xml:space="preserve"> </w:t>
      </w:r>
      <w:r w:rsidR="00EC200A" w:rsidRPr="009E6200">
        <w:rPr>
          <w:lang w:eastAsia="ru-RU"/>
        </w:rPr>
        <w:t>бевацизумаб</w:t>
      </w:r>
    </w:p>
    <w:p w14:paraId="6BEB0E63" w14:textId="77777777" w:rsidR="00577BCF" w:rsidRDefault="00577BCF" w:rsidP="007B46F5">
      <w:pPr>
        <w:pStyle w:val="SDText"/>
        <w:jc w:val="both"/>
        <w:rPr>
          <w:b/>
          <w:lang w:eastAsia="ru-RU"/>
        </w:rPr>
      </w:pPr>
    </w:p>
    <w:p w14:paraId="2B5AA4F4" w14:textId="1C25A9AD" w:rsidR="00107DD5" w:rsidRPr="009E6200" w:rsidRDefault="00814476" w:rsidP="007B46F5">
      <w:pPr>
        <w:pStyle w:val="SDText"/>
        <w:jc w:val="both"/>
        <w:rPr>
          <w:b/>
          <w:lang w:eastAsia="ru-RU"/>
        </w:rPr>
      </w:pPr>
      <w:r w:rsidRPr="009E6200">
        <w:rPr>
          <w:b/>
          <w:lang w:eastAsia="ru-RU"/>
        </w:rPr>
        <w:t>Лекарственная форма:</w:t>
      </w:r>
      <w:r w:rsidR="00EC200A" w:rsidRPr="009E6200">
        <w:rPr>
          <w:b/>
          <w:lang w:eastAsia="ru-RU"/>
        </w:rPr>
        <w:t xml:space="preserve"> </w:t>
      </w:r>
    </w:p>
    <w:p w14:paraId="53321A5A" w14:textId="77777777" w:rsidR="00577BCF" w:rsidRDefault="00577BCF" w:rsidP="007B46F5">
      <w:pPr>
        <w:pStyle w:val="a3"/>
        <w:spacing w:after="0"/>
        <w:jc w:val="both"/>
      </w:pPr>
    </w:p>
    <w:p w14:paraId="4F76F2CA" w14:textId="161588E9" w:rsidR="00107DD5" w:rsidRPr="009E6200" w:rsidRDefault="00107DD5" w:rsidP="007B46F5">
      <w:pPr>
        <w:pStyle w:val="a3"/>
        <w:spacing w:after="0"/>
        <w:ind w:firstLine="709"/>
        <w:jc w:val="both"/>
      </w:pPr>
      <w:r w:rsidRPr="009E6200">
        <w:t>RPH-001 выпускается в виде стерильного концентрата для приготовления раствора для инъекций в одноразовых стеклянных флаконах (I EP класса, гидролитическое стекло), который содержит номинальное количество: 100 мг RPH-001 в объеме 4 мл (концентрация 25 мг / мл, осмолярность 320 мосм / л).</w:t>
      </w:r>
    </w:p>
    <w:p w14:paraId="214D1A88" w14:textId="77777777" w:rsidR="00107DD5" w:rsidRPr="009E6200" w:rsidRDefault="00107DD5" w:rsidP="007B46F5">
      <w:pPr>
        <w:pStyle w:val="a3"/>
        <w:spacing w:after="0"/>
        <w:ind w:firstLine="709"/>
        <w:jc w:val="both"/>
      </w:pPr>
      <w:r w:rsidRPr="009E6200">
        <w:t>Вспомогательные вещества: 14 мМ фосфат, 7,5 мМ цитрат, 80 мМ NaCl, 1,2% маннит, 0,04%, Твин 20, рН 5,2, вода для инъекций.</w:t>
      </w:r>
    </w:p>
    <w:p w14:paraId="25FFA382" w14:textId="6E48E6B8" w:rsidR="00107DD5" w:rsidRPr="009E6200" w:rsidRDefault="00107DD5" w:rsidP="007B46F5">
      <w:pPr>
        <w:pStyle w:val="a3"/>
        <w:spacing w:after="0"/>
        <w:ind w:firstLine="709"/>
        <w:jc w:val="both"/>
      </w:pPr>
      <w:r w:rsidRPr="009E6200">
        <w:t xml:space="preserve">Препарат поставляется в стеклянных флаконах. Каждый флакон, содержащий 4 мл стерильного раствора RPH-001, снабжен этикеткой и упакован в картонную </w:t>
      </w:r>
      <w:r w:rsidR="001463D6" w:rsidRPr="009E6200">
        <w:t xml:space="preserve">пачку </w:t>
      </w:r>
      <w:r w:rsidRPr="009E6200">
        <w:t>(по 10 флаконов в каждой).</w:t>
      </w:r>
    </w:p>
    <w:p w14:paraId="449E5788" w14:textId="77777777" w:rsidR="00577BCF" w:rsidRDefault="00577BCF" w:rsidP="007B46F5">
      <w:pPr>
        <w:pStyle w:val="SDText"/>
        <w:jc w:val="both"/>
        <w:rPr>
          <w:b/>
          <w:lang w:eastAsia="ru-RU"/>
        </w:rPr>
      </w:pPr>
    </w:p>
    <w:p w14:paraId="5B306C5F" w14:textId="4006169D" w:rsidR="00CD5A81" w:rsidRPr="009E6200" w:rsidRDefault="00CD5A81" w:rsidP="007B46F5">
      <w:pPr>
        <w:pStyle w:val="SDText"/>
        <w:jc w:val="both"/>
        <w:rPr>
          <w:b/>
          <w:lang w:eastAsia="ru-RU"/>
        </w:rPr>
      </w:pPr>
      <w:r w:rsidRPr="009E6200">
        <w:rPr>
          <w:b/>
          <w:lang w:eastAsia="ru-RU"/>
        </w:rPr>
        <w:t>Фармакотерапевтическая группа:</w:t>
      </w:r>
      <w:r w:rsidRPr="009E6200">
        <w:rPr>
          <w:lang w:eastAsia="ru-RU"/>
        </w:rPr>
        <w:t xml:space="preserve"> противоопухолевое средство, антитела моноклональные</w:t>
      </w:r>
    </w:p>
    <w:p w14:paraId="77B83C5C" w14:textId="77777777" w:rsidR="00577BCF" w:rsidRDefault="00577BCF" w:rsidP="007B46F5">
      <w:pPr>
        <w:pStyle w:val="SDText"/>
        <w:jc w:val="both"/>
        <w:rPr>
          <w:b/>
          <w:lang w:eastAsia="ru-RU"/>
        </w:rPr>
      </w:pPr>
    </w:p>
    <w:p w14:paraId="6BBA508D" w14:textId="22A38F2B" w:rsidR="00CD5A81" w:rsidRPr="009E6200" w:rsidRDefault="00CD5A81" w:rsidP="007B46F5">
      <w:pPr>
        <w:pStyle w:val="SDText"/>
        <w:jc w:val="both"/>
        <w:rPr>
          <w:b/>
          <w:lang w:eastAsia="ru-RU"/>
        </w:rPr>
      </w:pPr>
      <w:r w:rsidRPr="009E6200">
        <w:rPr>
          <w:b/>
          <w:lang w:eastAsia="ru-RU"/>
        </w:rPr>
        <w:t>Код по АТХ:</w:t>
      </w:r>
      <w:r w:rsidRPr="009E6200">
        <w:rPr>
          <w:lang w:eastAsia="ru-RU"/>
        </w:rPr>
        <w:t xml:space="preserve"> </w:t>
      </w:r>
      <w:r w:rsidRPr="009E6200">
        <w:rPr>
          <w:lang w:val="en-US" w:eastAsia="ru-RU"/>
        </w:rPr>
        <w:t>L</w:t>
      </w:r>
      <w:r w:rsidRPr="009E6200">
        <w:rPr>
          <w:lang w:eastAsia="ru-RU"/>
        </w:rPr>
        <w:t>01</w:t>
      </w:r>
      <w:r w:rsidRPr="009E6200">
        <w:rPr>
          <w:lang w:val="en-US" w:eastAsia="ru-RU"/>
        </w:rPr>
        <w:t>XC</w:t>
      </w:r>
      <w:r w:rsidRPr="009E6200">
        <w:rPr>
          <w:lang w:eastAsia="ru-RU"/>
        </w:rPr>
        <w:t>07</w:t>
      </w:r>
    </w:p>
    <w:p w14:paraId="3D2AC568" w14:textId="77777777" w:rsidR="00577BCF" w:rsidRDefault="00577BCF" w:rsidP="007B46F5">
      <w:pPr>
        <w:pStyle w:val="SDText"/>
        <w:jc w:val="both"/>
        <w:rPr>
          <w:b/>
          <w:lang w:eastAsia="ru-RU"/>
        </w:rPr>
      </w:pPr>
    </w:p>
    <w:p w14:paraId="65B11B78" w14:textId="02EC4549" w:rsidR="00C92304" w:rsidRPr="009E6200" w:rsidRDefault="00C92304" w:rsidP="007B46F5">
      <w:pPr>
        <w:pStyle w:val="SDText"/>
        <w:jc w:val="both"/>
        <w:rPr>
          <w:b/>
          <w:lang w:eastAsia="ru-RU"/>
        </w:rPr>
      </w:pPr>
      <w:r w:rsidRPr="009E6200">
        <w:rPr>
          <w:b/>
          <w:lang w:eastAsia="ru-RU"/>
        </w:rPr>
        <w:t>Описание</w:t>
      </w:r>
    </w:p>
    <w:p w14:paraId="6FB96F53" w14:textId="77777777" w:rsidR="00577BCF" w:rsidRDefault="00577BCF" w:rsidP="007B46F5">
      <w:pPr>
        <w:pStyle w:val="SDText"/>
        <w:jc w:val="both"/>
      </w:pPr>
    </w:p>
    <w:p w14:paraId="5677BA50" w14:textId="4482F9E4" w:rsidR="00107DD5" w:rsidRPr="009E6200" w:rsidRDefault="00107DD5" w:rsidP="007B46F5">
      <w:pPr>
        <w:pStyle w:val="SDText"/>
        <w:ind w:firstLine="709"/>
        <w:jc w:val="both"/>
        <w:rPr>
          <w:b/>
          <w:lang w:eastAsia="ru-RU"/>
        </w:rPr>
      </w:pPr>
      <w:r w:rsidRPr="009E6200">
        <w:t>Лекарственный продукт представляет собой прозрачный или слегка опалесцирующий, бесцветный стерильный жидкий раствор, который перед введением необходимо разбавить в 0,9% растворе хлорида натрия.</w:t>
      </w:r>
    </w:p>
    <w:p w14:paraId="49398662" w14:textId="77777777" w:rsidR="00577BCF" w:rsidRDefault="00577BCF" w:rsidP="007B46F5">
      <w:pPr>
        <w:pStyle w:val="SDText"/>
        <w:jc w:val="both"/>
        <w:rPr>
          <w:b/>
          <w:bCs/>
        </w:rPr>
      </w:pPr>
    </w:p>
    <w:p w14:paraId="6E6FE588" w14:textId="77777777" w:rsidR="00577BCF" w:rsidRDefault="00046389" w:rsidP="007B46F5">
      <w:pPr>
        <w:pStyle w:val="SDText"/>
        <w:jc w:val="both"/>
        <w:rPr>
          <w:b/>
        </w:rPr>
      </w:pPr>
      <w:r w:rsidRPr="009E6200">
        <w:rPr>
          <w:b/>
          <w:bCs/>
        </w:rPr>
        <w:t>Фармакологическое действие</w:t>
      </w:r>
      <w:r w:rsidRPr="009E6200">
        <w:rPr>
          <w:b/>
        </w:rPr>
        <w:t xml:space="preserve">: </w:t>
      </w:r>
    </w:p>
    <w:p w14:paraId="74C00524" w14:textId="77777777" w:rsidR="00577BCF" w:rsidRDefault="00577BCF" w:rsidP="007B46F5">
      <w:pPr>
        <w:pStyle w:val="SDText"/>
        <w:ind w:firstLine="709"/>
        <w:jc w:val="both"/>
        <w:rPr>
          <w:bCs/>
        </w:rPr>
      </w:pPr>
    </w:p>
    <w:p w14:paraId="4A33623C" w14:textId="11368CB0" w:rsidR="00046389" w:rsidRPr="009E6200" w:rsidRDefault="00577BCF" w:rsidP="007B46F5">
      <w:pPr>
        <w:pStyle w:val="SDText"/>
        <w:ind w:firstLine="709"/>
        <w:jc w:val="both"/>
        <w:rPr>
          <w:b/>
        </w:rPr>
      </w:pPr>
      <w:r>
        <w:rPr>
          <w:bCs/>
        </w:rPr>
        <w:t>М</w:t>
      </w:r>
      <w:r w:rsidR="00046389" w:rsidRPr="009E6200">
        <w:rPr>
          <w:bCs/>
        </w:rPr>
        <w:t>оноклональное антитело, специфически связывающееся с фактором роста эндотелия сосудов (VEGF) и ингибирующее его связывание с рецепторами, таким образом нейтрализуя биологическую активность VEGF, снижая васкуляризацию опухоли и ингибируя опухолевый рост.</w:t>
      </w:r>
    </w:p>
    <w:p w14:paraId="69292B37" w14:textId="77777777" w:rsidR="00577BCF" w:rsidRDefault="00577BCF" w:rsidP="007B46F5">
      <w:pPr>
        <w:pStyle w:val="SDText"/>
        <w:jc w:val="both"/>
        <w:rPr>
          <w:b/>
        </w:rPr>
      </w:pPr>
    </w:p>
    <w:p w14:paraId="304C631A" w14:textId="59889E2E" w:rsidR="00C92304" w:rsidRPr="009E6200" w:rsidRDefault="00C92304" w:rsidP="007B46F5">
      <w:pPr>
        <w:pStyle w:val="SDText"/>
        <w:jc w:val="both"/>
        <w:rPr>
          <w:b/>
        </w:rPr>
      </w:pPr>
      <w:r w:rsidRPr="009E6200">
        <w:rPr>
          <w:b/>
        </w:rPr>
        <w:t>Показания к применению</w:t>
      </w:r>
    </w:p>
    <w:p w14:paraId="031DBF43" w14:textId="77777777" w:rsidR="00577BCF" w:rsidRDefault="00577BCF" w:rsidP="007B46F5">
      <w:pPr>
        <w:pStyle w:val="SDText"/>
        <w:ind w:firstLine="709"/>
        <w:jc w:val="both"/>
      </w:pPr>
    </w:p>
    <w:p w14:paraId="7D82A4F9" w14:textId="37B0579C" w:rsidR="0019201D" w:rsidRPr="009E6200" w:rsidRDefault="0019201D" w:rsidP="007B46F5">
      <w:pPr>
        <w:pStyle w:val="SDText"/>
        <w:ind w:firstLine="709"/>
        <w:jc w:val="both"/>
      </w:pPr>
      <w:r w:rsidRPr="009E6200">
        <w:t>Распространенный неоперабельный, метастатический или рецидивирующий неплоскоклеточный немелкоклеточный рак легкого:</w:t>
      </w:r>
      <w:r w:rsidR="00402B11" w:rsidRPr="009E6200">
        <w:t xml:space="preserve"> в</w:t>
      </w:r>
      <w:r w:rsidRPr="009E6200">
        <w:t xml:space="preserve"> качестве первой линии терапии длительно к химиотерапии на основе препаратов платины</w:t>
      </w:r>
      <w:r w:rsidR="00402B11" w:rsidRPr="009E6200">
        <w:t>.</w:t>
      </w:r>
    </w:p>
    <w:p w14:paraId="20F0F829" w14:textId="77777777" w:rsidR="00577BCF" w:rsidRDefault="00577BCF" w:rsidP="007B46F5">
      <w:pPr>
        <w:pStyle w:val="SDText"/>
        <w:jc w:val="both"/>
        <w:rPr>
          <w:b/>
        </w:rPr>
      </w:pPr>
    </w:p>
    <w:p w14:paraId="17FFDE12" w14:textId="31B8FDE5" w:rsidR="00C92304" w:rsidRPr="009E6200" w:rsidRDefault="00C92304" w:rsidP="007B46F5">
      <w:pPr>
        <w:pStyle w:val="SDText"/>
        <w:jc w:val="both"/>
        <w:rPr>
          <w:b/>
        </w:rPr>
      </w:pPr>
      <w:r w:rsidRPr="009E6200">
        <w:rPr>
          <w:b/>
        </w:rPr>
        <w:t>Противопоказания</w:t>
      </w:r>
    </w:p>
    <w:p w14:paraId="4DF70485" w14:textId="77777777" w:rsidR="00CD5A81" w:rsidRPr="009E6200" w:rsidRDefault="00CD5A81" w:rsidP="007B46F5">
      <w:pPr>
        <w:pStyle w:val="SDText"/>
        <w:numPr>
          <w:ilvl w:val="0"/>
          <w:numId w:val="12"/>
        </w:numPr>
        <w:jc w:val="both"/>
      </w:pPr>
      <w:r w:rsidRPr="009E6200">
        <w:t>Противопоказаниями</w:t>
      </w:r>
      <w:r w:rsidR="00661EE7" w:rsidRPr="009E6200">
        <w:t xml:space="preserve"> </w:t>
      </w:r>
      <w:r w:rsidRPr="009E6200">
        <w:t>к</w:t>
      </w:r>
      <w:r w:rsidR="00661EE7" w:rsidRPr="009E6200">
        <w:t xml:space="preserve"> </w:t>
      </w:r>
      <w:r w:rsidRPr="009E6200">
        <w:t>применению</w:t>
      </w:r>
      <w:r w:rsidR="00661EE7" w:rsidRPr="009E6200">
        <w:t xml:space="preserve"> </w:t>
      </w:r>
      <w:r w:rsidRPr="009E6200">
        <w:t>RPH-001</w:t>
      </w:r>
      <w:r w:rsidR="00661EE7" w:rsidRPr="009E6200">
        <w:t xml:space="preserve"> </w:t>
      </w:r>
      <w:r w:rsidRPr="009E6200">
        <w:t>является</w:t>
      </w:r>
      <w:r w:rsidR="00661EE7" w:rsidRPr="009E6200">
        <w:t xml:space="preserve"> </w:t>
      </w:r>
      <w:r w:rsidRPr="009E6200">
        <w:t>повышенная чувствительность</w:t>
      </w:r>
      <w:r w:rsidR="00661EE7" w:rsidRPr="009E6200">
        <w:t xml:space="preserve"> </w:t>
      </w:r>
      <w:r w:rsidRPr="009E6200">
        <w:t>к</w:t>
      </w:r>
      <w:r w:rsidR="00661EE7" w:rsidRPr="009E6200">
        <w:t xml:space="preserve"> </w:t>
      </w:r>
      <w:r w:rsidRPr="009E6200">
        <w:t>Авастину</w:t>
      </w:r>
      <w:r w:rsidR="00121FA5" w:rsidRPr="009E6200">
        <w:rPr>
          <w:vertAlign w:val="superscript"/>
        </w:rPr>
        <w:t>®</w:t>
      </w:r>
      <w:r w:rsidRPr="009E6200">
        <w:t>,</w:t>
      </w:r>
      <w:r w:rsidR="00661EE7" w:rsidRPr="009E6200">
        <w:t xml:space="preserve"> </w:t>
      </w:r>
      <w:r w:rsidRPr="009E6200">
        <w:t>любому</w:t>
      </w:r>
      <w:r w:rsidR="00661EE7" w:rsidRPr="009E6200">
        <w:t xml:space="preserve"> </w:t>
      </w:r>
      <w:r w:rsidRPr="009E6200">
        <w:t>другому</w:t>
      </w:r>
      <w:r w:rsidR="00661EE7" w:rsidRPr="009E6200">
        <w:t xml:space="preserve"> </w:t>
      </w:r>
      <w:r w:rsidRPr="009E6200">
        <w:t>компоненту</w:t>
      </w:r>
      <w:r w:rsidR="00661EE7" w:rsidRPr="009E6200">
        <w:t xml:space="preserve"> </w:t>
      </w:r>
      <w:r w:rsidRPr="009E6200">
        <w:t>Авастина</w:t>
      </w:r>
      <w:r w:rsidR="00121FA5" w:rsidRPr="009E6200">
        <w:rPr>
          <w:vertAlign w:val="superscript"/>
        </w:rPr>
        <w:t>®</w:t>
      </w:r>
      <w:r w:rsidRPr="009E6200">
        <w:t>, препаратам</w:t>
      </w:r>
      <w:r w:rsidR="00280D79" w:rsidRPr="009E6200">
        <w:t>,</w:t>
      </w:r>
      <w:r w:rsidR="00661EE7" w:rsidRPr="009E6200">
        <w:t xml:space="preserve"> </w:t>
      </w:r>
      <w:r w:rsidRPr="009E6200">
        <w:t>полученным</w:t>
      </w:r>
      <w:r w:rsidR="00661EE7" w:rsidRPr="009E6200">
        <w:t xml:space="preserve"> </w:t>
      </w:r>
      <w:r w:rsidRPr="009E6200">
        <w:t>в</w:t>
      </w:r>
      <w:r w:rsidR="00661EE7" w:rsidRPr="009E6200">
        <w:t xml:space="preserve"> </w:t>
      </w:r>
      <w:r w:rsidRPr="009E6200">
        <w:t>системе</w:t>
      </w:r>
      <w:r w:rsidR="00661EE7" w:rsidRPr="009E6200">
        <w:t xml:space="preserve"> </w:t>
      </w:r>
      <w:r w:rsidRPr="009E6200">
        <w:t>экспрессии</w:t>
      </w:r>
      <w:r w:rsidR="00661EE7" w:rsidRPr="009E6200">
        <w:t xml:space="preserve"> </w:t>
      </w:r>
      <w:r w:rsidRPr="009E6200">
        <w:t>в</w:t>
      </w:r>
      <w:r w:rsidR="00661EE7" w:rsidRPr="009E6200">
        <w:t xml:space="preserve"> </w:t>
      </w:r>
      <w:r w:rsidRPr="009E6200">
        <w:t>яичниковых</w:t>
      </w:r>
      <w:r w:rsidR="00661EE7" w:rsidRPr="009E6200">
        <w:t xml:space="preserve"> </w:t>
      </w:r>
      <w:r w:rsidRPr="009E6200">
        <w:t>клетках</w:t>
      </w:r>
      <w:r w:rsidR="00661EE7" w:rsidRPr="009E6200">
        <w:t xml:space="preserve"> </w:t>
      </w:r>
      <w:r w:rsidRPr="009E6200">
        <w:t>китайского хомячка</w:t>
      </w:r>
      <w:r w:rsidR="00661EE7" w:rsidRPr="009E6200">
        <w:t xml:space="preserve"> </w:t>
      </w:r>
      <w:r w:rsidRPr="009E6200">
        <w:t>или</w:t>
      </w:r>
      <w:r w:rsidR="00661EE7" w:rsidRPr="009E6200">
        <w:t xml:space="preserve"> </w:t>
      </w:r>
      <w:r w:rsidRPr="009E6200">
        <w:t>любым</w:t>
      </w:r>
      <w:r w:rsidR="00661EE7" w:rsidRPr="009E6200">
        <w:t xml:space="preserve"> </w:t>
      </w:r>
      <w:r w:rsidRPr="009E6200">
        <w:t>другим</w:t>
      </w:r>
      <w:r w:rsidR="00661EE7" w:rsidRPr="009E6200">
        <w:t xml:space="preserve"> </w:t>
      </w:r>
      <w:r w:rsidRPr="009E6200">
        <w:t>рекомбинантным</w:t>
      </w:r>
      <w:r w:rsidR="00661EE7" w:rsidRPr="009E6200">
        <w:t xml:space="preserve"> </w:t>
      </w:r>
      <w:r w:rsidRPr="009E6200">
        <w:t>человеческим</w:t>
      </w:r>
      <w:r w:rsidR="00661EE7" w:rsidRPr="009E6200">
        <w:t xml:space="preserve"> </w:t>
      </w:r>
      <w:r w:rsidRPr="009E6200">
        <w:t xml:space="preserve">или гуманизированным антителам. </w:t>
      </w:r>
    </w:p>
    <w:p w14:paraId="1875540F" w14:textId="77777777" w:rsidR="00CD5A81" w:rsidRPr="009E6200" w:rsidRDefault="00CD5A81" w:rsidP="007B46F5">
      <w:pPr>
        <w:pStyle w:val="SDText"/>
        <w:numPr>
          <w:ilvl w:val="0"/>
          <w:numId w:val="12"/>
        </w:numPr>
        <w:jc w:val="both"/>
      </w:pPr>
      <w:r w:rsidRPr="009E6200">
        <w:t xml:space="preserve">Не следует применять RPH-001 при беременности и кормлении грудью. </w:t>
      </w:r>
    </w:p>
    <w:p w14:paraId="682692F2" w14:textId="77777777" w:rsidR="00CD5A81" w:rsidRPr="009E6200" w:rsidRDefault="00CD5A81" w:rsidP="007B46F5">
      <w:pPr>
        <w:pStyle w:val="SDText"/>
        <w:numPr>
          <w:ilvl w:val="0"/>
          <w:numId w:val="12"/>
        </w:numPr>
        <w:jc w:val="both"/>
      </w:pPr>
      <w:r w:rsidRPr="009E6200">
        <w:t>Не</w:t>
      </w:r>
      <w:r w:rsidR="00661EE7" w:rsidRPr="009E6200">
        <w:t xml:space="preserve"> </w:t>
      </w:r>
      <w:r w:rsidRPr="009E6200">
        <w:t>следует</w:t>
      </w:r>
      <w:r w:rsidR="00661EE7" w:rsidRPr="009E6200">
        <w:t xml:space="preserve"> </w:t>
      </w:r>
      <w:r w:rsidRPr="009E6200">
        <w:t>использовать</w:t>
      </w:r>
      <w:r w:rsidR="00661EE7" w:rsidRPr="009E6200">
        <w:t xml:space="preserve"> </w:t>
      </w:r>
      <w:r w:rsidRPr="009E6200">
        <w:t>препарат</w:t>
      </w:r>
      <w:r w:rsidR="00661EE7" w:rsidRPr="009E6200">
        <w:t xml:space="preserve"> </w:t>
      </w:r>
      <w:r w:rsidRPr="009E6200">
        <w:t>RPH-001</w:t>
      </w:r>
      <w:r w:rsidR="00661EE7" w:rsidRPr="009E6200">
        <w:t xml:space="preserve"> </w:t>
      </w:r>
      <w:r w:rsidRPr="009E6200">
        <w:t>в</w:t>
      </w:r>
      <w:r w:rsidR="00661EE7" w:rsidRPr="009E6200">
        <w:t xml:space="preserve"> </w:t>
      </w:r>
      <w:r w:rsidRPr="009E6200">
        <w:t>педиатрии</w:t>
      </w:r>
      <w:r w:rsidR="00661EE7" w:rsidRPr="009E6200">
        <w:t xml:space="preserve"> </w:t>
      </w:r>
      <w:r w:rsidRPr="009E6200">
        <w:t>и</w:t>
      </w:r>
      <w:r w:rsidR="00661EE7" w:rsidRPr="009E6200">
        <w:t xml:space="preserve"> </w:t>
      </w:r>
      <w:r w:rsidRPr="009E6200">
        <w:t>у</w:t>
      </w:r>
      <w:r w:rsidR="00661EE7" w:rsidRPr="009E6200">
        <w:t xml:space="preserve"> </w:t>
      </w:r>
      <w:r w:rsidRPr="009E6200">
        <w:t>пациентов</w:t>
      </w:r>
      <w:r w:rsidR="00661EE7" w:rsidRPr="009E6200">
        <w:t xml:space="preserve"> </w:t>
      </w:r>
      <w:r w:rsidRPr="009E6200">
        <w:t>с печеночной</w:t>
      </w:r>
      <w:r w:rsidR="00661EE7" w:rsidRPr="009E6200">
        <w:t xml:space="preserve"> </w:t>
      </w:r>
      <w:r w:rsidRPr="009E6200">
        <w:t>и</w:t>
      </w:r>
      <w:r w:rsidR="00661EE7" w:rsidRPr="009E6200">
        <w:t xml:space="preserve"> </w:t>
      </w:r>
      <w:r w:rsidRPr="009E6200">
        <w:t>почечной</w:t>
      </w:r>
      <w:r w:rsidR="00661EE7" w:rsidRPr="009E6200">
        <w:t xml:space="preserve"> </w:t>
      </w:r>
      <w:r w:rsidRPr="009E6200">
        <w:t>недостаточностью,</w:t>
      </w:r>
      <w:r w:rsidR="00661EE7" w:rsidRPr="009E6200">
        <w:t xml:space="preserve"> </w:t>
      </w:r>
      <w:r w:rsidRPr="009E6200">
        <w:t>т.к.</w:t>
      </w:r>
      <w:r w:rsidR="00661EE7" w:rsidRPr="009E6200">
        <w:t xml:space="preserve"> </w:t>
      </w:r>
      <w:r w:rsidRPr="009E6200">
        <w:t>эффективность</w:t>
      </w:r>
      <w:r w:rsidR="00661EE7" w:rsidRPr="009E6200">
        <w:t xml:space="preserve"> </w:t>
      </w:r>
      <w:r w:rsidRPr="009E6200">
        <w:t>и</w:t>
      </w:r>
      <w:r w:rsidR="00661EE7" w:rsidRPr="009E6200">
        <w:t xml:space="preserve"> </w:t>
      </w:r>
      <w:r w:rsidRPr="009E6200">
        <w:t>безопасность применения в этих группах не изучалась.</w:t>
      </w:r>
      <w:r w:rsidR="00661EE7" w:rsidRPr="009E6200">
        <w:t xml:space="preserve"> </w:t>
      </w:r>
    </w:p>
    <w:p w14:paraId="2DD17637" w14:textId="77777777" w:rsidR="00577BCF" w:rsidRDefault="00577BCF" w:rsidP="007B46F5">
      <w:pPr>
        <w:pStyle w:val="SDText"/>
        <w:jc w:val="both"/>
        <w:rPr>
          <w:b/>
        </w:rPr>
      </w:pPr>
    </w:p>
    <w:p w14:paraId="2AE04367" w14:textId="5C61C50D" w:rsidR="00C92304" w:rsidRPr="009E6200" w:rsidRDefault="00C92304" w:rsidP="007B46F5">
      <w:pPr>
        <w:pStyle w:val="SDText"/>
        <w:jc w:val="both"/>
        <w:rPr>
          <w:b/>
        </w:rPr>
      </w:pPr>
      <w:r w:rsidRPr="009E6200">
        <w:rPr>
          <w:b/>
        </w:rPr>
        <w:t>Способ применения и дозы</w:t>
      </w:r>
    </w:p>
    <w:p w14:paraId="41AEB3E7" w14:textId="77777777" w:rsidR="00577BCF" w:rsidRDefault="00577BCF" w:rsidP="007B46F5">
      <w:pPr>
        <w:pStyle w:val="SDText"/>
        <w:jc w:val="both"/>
        <w:rPr>
          <w:b/>
          <w:i/>
        </w:rPr>
      </w:pPr>
    </w:p>
    <w:p w14:paraId="78869910" w14:textId="0FE790E7" w:rsidR="00CD5A81" w:rsidRPr="009E6200" w:rsidRDefault="00CD5A81" w:rsidP="007B46F5">
      <w:pPr>
        <w:pStyle w:val="SDText"/>
        <w:jc w:val="both"/>
        <w:rPr>
          <w:b/>
          <w:i/>
        </w:rPr>
      </w:pPr>
      <w:r w:rsidRPr="009E6200">
        <w:rPr>
          <w:b/>
          <w:i/>
        </w:rPr>
        <w:t>Способ введения</w:t>
      </w:r>
    </w:p>
    <w:p w14:paraId="3B937EB0" w14:textId="77777777" w:rsidR="00577BCF" w:rsidRDefault="00577BCF" w:rsidP="007B46F5">
      <w:pPr>
        <w:pStyle w:val="SDText"/>
        <w:jc w:val="both"/>
      </w:pPr>
    </w:p>
    <w:p w14:paraId="5EAAE210" w14:textId="36E99F5D" w:rsidR="00CD5A81" w:rsidRPr="009E6200" w:rsidRDefault="00CD5A81" w:rsidP="007B46F5">
      <w:pPr>
        <w:pStyle w:val="SDText"/>
        <w:ind w:firstLine="709"/>
        <w:jc w:val="both"/>
      </w:pPr>
      <w:r w:rsidRPr="009E6200">
        <w:t>RPH-001 вводят только в виде внутривенных капельных инфузий. Нельзя вводить препарат внутривенно струйно!</w:t>
      </w:r>
    </w:p>
    <w:p w14:paraId="599920B1" w14:textId="24A3638B" w:rsidR="009A0E33" w:rsidRPr="009E6200" w:rsidRDefault="009A0E33" w:rsidP="007B46F5">
      <w:pPr>
        <w:pStyle w:val="SDText"/>
        <w:ind w:firstLine="709"/>
        <w:jc w:val="both"/>
      </w:pPr>
      <w:r w:rsidRPr="009E6200">
        <w:t>Необходимое количество препарата RPH-001 разводят до требуемого объема 0,9% раствором натрия хлорида с соблюдением правил асептики. Концентрация бевацизумаба в приготовленном растворе должна находиться в пределах 1,4–16,5 мг/мл.</w:t>
      </w:r>
    </w:p>
    <w:p w14:paraId="2B2E83D8" w14:textId="5AD0C43C" w:rsidR="009A0E33" w:rsidRPr="009E6200" w:rsidRDefault="009A0E33" w:rsidP="007B46F5">
      <w:pPr>
        <w:pStyle w:val="SDText"/>
        <w:ind w:firstLine="709"/>
        <w:jc w:val="both"/>
      </w:pPr>
      <w:r w:rsidRPr="009E6200">
        <w:t xml:space="preserve">Препарат </w:t>
      </w:r>
      <w:r w:rsidRPr="009E6200">
        <w:rPr>
          <w:lang w:val="en-US"/>
        </w:rPr>
        <w:t>RPH</w:t>
      </w:r>
      <w:r w:rsidRPr="009E6200">
        <w:t>-001 несовместим с растворами декстрозы.</w:t>
      </w:r>
      <w:r w:rsidR="00E07FA2" w:rsidRPr="009E6200">
        <w:t xml:space="preserve"> </w:t>
      </w:r>
    </w:p>
    <w:p w14:paraId="0F74C77B" w14:textId="77777777" w:rsidR="00577BCF" w:rsidRDefault="00577BCF" w:rsidP="007B46F5">
      <w:pPr>
        <w:pStyle w:val="SDText"/>
        <w:jc w:val="both"/>
        <w:rPr>
          <w:b/>
          <w:i/>
        </w:rPr>
      </w:pPr>
    </w:p>
    <w:p w14:paraId="6A33C2F0" w14:textId="1C5F4F60" w:rsidR="00CD5A81" w:rsidRPr="009E6200" w:rsidRDefault="00CD5A81" w:rsidP="007B46F5">
      <w:pPr>
        <w:pStyle w:val="SDText"/>
        <w:jc w:val="both"/>
        <w:rPr>
          <w:b/>
          <w:i/>
        </w:rPr>
      </w:pPr>
      <w:r w:rsidRPr="009E6200">
        <w:rPr>
          <w:b/>
          <w:i/>
        </w:rPr>
        <w:t>Дозы и режим дозирования</w:t>
      </w:r>
    </w:p>
    <w:p w14:paraId="618B3FCC" w14:textId="77777777" w:rsidR="00577BCF" w:rsidRDefault="00577BCF" w:rsidP="007B46F5">
      <w:pPr>
        <w:pStyle w:val="SDText"/>
        <w:jc w:val="both"/>
        <w:rPr>
          <w:b/>
          <w:bCs/>
          <w:i/>
          <w:iCs/>
          <w:lang w:eastAsia="ru-RU" w:bidi="ru-RU"/>
        </w:rPr>
      </w:pPr>
    </w:p>
    <w:p w14:paraId="50FB0B41" w14:textId="1E529783" w:rsidR="00F17083" w:rsidRPr="009E6200" w:rsidRDefault="00F17083" w:rsidP="007B46F5">
      <w:pPr>
        <w:pStyle w:val="SDText"/>
        <w:jc w:val="both"/>
        <w:rPr>
          <w:lang w:eastAsia="ru-RU" w:bidi="ru-RU"/>
        </w:rPr>
      </w:pPr>
      <w:r w:rsidRPr="009E6200">
        <w:rPr>
          <w:b/>
          <w:bCs/>
          <w:i/>
          <w:iCs/>
          <w:lang w:eastAsia="ru-RU" w:bidi="ru-RU"/>
        </w:rPr>
        <w:t>Препарат RPH-001 вводят только внутривенно капельно; вводить препарат внутривенно струйно или болюсно нельзя!</w:t>
      </w:r>
    </w:p>
    <w:p w14:paraId="7794973C" w14:textId="77777777" w:rsidR="00577BCF" w:rsidRDefault="00577BCF" w:rsidP="007B46F5">
      <w:pPr>
        <w:pStyle w:val="SDText"/>
        <w:jc w:val="both"/>
        <w:rPr>
          <w:lang w:eastAsia="ru-RU" w:bidi="ru-RU"/>
        </w:rPr>
      </w:pPr>
    </w:p>
    <w:p w14:paraId="17E86FDA" w14:textId="6C905187" w:rsidR="00F17083" w:rsidRPr="009E6200" w:rsidRDefault="00F17083" w:rsidP="007B46F5">
      <w:pPr>
        <w:pStyle w:val="SDText"/>
        <w:ind w:firstLine="709"/>
        <w:jc w:val="both"/>
        <w:rPr>
          <w:lang w:eastAsia="ru-RU" w:bidi="ru-RU"/>
        </w:rPr>
      </w:pPr>
      <w:r w:rsidRPr="009E6200">
        <w:rPr>
          <w:lang w:eastAsia="ru-RU" w:bidi="ru-RU"/>
        </w:rPr>
        <w:t>Начальную дозу препарата вводят в течение 90 минут в виде внутривенной инфузии. Если первая инфузия хорошо переносится, то вторую инфузию можно проводить в течение 60 минут. Если инфузия в течение 60 минут хорошо переносится, то все последующие инфузии можно проводить в течение 30 минут.</w:t>
      </w:r>
    </w:p>
    <w:p w14:paraId="4B17BFAC" w14:textId="7CA5C765" w:rsidR="00F17083" w:rsidRPr="009E6200" w:rsidRDefault="00F17083" w:rsidP="007B46F5">
      <w:pPr>
        <w:pStyle w:val="SDText"/>
        <w:jc w:val="both"/>
        <w:rPr>
          <w:lang w:eastAsia="ru-RU" w:bidi="ru-RU"/>
        </w:rPr>
      </w:pPr>
      <w:r w:rsidRPr="009E6200">
        <w:rPr>
          <w:lang w:eastAsia="ru-RU" w:bidi="ru-RU"/>
        </w:rPr>
        <w:t>Не рекомендуется снижать дозу бевацизумаба из-за нежелательных явлений. В случае необходимости, лечение препаратом RPH-001 следует полностью или временно прекратить.</w:t>
      </w:r>
    </w:p>
    <w:p w14:paraId="3195F2D3" w14:textId="77777777" w:rsidR="00577BCF" w:rsidRDefault="00577BCF" w:rsidP="007B46F5">
      <w:pPr>
        <w:pStyle w:val="SDText"/>
        <w:jc w:val="both"/>
        <w:rPr>
          <w:b/>
          <w:bCs/>
          <w:i/>
          <w:iCs/>
          <w:lang w:eastAsia="ru-RU" w:bidi="ru-RU"/>
        </w:rPr>
      </w:pPr>
    </w:p>
    <w:p w14:paraId="692110FF" w14:textId="47F8DF29" w:rsidR="00F17083" w:rsidRPr="009E6200" w:rsidRDefault="00F17083" w:rsidP="007B46F5">
      <w:pPr>
        <w:pStyle w:val="SDText"/>
        <w:jc w:val="both"/>
        <w:rPr>
          <w:lang w:eastAsia="ru-RU" w:bidi="ru-RU"/>
        </w:rPr>
      </w:pPr>
      <w:r w:rsidRPr="009E6200">
        <w:rPr>
          <w:b/>
          <w:bCs/>
          <w:i/>
          <w:iCs/>
          <w:lang w:eastAsia="ru-RU" w:bidi="ru-RU"/>
        </w:rPr>
        <w:t>Стандартный режим дозирования</w:t>
      </w:r>
    </w:p>
    <w:p w14:paraId="086EB12F" w14:textId="77777777" w:rsidR="00577BCF" w:rsidRDefault="00577BCF" w:rsidP="007B46F5">
      <w:pPr>
        <w:pStyle w:val="SDText"/>
        <w:jc w:val="both"/>
        <w:rPr>
          <w:i/>
          <w:iCs/>
          <w:u w:val="single"/>
          <w:lang w:eastAsia="ru-RU" w:bidi="ru-RU"/>
        </w:rPr>
      </w:pPr>
    </w:p>
    <w:p w14:paraId="3495F130" w14:textId="08AA4D93" w:rsidR="00F17083" w:rsidRPr="009E6200" w:rsidRDefault="00F17083" w:rsidP="007B46F5">
      <w:pPr>
        <w:pStyle w:val="SDText"/>
        <w:jc w:val="both"/>
        <w:rPr>
          <w:lang w:eastAsia="ru-RU" w:bidi="ru-RU"/>
        </w:rPr>
      </w:pPr>
      <w:r w:rsidRPr="009E6200">
        <w:rPr>
          <w:i/>
          <w:iCs/>
          <w:u w:val="single"/>
          <w:lang w:eastAsia="ru-RU" w:bidi="ru-RU"/>
        </w:rPr>
        <w:t>Метастатический колоректальный рак</w:t>
      </w:r>
    </w:p>
    <w:p w14:paraId="32958839" w14:textId="77777777" w:rsidR="00577BCF" w:rsidRDefault="00577BCF" w:rsidP="007B46F5">
      <w:pPr>
        <w:pStyle w:val="SDText"/>
        <w:jc w:val="both"/>
        <w:rPr>
          <w:i/>
          <w:iCs/>
          <w:lang w:eastAsia="ru-RU" w:bidi="ru-RU"/>
        </w:rPr>
      </w:pPr>
    </w:p>
    <w:p w14:paraId="77527D26" w14:textId="782806B0" w:rsidR="00F17083" w:rsidRPr="009E6200" w:rsidRDefault="00F17083" w:rsidP="007B46F5">
      <w:pPr>
        <w:pStyle w:val="SDText"/>
        <w:jc w:val="both"/>
        <w:rPr>
          <w:lang w:eastAsia="ru-RU" w:bidi="ru-RU"/>
        </w:rPr>
      </w:pPr>
      <w:r w:rsidRPr="009E6200">
        <w:rPr>
          <w:i/>
          <w:iCs/>
          <w:lang w:eastAsia="ru-RU" w:bidi="ru-RU"/>
        </w:rPr>
        <w:t>В качестве первой линии терапии:</w:t>
      </w:r>
      <w:r w:rsidRPr="009E6200">
        <w:rPr>
          <w:lang w:eastAsia="ru-RU" w:bidi="ru-RU"/>
        </w:rPr>
        <w:t xml:space="preserve"> 5 мг / кг один раз в 2 недели или 7</w:t>
      </w:r>
      <w:r w:rsidR="00466ACC">
        <w:rPr>
          <w:lang w:eastAsia="ru-RU" w:bidi="ru-RU"/>
        </w:rPr>
        <w:t>,</w:t>
      </w:r>
      <w:r w:rsidRPr="009E6200">
        <w:rPr>
          <w:lang w:eastAsia="ru-RU" w:bidi="ru-RU"/>
        </w:rPr>
        <w:t>5 мг / кг один раз в 3 недели в виде внутривенной инфузии, длительно.</w:t>
      </w:r>
    </w:p>
    <w:p w14:paraId="32981C48" w14:textId="3A52B28D" w:rsidR="00F17083" w:rsidRPr="009E6200" w:rsidRDefault="00F17083" w:rsidP="007B46F5">
      <w:pPr>
        <w:pStyle w:val="SDText"/>
        <w:jc w:val="both"/>
        <w:rPr>
          <w:lang w:eastAsia="ru-RU" w:bidi="ru-RU"/>
        </w:rPr>
      </w:pPr>
      <w:r w:rsidRPr="009E6200">
        <w:rPr>
          <w:lang w:eastAsia="ru-RU" w:bidi="ru-RU"/>
        </w:rPr>
        <w:t>Рекомендуется проводить терапию препаратом RPH-001 до появления признаков прогрессирования заболевания или до неприемлемой токсичности.</w:t>
      </w:r>
    </w:p>
    <w:p w14:paraId="1081CB34" w14:textId="00AB328F" w:rsidR="00F17083" w:rsidRPr="009E6200" w:rsidRDefault="00F17083" w:rsidP="007B46F5">
      <w:pPr>
        <w:pStyle w:val="SDText"/>
        <w:jc w:val="both"/>
        <w:rPr>
          <w:lang w:eastAsia="ru-RU" w:bidi="ru-RU"/>
        </w:rPr>
      </w:pPr>
      <w:r w:rsidRPr="009E6200">
        <w:rPr>
          <w:i/>
          <w:iCs/>
          <w:lang w:eastAsia="ru-RU" w:bidi="ru-RU"/>
        </w:rPr>
        <w:t>В качестве второй линии терапии:</w:t>
      </w:r>
      <w:r w:rsidRPr="009E6200">
        <w:rPr>
          <w:lang w:eastAsia="ru-RU" w:bidi="ru-RU"/>
        </w:rPr>
        <w:t xml:space="preserve"> пациенты, ранее получавшие терапию препаратом RPH-001, после первого прогрессирования заболевания могут продолжить лечение препаратом </w:t>
      </w:r>
      <w:bookmarkStart w:id="50" w:name="_Hlk25936466"/>
      <w:r w:rsidRPr="009E6200">
        <w:rPr>
          <w:lang w:eastAsia="ru-RU" w:bidi="ru-RU"/>
        </w:rPr>
        <w:t>RPH-001</w:t>
      </w:r>
      <w:bookmarkEnd w:id="50"/>
      <w:r w:rsidRPr="009E6200">
        <w:rPr>
          <w:lang w:eastAsia="ru-RU" w:bidi="ru-RU"/>
        </w:rPr>
        <w:t xml:space="preserve"> при условии изменения режима химиотерапии:</w:t>
      </w:r>
    </w:p>
    <w:p w14:paraId="5E5D4395" w14:textId="182AD80C" w:rsidR="00F17083" w:rsidRPr="009E6200" w:rsidRDefault="00F17083" w:rsidP="007B46F5">
      <w:pPr>
        <w:pStyle w:val="SDText"/>
        <w:ind w:left="426" w:hanging="142"/>
        <w:jc w:val="both"/>
        <w:rPr>
          <w:lang w:eastAsia="ru-RU" w:bidi="ru-RU"/>
        </w:rPr>
      </w:pPr>
      <w:r w:rsidRPr="009E6200">
        <w:rPr>
          <w:lang w:eastAsia="ru-RU" w:bidi="ru-RU"/>
        </w:rPr>
        <w:t>- при прогрессировании заболевания после терапии первой линии, включавшей препарат RPH-001: 5 мг/кг один раз в 2 недели или 7</w:t>
      </w:r>
      <w:r w:rsidR="00466ACC">
        <w:rPr>
          <w:lang w:eastAsia="ru-RU" w:bidi="ru-RU"/>
        </w:rPr>
        <w:t>,</w:t>
      </w:r>
      <w:r w:rsidRPr="009E6200">
        <w:rPr>
          <w:lang w:eastAsia="ru-RU" w:bidi="ru-RU"/>
        </w:rPr>
        <w:t>5 мг/кг один раз в 3 недели в виде внутривенной инфузии, длительно;</w:t>
      </w:r>
    </w:p>
    <w:p w14:paraId="3AF6A616" w14:textId="0176B8A1" w:rsidR="00F17083" w:rsidRPr="009E6200" w:rsidRDefault="00F17083" w:rsidP="007B46F5">
      <w:pPr>
        <w:pStyle w:val="SDText"/>
        <w:jc w:val="both"/>
        <w:rPr>
          <w:lang w:eastAsia="ru-RU" w:bidi="ru-RU"/>
        </w:rPr>
      </w:pPr>
      <w:r w:rsidRPr="009E6200">
        <w:rPr>
          <w:lang w:eastAsia="ru-RU" w:bidi="ru-RU"/>
        </w:rPr>
        <w:t>- при прогрессировании заболевания после терапии первой линии, не включавшей препарат RPH-001: 10 мг/кг один раз в 2 недели или 15 мг/кг один раз в 3 недели в виде внутривенной инфузии, длительно.</w:t>
      </w:r>
    </w:p>
    <w:p w14:paraId="3B5A4020" w14:textId="77777777" w:rsidR="00577BCF" w:rsidRDefault="00577BCF" w:rsidP="007B46F5">
      <w:pPr>
        <w:pStyle w:val="SDText"/>
        <w:jc w:val="both"/>
        <w:rPr>
          <w:i/>
          <w:iCs/>
          <w:u w:val="single"/>
          <w:lang w:eastAsia="ru-RU" w:bidi="ru-RU"/>
        </w:rPr>
      </w:pPr>
    </w:p>
    <w:p w14:paraId="5CDA1BCF" w14:textId="1B5CEE24" w:rsidR="00577BCF" w:rsidRDefault="00F17083" w:rsidP="007B46F5">
      <w:pPr>
        <w:pStyle w:val="SDText"/>
        <w:jc w:val="both"/>
        <w:rPr>
          <w:i/>
          <w:iCs/>
          <w:u w:val="single"/>
          <w:lang w:eastAsia="ru-RU" w:bidi="ru-RU"/>
        </w:rPr>
      </w:pPr>
      <w:r w:rsidRPr="009E6200">
        <w:rPr>
          <w:i/>
          <w:iCs/>
          <w:u w:val="single"/>
          <w:lang w:eastAsia="ru-RU" w:bidi="ru-RU"/>
        </w:rPr>
        <w:t>Местно рецидивирующий или метастатический рак молочной железы (РМЖ)</w:t>
      </w:r>
    </w:p>
    <w:p w14:paraId="5728911A" w14:textId="77777777" w:rsidR="00577BCF" w:rsidRDefault="00577BCF" w:rsidP="007B46F5">
      <w:pPr>
        <w:pStyle w:val="SDText"/>
        <w:jc w:val="both"/>
        <w:rPr>
          <w:lang w:eastAsia="ru-RU" w:bidi="ru-RU"/>
        </w:rPr>
      </w:pPr>
    </w:p>
    <w:p w14:paraId="1428DF45" w14:textId="39BFA098" w:rsidR="00F17083" w:rsidRPr="009E6200" w:rsidRDefault="00577BCF" w:rsidP="007B46F5">
      <w:pPr>
        <w:pStyle w:val="SDText"/>
        <w:ind w:firstLine="709"/>
        <w:jc w:val="both"/>
        <w:rPr>
          <w:lang w:eastAsia="ru-RU" w:bidi="ru-RU"/>
        </w:rPr>
      </w:pPr>
      <w:r>
        <w:rPr>
          <w:lang w:eastAsia="ru-RU" w:bidi="ru-RU"/>
        </w:rPr>
        <w:t xml:space="preserve">По </w:t>
      </w:r>
      <w:r w:rsidR="00F17083" w:rsidRPr="009E6200">
        <w:rPr>
          <w:lang w:eastAsia="ru-RU" w:bidi="ru-RU"/>
        </w:rPr>
        <w:t>10 мг/кг один раз в 2 недели в виде внутривенной инфузии, длительно.</w:t>
      </w:r>
    </w:p>
    <w:p w14:paraId="7F0A0E10" w14:textId="73C1BF44" w:rsidR="00F17083" w:rsidRPr="009E6200" w:rsidRDefault="00F17083" w:rsidP="007B46F5">
      <w:pPr>
        <w:pStyle w:val="SDText"/>
        <w:jc w:val="both"/>
        <w:rPr>
          <w:lang w:eastAsia="ru-RU" w:bidi="ru-RU"/>
        </w:rPr>
      </w:pPr>
      <w:r w:rsidRPr="009E6200">
        <w:rPr>
          <w:lang w:eastAsia="ru-RU" w:bidi="ru-RU"/>
        </w:rPr>
        <w:t>При появлении признаков прогрессирования заболевания или неприемлемой токсичности терапию препаратом RPH-001 следует прекратить.</w:t>
      </w:r>
    </w:p>
    <w:p w14:paraId="4511E0E3" w14:textId="77777777" w:rsidR="00577BCF" w:rsidRDefault="00577BCF" w:rsidP="007B46F5">
      <w:pPr>
        <w:pStyle w:val="SDText"/>
        <w:jc w:val="both"/>
        <w:rPr>
          <w:i/>
          <w:iCs/>
          <w:u w:val="single"/>
          <w:lang w:eastAsia="ru-RU" w:bidi="ru-RU"/>
        </w:rPr>
      </w:pPr>
    </w:p>
    <w:p w14:paraId="405CA3DB" w14:textId="29860692" w:rsidR="00577BCF" w:rsidRDefault="00F17083" w:rsidP="007B46F5">
      <w:pPr>
        <w:pStyle w:val="SDText"/>
        <w:jc w:val="both"/>
        <w:rPr>
          <w:i/>
          <w:iCs/>
          <w:u w:val="single"/>
          <w:lang w:eastAsia="ru-RU" w:bidi="ru-RU"/>
        </w:rPr>
      </w:pPr>
      <w:r w:rsidRPr="009E6200">
        <w:rPr>
          <w:i/>
          <w:iCs/>
          <w:u w:val="single"/>
          <w:lang w:eastAsia="ru-RU" w:bidi="ru-RU"/>
        </w:rPr>
        <w:t>Распространенный неоперабельный, метастатический или рецидивирующий неплоскоклеточный немелкоклеточный рак легкого</w:t>
      </w:r>
    </w:p>
    <w:p w14:paraId="15B6E296" w14:textId="77777777" w:rsidR="00577BCF" w:rsidRPr="00577BCF" w:rsidRDefault="00577BCF" w:rsidP="007B46F5">
      <w:pPr>
        <w:pStyle w:val="SDText"/>
        <w:jc w:val="both"/>
        <w:rPr>
          <w:lang w:eastAsia="ru-RU" w:bidi="ru-RU"/>
        </w:rPr>
      </w:pPr>
    </w:p>
    <w:p w14:paraId="565AB352" w14:textId="4E5F7D74" w:rsidR="00F17083" w:rsidRPr="009E6200" w:rsidRDefault="00F17083" w:rsidP="007B46F5">
      <w:pPr>
        <w:pStyle w:val="SDText"/>
        <w:numPr>
          <w:ilvl w:val="0"/>
          <w:numId w:val="35"/>
        </w:numPr>
        <w:ind w:left="284" w:hanging="284"/>
        <w:jc w:val="both"/>
        <w:rPr>
          <w:lang w:eastAsia="ru-RU" w:bidi="ru-RU"/>
        </w:rPr>
      </w:pPr>
      <w:r w:rsidRPr="009E6200">
        <w:rPr>
          <w:i/>
          <w:iCs/>
          <w:lang w:eastAsia="ru-RU" w:bidi="ru-RU"/>
        </w:rPr>
        <w:t>Первая линия терапии немелкоклеточного рака легкого в комбинации с химиотерапией на основе препаратов платины</w:t>
      </w:r>
    </w:p>
    <w:p w14:paraId="709E289A" w14:textId="4ADB9505" w:rsidR="00F17083" w:rsidRPr="009E6200" w:rsidRDefault="00F17083" w:rsidP="007B46F5">
      <w:pPr>
        <w:pStyle w:val="SDText"/>
        <w:jc w:val="both"/>
        <w:rPr>
          <w:lang w:eastAsia="ru-RU" w:bidi="ru-RU"/>
        </w:rPr>
      </w:pPr>
      <w:r w:rsidRPr="009E6200">
        <w:rPr>
          <w:lang w:eastAsia="ru-RU" w:bidi="ru-RU"/>
        </w:rPr>
        <w:t>Препарат RPH-001 назначается дополнительно к химиотерапии на основе препаратов платины (максимальная продолжительность химиотерапии 6 циклов), далее введение препарата RPH-001 продолжается в виде монотерапии. При появлении признаков прогрессирования заболевания или неприемлемой токсичности терапию препаратом RPH-001 следует прекратить.</w:t>
      </w:r>
    </w:p>
    <w:p w14:paraId="7E8897A6" w14:textId="6F72CAAA" w:rsidR="00F17083" w:rsidRPr="009E6200" w:rsidRDefault="00F17083" w:rsidP="007B46F5">
      <w:pPr>
        <w:pStyle w:val="SDText"/>
        <w:jc w:val="both"/>
        <w:rPr>
          <w:lang w:eastAsia="ru-RU" w:bidi="ru-RU"/>
        </w:rPr>
      </w:pPr>
      <w:r w:rsidRPr="009E6200">
        <w:rPr>
          <w:i/>
          <w:iCs/>
          <w:lang w:eastAsia="ru-RU" w:bidi="ru-RU"/>
        </w:rPr>
        <w:t>Рекомендуемые дозы</w:t>
      </w:r>
      <w:r w:rsidRPr="009E6200">
        <w:rPr>
          <w:lang w:eastAsia="ru-RU" w:bidi="ru-RU"/>
        </w:rPr>
        <w:t>:</w:t>
      </w:r>
    </w:p>
    <w:p w14:paraId="592EB74F" w14:textId="745DE5D1" w:rsidR="00F17083" w:rsidRPr="009E6200" w:rsidRDefault="00F17083" w:rsidP="007B46F5">
      <w:pPr>
        <w:pStyle w:val="SDText"/>
        <w:jc w:val="both"/>
        <w:rPr>
          <w:lang w:eastAsia="ru-RU" w:bidi="ru-RU"/>
        </w:rPr>
      </w:pPr>
      <w:r w:rsidRPr="009E6200">
        <w:rPr>
          <w:lang w:eastAsia="ru-RU" w:bidi="ru-RU"/>
        </w:rPr>
        <w:t>- 7</w:t>
      </w:r>
      <w:r w:rsidR="00466ACC">
        <w:rPr>
          <w:lang w:eastAsia="ru-RU" w:bidi="ru-RU"/>
        </w:rPr>
        <w:t>,</w:t>
      </w:r>
      <w:r w:rsidRPr="009E6200">
        <w:rPr>
          <w:lang w:eastAsia="ru-RU" w:bidi="ru-RU"/>
        </w:rPr>
        <w:t>5 мг/кг один раз в 3 недели в виде внутривенной инфузии дополнительно к химиотерапии на основе цисплатина;</w:t>
      </w:r>
    </w:p>
    <w:p w14:paraId="703B4337" w14:textId="77777777" w:rsidR="00F17083" w:rsidRPr="009E6200" w:rsidRDefault="00F17083" w:rsidP="007B46F5">
      <w:pPr>
        <w:pStyle w:val="SDText"/>
        <w:jc w:val="both"/>
        <w:rPr>
          <w:lang w:eastAsia="ru-RU" w:bidi="ru-RU"/>
        </w:rPr>
      </w:pPr>
      <w:r w:rsidRPr="009E6200">
        <w:rPr>
          <w:lang w:eastAsia="ru-RU" w:bidi="ru-RU"/>
        </w:rPr>
        <w:t>- 15 мг/кг один раз в 3 недели в виде внутривенной инфузии дополнительно к химиотерапии на основе карбоплатина.</w:t>
      </w:r>
    </w:p>
    <w:p w14:paraId="2C8E75F0" w14:textId="77777777" w:rsidR="00F17083" w:rsidRPr="009E6200" w:rsidRDefault="00F17083" w:rsidP="007B46F5">
      <w:pPr>
        <w:pStyle w:val="SDText"/>
        <w:numPr>
          <w:ilvl w:val="0"/>
          <w:numId w:val="35"/>
        </w:numPr>
        <w:ind w:left="284" w:hanging="284"/>
        <w:jc w:val="both"/>
        <w:rPr>
          <w:lang w:eastAsia="ru-RU" w:bidi="ru-RU"/>
        </w:rPr>
      </w:pPr>
      <w:r w:rsidRPr="009E6200">
        <w:rPr>
          <w:i/>
          <w:iCs/>
          <w:lang w:eastAsia="ru-RU" w:bidi="ru-RU"/>
        </w:rPr>
        <w:t xml:space="preserve">Первая линия терапии немелкоклеточного рака легкого с активирующими мутациями в гене </w:t>
      </w:r>
      <w:r w:rsidRPr="009E6200">
        <w:rPr>
          <w:i/>
          <w:iCs/>
          <w:lang w:eastAsia="ru-RU" w:bidi="en-US"/>
        </w:rPr>
        <w:t xml:space="preserve">EGFR </w:t>
      </w:r>
      <w:r w:rsidRPr="009E6200">
        <w:rPr>
          <w:i/>
          <w:iCs/>
          <w:lang w:eastAsia="ru-RU" w:bidi="ru-RU"/>
        </w:rPr>
        <w:t>в комбинации с эрлотинибом</w:t>
      </w:r>
    </w:p>
    <w:p w14:paraId="704F53D2" w14:textId="77777777" w:rsidR="00F17083" w:rsidRPr="009E6200" w:rsidRDefault="00F17083" w:rsidP="007B46F5">
      <w:pPr>
        <w:pStyle w:val="SDText"/>
        <w:jc w:val="both"/>
        <w:rPr>
          <w:lang w:eastAsia="ru-RU" w:bidi="ru-RU"/>
        </w:rPr>
      </w:pPr>
      <w:r w:rsidRPr="009E6200">
        <w:rPr>
          <w:lang w:eastAsia="ru-RU" w:bidi="ru-RU"/>
        </w:rPr>
        <w:t>15 мг/кг один раз в 3 недели в виде внутривенной инфузии дополнительно к терапии эрлотинибом.</w:t>
      </w:r>
    </w:p>
    <w:p w14:paraId="2E4FA51D" w14:textId="666AFC50" w:rsidR="00F17083" w:rsidRPr="009E6200" w:rsidRDefault="00F17083" w:rsidP="007B46F5">
      <w:pPr>
        <w:pStyle w:val="SDText"/>
        <w:jc w:val="both"/>
        <w:rPr>
          <w:lang w:eastAsia="ru-RU" w:bidi="ru-RU"/>
        </w:rPr>
      </w:pPr>
      <w:r w:rsidRPr="009E6200">
        <w:rPr>
          <w:lang w:eastAsia="ru-RU" w:bidi="ru-RU"/>
        </w:rPr>
        <w:t>При появлении признаков прогрессирования заболевания или неприемлемой токсичности терапию препаратом RPH-001 следует прекратить.</w:t>
      </w:r>
    </w:p>
    <w:p w14:paraId="407E0CE5" w14:textId="77777777" w:rsidR="00F17083" w:rsidRPr="009E6200" w:rsidRDefault="00F17083" w:rsidP="007B46F5">
      <w:pPr>
        <w:pStyle w:val="SDText"/>
        <w:jc w:val="both"/>
        <w:rPr>
          <w:lang w:eastAsia="ru-RU" w:bidi="ru-RU"/>
        </w:rPr>
      </w:pPr>
      <w:r w:rsidRPr="009E6200">
        <w:rPr>
          <w:lang w:eastAsia="ru-RU" w:bidi="ru-RU"/>
        </w:rPr>
        <w:t>Информацию о выборе пациентов и дозах см. в полной инструкции по медицинскому применению на эрлотиниб.</w:t>
      </w:r>
    </w:p>
    <w:p w14:paraId="63B7E02B" w14:textId="77777777" w:rsidR="00577BCF" w:rsidRDefault="00577BCF" w:rsidP="007B46F5">
      <w:pPr>
        <w:pStyle w:val="SDText"/>
        <w:jc w:val="both"/>
        <w:rPr>
          <w:i/>
          <w:iCs/>
          <w:u w:val="single"/>
          <w:lang w:eastAsia="ru-RU" w:bidi="ru-RU"/>
        </w:rPr>
      </w:pPr>
    </w:p>
    <w:p w14:paraId="3EC19258" w14:textId="0BF1EADC" w:rsidR="00F17083" w:rsidRDefault="00F17083" w:rsidP="007B46F5">
      <w:pPr>
        <w:pStyle w:val="SDText"/>
        <w:jc w:val="both"/>
        <w:rPr>
          <w:i/>
          <w:iCs/>
          <w:u w:val="single"/>
          <w:lang w:eastAsia="ru-RU" w:bidi="ru-RU"/>
        </w:rPr>
      </w:pPr>
      <w:r w:rsidRPr="009E6200">
        <w:rPr>
          <w:i/>
          <w:iCs/>
          <w:u w:val="single"/>
          <w:lang w:eastAsia="ru-RU" w:bidi="ru-RU"/>
        </w:rPr>
        <w:t>Распространенный и/или метастатический почечно-клеточный рак</w:t>
      </w:r>
    </w:p>
    <w:p w14:paraId="5ACBBD5B" w14:textId="77777777" w:rsidR="00577BCF" w:rsidRPr="009E6200" w:rsidRDefault="00577BCF" w:rsidP="007B46F5">
      <w:pPr>
        <w:pStyle w:val="SDText"/>
        <w:jc w:val="both"/>
        <w:rPr>
          <w:lang w:eastAsia="ru-RU" w:bidi="ru-RU"/>
        </w:rPr>
      </w:pPr>
    </w:p>
    <w:p w14:paraId="23181C0D" w14:textId="46ED6505" w:rsidR="00F17083" w:rsidRPr="009E6200" w:rsidRDefault="00577BCF" w:rsidP="007B46F5">
      <w:pPr>
        <w:pStyle w:val="SDText"/>
        <w:jc w:val="both"/>
        <w:rPr>
          <w:lang w:eastAsia="ru-RU" w:bidi="ru-RU"/>
        </w:rPr>
      </w:pPr>
      <w:r>
        <w:rPr>
          <w:lang w:eastAsia="ru-RU" w:bidi="ru-RU"/>
        </w:rPr>
        <w:t xml:space="preserve">По </w:t>
      </w:r>
      <w:r w:rsidR="00F17083" w:rsidRPr="009E6200">
        <w:rPr>
          <w:lang w:eastAsia="ru-RU" w:bidi="ru-RU"/>
        </w:rPr>
        <w:t>10 мг/кг один раз в 2 недели в виде внутривенной инфузии, длительно.</w:t>
      </w:r>
    </w:p>
    <w:p w14:paraId="6EF8EFA5" w14:textId="4F987CD1" w:rsidR="00F17083" w:rsidRDefault="00F17083" w:rsidP="007B46F5">
      <w:pPr>
        <w:pStyle w:val="SDText"/>
        <w:jc w:val="both"/>
        <w:rPr>
          <w:lang w:eastAsia="ru-RU" w:bidi="ru-RU"/>
        </w:rPr>
      </w:pPr>
      <w:r w:rsidRPr="009E6200">
        <w:rPr>
          <w:lang w:eastAsia="ru-RU" w:bidi="ru-RU"/>
        </w:rPr>
        <w:t>При появлении признаков прогрессирования заболевания или неприемлемой токсичности терапию препаратом RPH-001 следует прекратить.</w:t>
      </w:r>
    </w:p>
    <w:p w14:paraId="27F934EB" w14:textId="77777777" w:rsidR="00577BCF" w:rsidRPr="009E6200" w:rsidRDefault="00577BCF" w:rsidP="007B46F5">
      <w:pPr>
        <w:pStyle w:val="SDText"/>
        <w:jc w:val="both"/>
        <w:rPr>
          <w:lang w:eastAsia="ru-RU" w:bidi="ru-RU"/>
        </w:rPr>
      </w:pPr>
    </w:p>
    <w:p w14:paraId="068E9ED0" w14:textId="77777777" w:rsidR="00577BCF" w:rsidRDefault="00F17083" w:rsidP="007B46F5">
      <w:pPr>
        <w:pStyle w:val="SDText"/>
        <w:jc w:val="both"/>
        <w:rPr>
          <w:i/>
          <w:iCs/>
          <w:u w:val="single"/>
          <w:lang w:eastAsia="ru-RU" w:bidi="ru-RU"/>
        </w:rPr>
      </w:pPr>
      <w:r w:rsidRPr="009E6200">
        <w:rPr>
          <w:i/>
          <w:iCs/>
          <w:u w:val="single"/>
          <w:lang w:eastAsia="ru-RU" w:bidi="ru-RU"/>
        </w:rPr>
        <w:t xml:space="preserve">Глиобластома (глиома IV степени злокачественности по классификации ВОЗ) </w:t>
      </w:r>
    </w:p>
    <w:p w14:paraId="35193A2D" w14:textId="77777777" w:rsidR="00577BCF" w:rsidRDefault="00577BCF" w:rsidP="007B46F5">
      <w:pPr>
        <w:pStyle w:val="SDText"/>
        <w:jc w:val="both"/>
        <w:rPr>
          <w:i/>
          <w:iCs/>
          <w:u w:val="single"/>
          <w:lang w:eastAsia="ru-RU" w:bidi="ru-RU"/>
        </w:rPr>
      </w:pPr>
    </w:p>
    <w:p w14:paraId="5F0E6D5F" w14:textId="07B49087" w:rsidR="00F17083" w:rsidRPr="009E6200" w:rsidRDefault="00F17083" w:rsidP="007B46F5">
      <w:pPr>
        <w:pStyle w:val="SDText"/>
        <w:jc w:val="both"/>
        <w:rPr>
          <w:lang w:eastAsia="ru-RU" w:bidi="ru-RU"/>
        </w:rPr>
      </w:pPr>
      <w:r w:rsidRPr="009E6200">
        <w:rPr>
          <w:i/>
          <w:iCs/>
          <w:lang w:eastAsia="ru-RU" w:bidi="ru-RU"/>
        </w:rPr>
        <w:t>При впервые диагностированном заболевании:</w:t>
      </w:r>
      <w:r w:rsidRPr="009E6200">
        <w:rPr>
          <w:lang w:eastAsia="ru-RU" w:bidi="ru-RU"/>
        </w:rPr>
        <w:t xml:space="preserve"> 10 мг/кг один раз в 2 недели в виде внутривенной инфузии в комбинации с лучевой терапией и темозоломидом, в течение 6 недель. После 4-недельного перерыва введение препарата RPH-001 возобновляют в дозе 10 мг/кг один раз в 2 недели в комбинации с темозоломидом. Темозоломид назначают 4-</w:t>
      </w:r>
      <w:r w:rsidRPr="009E6200">
        <w:rPr>
          <w:lang w:eastAsia="ru-RU" w:bidi="ru-RU"/>
        </w:rPr>
        <w:softHyphen/>
        <w:t>недельными циклами, продолжительность терапии темозоломидом - до 6 циклов. Далее введение препарата RPH-001 продолжается в виде монотерапии в дозе 15 мг/кг один раз в 3 недели.</w:t>
      </w:r>
    </w:p>
    <w:p w14:paraId="4786CD06" w14:textId="1DF0A124" w:rsidR="00F17083" w:rsidRPr="009E6200" w:rsidRDefault="00F17083" w:rsidP="007B46F5">
      <w:pPr>
        <w:pStyle w:val="SDText"/>
        <w:jc w:val="both"/>
        <w:rPr>
          <w:lang w:eastAsia="ru-RU" w:bidi="ru-RU"/>
        </w:rPr>
      </w:pPr>
      <w:r w:rsidRPr="009E6200">
        <w:rPr>
          <w:lang w:eastAsia="ru-RU" w:bidi="ru-RU"/>
        </w:rPr>
        <w:t>При появлении признаков прогрессирования заболевания или неприемлемой токсичности терапию препаратом RPH-001 следует прекратить.</w:t>
      </w:r>
    </w:p>
    <w:p w14:paraId="19742E28" w14:textId="77777777" w:rsidR="00F17083" w:rsidRPr="009E6200" w:rsidRDefault="00F17083" w:rsidP="007B46F5">
      <w:pPr>
        <w:pStyle w:val="SDText"/>
        <w:jc w:val="both"/>
        <w:rPr>
          <w:lang w:eastAsia="ru-RU" w:bidi="ru-RU"/>
        </w:rPr>
      </w:pPr>
      <w:r w:rsidRPr="009E6200">
        <w:rPr>
          <w:i/>
          <w:iCs/>
          <w:lang w:eastAsia="ru-RU" w:bidi="ru-RU"/>
        </w:rPr>
        <w:t>При рецидивирующем заболевании:</w:t>
      </w:r>
      <w:r w:rsidRPr="009E6200">
        <w:rPr>
          <w:lang w:eastAsia="ru-RU" w:bidi="ru-RU"/>
        </w:rPr>
        <w:t xml:space="preserve"> 10 мг/кг один раз в 2 недели в виде внутривенной инфузии, длительно.</w:t>
      </w:r>
    </w:p>
    <w:p w14:paraId="191B793E" w14:textId="7C0175DC" w:rsidR="00F17083" w:rsidRPr="009E6200" w:rsidRDefault="00F17083" w:rsidP="007B46F5">
      <w:pPr>
        <w:pStyle w:val="SDText"/>
        <w:jc w:val="both"/>
        <w:rPr>
          <w:lang w:eastAsia="ru-RU" w:bidi="ru-RU"/>
        </w:rPr>
      </w:pPr>
      <w:r w:rsidRPr="009E6200">
        <w:rPr>
          <w:lang w:eastAsia="ru-RU" w:bidi="ru-RU"/>
        </w:rPr>
        <w:t>При появлении признаков прогрессирования заболевания или неприемлемой токсичности терапию препаратом RPH-001 следует прекратить.</w:t>
      </w:r>
    </w:p>
    <w:p w14:paraId="5B75F4B0" w14:textId="77777777" w:rsidR="00577BCF" w:rsidRDefault="00577BCF" w:rsidP="007B46F5">
      <w:pPr>
        <w:pStyle w:val="SDText"/>
        <w:jc w:val="both"/>
        <w:rPr>
          <w:i/>
          <w:iCs/>
          <w:u w:val="single"/>
          <w:lang w:eastAsia="ru-RU" w:bidi="ru-RU"/>
        </w:rPr>
      </w:pPr>
    </w:p>
    <w:p w14:paraId="4E0708A7" w14:textId="2197E697" w:rsidR="00F17083" w:rsidRPr="009E6200" w:rsidRDefault="00F17083" w:rsidP="007B46F5">
      <w:pPr>
        <w:pStyle w:val="SDText"/>
        <w:jc w:val="both"/>
        <w:rPr>
          <w:lang w:eastAsia="ru-RU" w:bidi="ru-RU"/>
        </w:rPr>
      </w:pPr>
      <w:r w:rsidRPr="009E6200">
        <w:rPr>
          <w:i/>
          <w:iCs/>
          <w:u w:val="single"/>
          <w:lang w:eastAsia="ru-RU" w:bidi="ru-RU"/>
        </w:rPr>
        <w:t>Эпителиальный рак яичника, маточной трубы- и первичный рак брюшины</w:t>
      </w:r>
    </w:p>
    <w:p w14:paraId="71AA4A69" w14:textId="77777777" w:rsidR="00577BCF" w:rsidRDefault="00577BCF" w:rsidP="007B46F5">
      <w:pPr>
        <w:pStyle w:val="SDText"/>
        <w:jc w:val="both"/>
        <w:rPr>
          <w:i/>
          <w:iCs/>
          <w:lang w:eastAsia="ru-RU" w:bidi="ru-RU"/>
        </w:rPr>
      </w:pPr>
    </w:p>
    <w:p w14:paraId="7EE3D34B" w14:textId="3C38FF63" w:rsidR="00F17083" w:rsidRPr="009E6200" w:rsidRDefault="00F17083" w:rsidP="007B46F5">
      <w:pPr>
        <w:pStyle w:val="SDText"/>
        <w:jc w:val="both"/>
        <w:rPr>
          <w:lang w:eastAsia="ru-RU" w:bidi="ru-RU"/>
        </w:rPr>
      </w:pPr>
      <w:r w:rsidRPr="009E6200">
        <w:rPr>
          <w:i/>
          <w:iCs/>
          <w:lang w:eastAsia="ru-RU" w:bidi="ru-RU"/>
        </w:rPr>
        <w:t>В качестве первой линии терапии:</w:t>
      </w:r>
      <w:r w:rsidRPr="009E6200">
        <w:rPr>
          <w:lang w:eastAsia="ru-RU" w:bidi="ru-RU"/>
        </w:rPr>
        <w:t xml:space="preserve"> 15 мг/кг один раз в 3 недели в виде внутривенной инфузии дополнительно к карбоплатину и паклитакселу (максимальная продолжительность химиотерапии 6 циклов), далее введение препарата RPH-001</w:t>
      </w:r>
      <w:r w:rsidRPr="009E6200">
        <w:rPr>
          <w:vertAlign w:val="superscript"/>
          <w:lang w:eastAsia="ru-RU" w:bidi="ru-RU"/>
        </w:rPr>
        <w:t xml:space="preserve"> </w:t>
      </w:r>
      <w:r w:rsidRPr="009E6200">
        <w:rPr>
          <w:lang w:eastAsia="ru-RU" w:bidi="ru-RU"/>
        </w:rPr>
        <w:t>продолжается в виде монотерапии. Общая продолжительность терапии препаратом RPH-001 - 15 месяцев. При появлении признаков прогрессирования заболевания или неприемлемой токсичности терапию препаратом RPH-001 следует прекратить.</w:t>
      </w:r>
    </w:p>
    <w:p w14:paraId="052DE248" w14:textId="77777777" w:rsidR="00F17083" w:rsidRPr="009E6200" w:rsidRDefault="00F17083" w:rsidP="007B46F5">
      <w:pPr>
        <w:pStyle w:val="SDText"/>
        <w:jc w:val="both"/>
        <w:rPr>
          <w:lang w:eastAsia="ru-RU" w:bidi="ru-RU"/>
        </w:rPr>
      </w:pPr>
      <w:r w:rsidRPr="009E6200">
        <w:rPr>
          <w:i/>
          <w:iCs/>
          <w:lang w:eastAsia="ru-RU" w:bidi="ru-RU"/>
        </w:rPr>
        <w:t>При рецидивирующем заболевании:</w:t>
      </w:r>
    </w:p>
    <w:p w14:paraId="4C4E8559" w14:textId="77777777" w:rsidR="00F17083" w:rsidRPr="009E6200" w:rsidRDefault="00F17083" w:rsidP="007B46F5">
      <w:pPr>
        <w:pStyle w:val="SDText"/>
        <w:numPr>
          <w:ilvl w:val="0"/>
          <w:numId w:val="35"/>
        </w:numPr>
        <w:jc w:val="both"/>
        <w:rPr>
          <w:lang w:eastAsia="ru-RU" w:bidi="ru-RU"/>
        </w:rPr>
      </w:pPr>
      <w:r w:rsidRPr="009E6200">
        <w:rPr>
          <w:i/>
          <w:iCs/>
          <w:lang w:eastAsia="ru-RU" w:bidi="ru-RU"/>
        </w:rPr>
        <w:t>чувствительном к препаратам платины:</w:t>
      </w:r>
    </w:p>
    <w:p w14:paraId="7B5E9313" w14:textId="444A2483" w:rsidR="00F17083" w:rsidRPr="009E6200" w:rsidRDefault="00F17083" w:rsidP="007B46F5">
      <w:pPr>
        <w:pStyle w:val="SDText"/>
        <w:jc w:val="both"/>
        <w:rPr>
          <w:lang w:eastAsia="ru-RU" w:bidi="ru-RU"/>
        </w:rPr>
      </w:pPr>
      <w:r w:rsidRPr="009E6200">
        <w:rPr>
          <w:lang w:eastAsia="ru-RU" w:bidi="ru-RU"/>
        </w:rPr>
        <w:t>15 мг/кг один раз в 3 недели в виде внутривенной инфузии в комбинации с карбоплатином и паклитакселом (6-8 циклов); далее введение препарата RPH-001</w:t>
      </w:r>
      <w:r w:rsidRPr="009E6200">
        <w:rPr>
          <w:vertAlign w:val="superscript"/>
          <w:lang w:eastAsia="ru-RU" w:bidi="ru-RU"/>
        </w:rPr>
        <w:t xml:space="preserve"> </w:t>
      </w:r>
      <w:r w:rsidRPr="009E6200">
        <w:rPr>
          <w:lang w:eastAsia="ru-RU" w:bidi="ru-RU"/>
        </w:rPr>
        <w:t>продолжается в виде монотерапии</w:t>
      </w:r>
    </w:p>
    <w:p w14:paraId="763D47BF" w14:textId="77777777" w:rsidR="00F17083" w:rsidRPr="009E6200" w:rsidRDefault="00F17083" w:rsidP="007B46F5">
      <w:pPr>
        <w:pStyle w:val="SDText"/>
        <w:jc w:val="both"/>
        <w:rPr>
          <w:lang w:eastAsia="ru-RU" w:bidi="ru-RU"/>
        </w:rPr>
      </w:pPr>
      <w:r w:rsidRPr="009E6200">
        <w:rPr>
          <w:lang w:eastAsia="ru-RU" w:bidi="ru-RU"/>
        </w:rPr>
        <w:t>или</w:t>
      </w:r>
    </w:p>
    <w:p w14:paraId="27F6505E" w14:textId="78A5A5E6" w:rsidR="00F17083" w:rsidRPr="009E6200" w:rsidRDefault="00F17083" w:rsidP="007B46F5">
      <w:pPr>
        <w:pStyle w:val="SDText"/>
        <w:jc w:val="both"/>
        <w:rPr>
          <w:lang w:eastAsia="ru-RU" w:bidi="ru-RU"/>
        </w:rPr>
      </w:pPr>
      <w:r w:rsidRPr="009E6200">
        <w:rPr>
          <w:lang w:eastAsia="ru-RU" w:bidi="ru-RU"/>
        </w:rPr>
        <w:t>15 мг/кг один раз в 3 недели в виде внутривенной инфузии в комбинации с карбоплатином и гемцитабином (6-10 циклов), далее введение препарата RPH-001</w:t>
      </w:r>
      <w:r w:rsidRPr="009E6200">
        <w:rPr>
          <w:vertAlign w:val="superscript"/>
          <w:lang w:eastAsia="ru-RU" w:bidi="ru-RU"/>
        </w:rPr>
        <w:t xml:space="preserve"> </w:t>
      </w:r>
      <w:r w:rsidRPr="009E6200">
        <w:rPr>
          <w:lang w:eastAsia="ru-RU" w:bidi="ru-RU"/>
        </w:rPr>
        <w:t>продолжается в виде монотерапии.</w:t>
      </w:r>
    </w:p>
    <w:p w14:paraId="2F75E1DE" w14:textId="1A1C62B1" w:rsidR="00F17083" w:rsidRPr="009E6200" w:rsidRDefault="00F17083" w:rsidP="007B46F5">
      <w:pPr>
        <w:pStyle w:val="SDText"/>
        <w:jc w:val="both"/>
        <w:rPr>
          <w:lang w:eastAsia="ru-RU" w:bidi="ru-RU"/>
        </w:rPr>
      </w:pPr>
      <w:r w:rsidRPr="009E6200">
        <w:rPr>
          <w:lang w:eastAsia="ru-RU" w:bidi="ru-RU"/>
        </w:rPr>
        <w:t>При появлении признаков прогрессирования заболевания или неприемлемой токсичности терапию препаратом RPH-001 следует прекратить.</w:t>
      </w:r>
    </w:p>
    <w:p w14:paraId="5866D292" w14:textId="77777777" w:rsidR="00F17083" w:rsidRPr="009E6200" w:rsidRDefault="00F17083" w:rsidP="007B46F5">
      <w:pPr>
        <w:pStyle w:val="SDText"/>
        <w:numPr>
          <w:ilvl w:val="0"/>
          <w:numId w:val="35"/>
        </w:numPr>
        <w:jc w:val="both"/>
        <w:rPr>
          <w:lang w:eastAsia="ru-RU" w:bidi="ru-RU"/>
        </w:rPr>
      </w:pPr>
      <w:r w:rsidRPr="009E6200">
        <w:rPr>
          <w:i/>
          <w:iCs/>
          <w:lang w:eastAsia="ru-RU" w:bidi="ru-RU"/>
        </w:rPr>
        <w:t>резистентном к препаратам платины:</w:t>
      </w:r>
    </w:p>
    <w:p w14:paraId="7BA90B78" w14:textId="77777777" w:rsidR="00F17083" w:rsidRPr="009E6200" w:rsidRDefault="00F17083" w:rsidP="007B46F5">
      <w:pPr>
        <w:pStyle w:val="SDText"/>
        <w:jc w:val="both"/>
        <w:rPr>
          <w:lang w:eastAsia="ru-RU" w:bidi="ru-RU"/>
        </w:rPr>
      </w:pPr>
      <w:r w:rsidRPr="009E6200">
        <w:rPr>
          <w:lang w:eastAsia="ru-RU" w:bidi="ru-RU"/>
        </w:rPr>
        <w:t>10 мг/кг один раз в 2 недели в виде внутривенной инфузии в комбинации с одним из следующих препаратов: паклитакселом, топотеканом (при «еженедельном» режиме введения топотекана - то есть в 1, 8 и 15-й дни каждые 4 недели) или пегилированным липосомальным доксорубицином</w:t>
      </w:r>
    </w:p>
    <w:p w14:paraId="1F29F208" w14:textId="77777777" w:rsidR="00F17083" w:rsidRPr="009E6200" w:rsidRDefault="00F17083" w:rsidP="007B46F5">
      <w:pPr>
        <w:pStyle w:val="SDText"/>
        <w:jc w:val="both"/>
        <w:rPr>
          <w:lang w:eastAsia="ru-RU" w:bidi="ru-RU"/>
        </w:rPr>
      </w:pPr>
      <w:r w:rsidRPr="009E6200">
        <w:rPr>
          <w:lang w:eastAsia="ru-RU" w:bidi="ru-RU"/>
        </w:rPr>
        <w:t>или</w:t>
      </w:r>
    </w:p>
    <w:p w14:paraId="2736E510" w14:textId="1CF41321" w:rsidR="00F17083" w:rsidRPr="009E6200" w:rsidRDefault="00F17083" w:rsidP="007B46F5">
      <w:pPr>
        <w:pStyle w:val="SDText"/>
        <w:jc w:val="both"/>
        <w:rPr>
          <w:lang w:eastAsia="ru-RU" w:bidi="ru-RU"/>
        </w:rPr>
      </w:pPr>
      <w:r w:rsidRPr="009E6200">
        <w:rPr>
          <w:lang w:eastAsia="ru-RU" w:bidi="ru-RU"/>
        </w:rPr>
        <w:t>15 мг/кг один раз в 3 недели в виде внутривенной инфузии в комбинации с топотеканом, применяемым ежедневно в течение 5 последовательных дней каждые 3 недели. При появлении признаков прогрессирования заболевания или неприемлемой токсичности терапию препаратом RPH-001 следует прекратить.</w:t>
      </w:r>
    </w:p>
    <w:p w14:paraId="7FFE6D93" w14:textId="77777777" w:rsidR="00F17083" w:rsidRPr="009E6200" w:rsidRDefault="00F17083" w:rsidP="007B46F5">
      <w:pPr>
        <w:pStyle w:val="SDText"/>
        <w:jc w:val="both"/>
        <w:rPr>
          <w:lang w:eastAsia="ru-RU" w:bidi="ru-RU"/>
        </w:rPr>
      </w:pPr>
      <w:r w:rsidRPr="009E6200">
        <w:rPr>
          <w:i/>
          <w:iCs/>
          <w:u w:val="single"/>
          <w:lang w:eastAsia="ru-RU" w:bidi="ru-RU"/>
        </w:rPr>
        <w:t>Персистирующий, рецидивирующий или метастатический рак шейки матки</w:t>
      </w:r>
    </w:p>
    <w:p w14:paraId="5EBEADA4" w14:textId="77777777" w:rsidR="00F17083" w:rsidRPr="009E6200" w:rsidRDefault="00F17083" w:rsidP="007B46F5">
      <w:pPr>
        <w:pStyle w:val="SDText"/>
        <w:jc w:val="both"/>
        <w:rPr>
          <w:lang w:eastAsia="ru-RU" w:bidi="ru-RU"/>
        </w:rPr>
      </w:pPr>
      <w:r w:rsidRPr="009E6200">
        <w:rPr>
          <w:lang w:eastAsia="ru-RU" w:bidi="ru-RU"/>
        </w:rPr>
        <w:t>15 мг/кг один раз в 3 недели в виде внутривенной инфузии в комбинации с химиотерапевтическими режимами: паклитаксел и цисплатин или паклитаксел и топотекан.</w:t>
      </w:r>
    </w:p>
    <w:p w14:paraId="5418558D" w14:textId="24BFE173" w:rsidR="00F17083" w:rsidRPr="009E6200" w:rsidRDefault="00F17083" w:rsidP="007B46F5">
      <w:pPr>
        <w:pStyle w:val="SDText"/>
        <w:jc w:val="both"/>
        <w:rPr>
          <w:lang w:eastAsia="ru-RU" w:bidi="ru-RU"/>
        </w:rPr>
      </w:pPr>
      <w:r w:rsidRPr="009E6200">
        <w:rPr>
          <w:lang w:eastAsia="ru-RU" w:bidi="ru-RU"/>
        </w:rPr>
        <w:t>При появлении признаков прогрессирования заболевания или неприемлемой токсичности терапию препаратом RPH-001 следует прекратить.</w:t>
      </w:r>
    </w:p>
    <w:p w14:paraId="5E2CC136" w14:textId="77777777" w:rsidR="00577BCF" w:rsidRDefault="00577BCF" w:rsidP="007B46F5">
      <w:pPr>
        <w:pStyle w:val="SDText"/>
        <w:jc w:val="both"/>
        <w:rPr>
          <w:b/>
          <w:bCs/>
          <w:i/>
          <w:iCs/>
          <w:lang w:eastAsia="ru-RU" w:bidi="ru-RU"/>
        </w:rPr>
      </w:pPr>
    </w:p>
    <w:p w14:paraId="4496EE6B" w14:textId="0772E7A1" w:rsidR="00F17083" w:rsidRPr="009E6200" w:rsidRDefault="00F17083" w:rsidP="007B46F5">
      <w:pPr>
        <w:pStyle w:val="SDText"/>
        <w:jc w:val="both"/>
        <w:rPr>
          <w:lang w:eastAsia="ru-RU" w:bidi="ru-RU"/>
        </w:rPr>
      </w:pPr>
      <w:r w:rsidRPr="009E6200">
        <w:rPr>
          <w:b/>
          <w:bCs/>
          <w:i/>
          <w:iCs/>
          <w:lang w:eastAsia="ru-RU" w:bidi="ru-RU"/>
        </w:rPr>
        <w:t>Режим дозирования у особых групп пациентов</w:t>
      </w:r>
    </w:p>
    <w:p w14:paraId="6165B73F" w14:textId="77777777" w:rsidR="00577BCF" w:rsidRDefault="00577BCF" w:rsidP="007B46F5">
      <w:pPr>
        <w:pStyle w:val="SDText"/>
        <w:jc w:val="both"/>
        <w:rPr>
          <w:i/>
          <w:iCs/>
          <w:lang w:eastAsia="ru-RU" w:bidi="ru-RU"/>
        </w:rPr>
      </w:pPr>
    </w:p>
    <w:p w14:paraId="6D4563CC" w14:textId="546FD5B1" w:rsidR="00F17083" w:rsidRPr="009E6200" w:rsidRDefault="00F17083" w:rsidP="007B46F5">
      <w:pPr>
        <w:pStyle w:val="SDText"/>
        <w:jc w:val="both"/>
        <w:rPr>
          <w:lang w:eastAsia="ru-RU" w:bidi="ru-RU"/>
        </w:rPr>
      </w:pPr>
      <w:r w:rsidRPr="009E6200">
        <w:rPr>
          <w:i/>
          <w:iCs/>
          <w:lang w:eastAsia="ru-RU" w:bidi="ru-RU"/>
        </w:rPr>
        <w:t>Дети и подростки</w:t>
      </w:r>
    </w:p>
    <w:p w14:paraId="1A127CA7" w14:textId="063F7EEF" w:rsidR="00F17083" w:rsidRPr="009E6200" w:rsidRDefault="00F17083" w:rsidP="007B46F5">
      <w:pPr>
        <w:pStyle w:val="SDText"/>
        <w:ind w:firstLine="709"/>
        <w:jc w:val="both"/>
        <w:rPr>
          <w:lang w:eastAsia="ru-RU" w:bidi="ru-RU"/>
        </w:rPr>
      </w:pPr>
      <w:r w:rsidRPr="009E6200">
        <w:rPr>
          <w:lang w:eastAsia="ru-RU" w:bidi="ru-RU"/>
        </w:rPr>
        <w:t>Препарат RPH-001 противопоказан детям до 18 лет. Безопасность и эффективность препарата RPH-001 у пациентов до 18 лет не установлена.</w:t>
      </w:r>
    </w:p>
    <w:p w14:paraId="5244C9BD" w14:textId="17C1F86E" w:rsidR="00F17083" w:rsidRPr="009E6200" w:rsidRDefault="00F17083" w:rsidP="007B46F5">
      <w:pPr>
        <w:pStyle w:val="SDText"/>
        <w:ind w:firstLine="709"/>
        <w:jc w:val="both"/>
        <w:rPr>
          <w:lang w:eastAsia="ru-RU" w:bidi="ru-RU"/>
        </w:rPr>
      </w:pPr>
      <w:r w:rsidRPr="009E6200">
        <w:rPr>
          <w:lang w:eastAsia="ru-RU" w:bidi="ru-RU"/>
        </w:rPr>
        <w:t>Добавление препарата RPH-001 к стандартной терапии в клинических исследованиях не показало клинической пользы у пациентов детского возраста с глиомой высокой степени злокачественности и у пациентов детского возраста с метастатической рабдомиосаркомой или нерабдомиосаркомной саркомой мягких тканей.</w:t>
      </w:r>
    </w:p>
    <w:p w14:paraId="33FC44E8" w14:textId="142CE8F9" w:rsidR="00F17083" w:rsidRPr="009E6200" w:rsidRDefault="00F17083" w:rsidP="007B46F5">
      <w:pPr>
        <w:pStyle w:val="SDText"/>
        <w:ind w:firstLine="709"/>
        <w:jc w:val="both"/>
        <w:rPr>
          <w:lang w:eastAsia="ru-RU" w:bidi="ru-RU"/>
        </w:rPr>
      </w:pPr>
      <w:r w:rsidRPr="009E6200">
        <w:rPr>
          <w:lang w:eastAsia="ru-RU" w:bidi="ru-RU"/>
        </w:rPr>
        <w:t>В публикациях описаны наблюдавшиеся у получавших препарат RPH-001 пациентов в возрасте до 18 лет случаи остеонекроза различной локализации кроме остеонекроза челюсти.</w:t>
      </w:r>
    </w:p>
    <w:p w14:paraId="13C0FDEE" w14:textId="77777777" w:rsidR="00577BCF" w:rsidRDefault="00577BCF" w:rsidP="007B46F5">
      <w:pPr>
        <w:pStyle w:val="SDText"/>
        <w:jc w:val="both"/>
        <w:rPr>
          <w:i/>
          <w:iCs/>
          <w:lang w:eastAsia="ru-RU" w:bidi="ru-RU"/>
        </w:rPr>
      </w:pPr>
    </w:p>
    <w:p w14:paraId="6FEC4BAD" w14:textId="138295FE" w:rsidR="00F17083" w:rsidRPr="009E6200" w:rsidRDefault="00F17083" w:rsidP="007B46F5">
      <w:pPr>
        <w:pStyle w:val="SDText"/>
        <w:jc w:val="both"/>
        <w:rPr>
          <w:lang w:eastAsia="ru-RU" w:bidi="ru-RU"/>
        </w:rPr>
      </w:pPr>
      <w:r w:rsidRPr="009E6200">
        <w:rPr>
          <w:i/>
          <w:iCs/>
          <w:lang w:eastAsia="ru-RU" w:bidi="ru-RU"/>
        </w:rPr>
        <w:t>Пациенты пожилого возраста (старше 65 лет)</w:t>
      </w:r>
    </w:p>
    <w:p w14:paraId="57200C0E" w14:textId="12EED4F4" w:rsidR="00F17083" w:rsidRPr="009E6200" w:rsidRDefault="00F17083" w:rsidP="007B46F5">
      <w:pPr>
        <w:pStyle w:val="SDText"/>
        <w:ind w:firstLine="709"/>
        <w:jc w:val="both"/>
        <w:rPr>
          <w:lang w:eastAsia="ru-RU" w:bidi="ru-RU"/>
        </w:rPr>
      </w:pPr>
      <w:r w:rsidRPr="009E6200">
        <w:rPr>
          <w:lang w:eastAsia="ru-RU" w:bidi="ru-RU"/>
        </w:rPr>
        <w:t>Коррекции дозы у пациентов в возрасте старше 65 лет не требуется.</w:t>
      </w:r>
    </w:p>
    <w:p w14:paraId="67DA2CF1" w14:textId="77777777" w:rsidR="00577BCF" w:rsidRDefault="00577BCF" w:rsidP="007B46F5">
      <w:pPr>
        <w:pStyle w:val="SDText"/>
        <w:jc w:val="both"/>
        <w:rPr>
          <w:i/>
          <w:iCs/>
          <w:lang w:eastAsia="ru-RU" w:bidi="ru-RU"/>
        </w:rPr>
      </w:pPr>
    </w:p>
    <w:p w14:paraId="037B579F" w14:textId="49A20658" w:rsidR="00F17083" w:rsidRPr="009E6200" w:rsidRDefault="00F17083" w:rsidP="007B46F5">
      <w:pPr>
        <w:pStyle w:val="SDText"/>
        <w:jc w:val="both"/>
        <w:rPr>
          <w:lang w:eastAsia="ru-RU" w:bidi="ru-RU"/>
        </w:rPr>
      </w:pPr>
      <w:r w:rsidRPr="009E6200">
        <w:rPr>
          <w:i/>
          <w:iCs/>
          <w:lang w:eastAsia="ru-RU" w:bidi="ru-RU"/>
        </w:rPr>
        <w:t>Пациенты с почечной недостаточностью</w:t>
      </w:r>
    </w:p>
    <w:p w14:paraId="2DDD1CC5" w14:textId="4A3B0902" w:rsidR="00F17083" w:rsidRPr="009E6200" w:rsidRDefault="00F17083" w:rsidP="007B46F5">
      <w:pPr>
        <w:pStyle w:val="SDText"/>
        <w:ind w:firstLine="709"/>
        <w:jc w:val="both"/>
        <w:rPr>
          <w:lang w:eastAsia="ru-RU" w:bidi="ru-RU"/>
        </w:rPr>
      </w:pPr>
      <w:r w:rsidRPr="009E6200">
        <w:rPr>
          <w:lang w:eastAsia="ru-RU" w:bidi="ru-RU"/>
        </w:rPr>
        <w:t>Безопасность и эффективность бевацизумаба у пациентов с почечной недостаточностью не изучалась.</w:t>
      </w:r>
    </w:p>
    <w:p w14:paraId="6259A5FF" w14:textId="77777777" w:rsidR="00577BCF" w:rsidRDefault="00577BCF" w:rsidP="007B46F5">
      <w:pPr>
        <w:pStyle w:val="SDText"/>
        <w:jc w:val="both"/>
        <w:rPr>
          <w:i/>
          <w:iCs/>
          <w:lang w:eastAsia="ru-RU" w:bidi="ru-RU"/>
        </w:rPr>
      </w:pPr>
    </w:p>
    <w:p w14:paraId="16A57947" w14:textId="2EB7F5B3" w:rsidR="00F17083" w:rsidRPr="009E6200" w:rsidRDefault="00F17083" w:rsidP="007B46F5">
      <w:pPr>
        <w:pStyle w:val="SDText"/>
        <w:jc w:val="both"/>
        <w:rPr>
          <w:lang w:eastAsia="ru-RU" w:bidi="ru-RU"/>
        </w:rPr>
      </w:pPr>
      <w:r w:rsidRPr="009E6200">
        <w:rPr>
          <w:i/>
          <w:iCs/>
          <w:lang w:eastAsia="ru-RU" w:bidi="ru-RU"/>
        </w:rPr>
        <w:t>Пациенты с печеночной недостаточностью</w:t>
      </w:r>
    </w:p>
    <w:p w14:paraId="5ECA537E" w14:textId="4B58488D" w:rsidR="00CD5A81" w:rsidRPr="009E6200" w:rsidRDefault="00F17083" w:rsidP="007B46F5">
      <w:pPr>
        <w:pStyle w:val="SDText"/>
        <w:ind w:firstLine="709"/>
        <w:jc w:val="both"/>
      </w:pPr>
      <w:r w:rsidRPr="009E6200">
        <w:rPr>
          <w:lang w:eastAsia="ru-RU" w:bidi="ru-RU"/>
        </w:rPr>
        <w:t>Безопасность и эффективность бевацизумаба у пациентов с печеночной недостаточностью не изучалась.</w:t>
      </w:r>
      <w:r w:rsidR="00E4588A" w:rsidRPr="009E6200" w:rsidDel="00F17083">
        <w:t xml:space="preserve"> </w:t>
      </w:r>
    </w:p>
    <w:p w14:paraId="712B5F5B" w14:textId="77777777" w:rsidR="00577BCF" w:rsidRDefault="00577BCF" w:rsidP="007B46F5">
      <w:pPr>
        <w:pStyle w:val="SDText"/>
        <w:jc w:val="both"/>
        <w:rPr>
          <w:b/>
          <w:i/>
        </w:rPr>
      </w:pPr>
    </w:p>
    <w:p w14:paraId="12F1EE9B" w14:textId="53E0C67C" w:rsidR="00CD5A81" w:rsidRPr="009E6200" w:rsidRDefault="00CD5A81" w:rsidP="007B46F5">
      <w:pPr>
        <w:pStyle w:val="SDText"/>
        <w:jc w:val="both"/>
        <w:rPr>
          <w:b/>
          <w:i/>
        </w:rPr>
      </w:pPr>
      <w:r w:rsidRPr="009E6200">
        <w:rPr>
          <w:b/>
          <w:i/>
        </w:rPr>
        <w:t>Режим дозирования у особых групп пациентов</w:t>
      </w:r>
    </w:p>
    <w:p w14:paraId="5B46CD01" w14:textId="77777777" w:rsidR="00577BCF" w:rsidRDefault="00577BCF" w:rsidP="007B46F5">
      <w:pPr>
        <w:pStyle w:val="SDText"/>
        <w:jc w:val="both"/>
        <w:rPr>
          <w:u w:val="single"/>
        </w:rPr>
      </w:pPr>
    </w:p>
    <w:p w14:paraId="665B5E03" w14:textId="34D49AE3" w:rsidR="00CD5A81" w:rsidRPr="007B46F5" w:rsidRDefault="00425A6C" w:rsidP="007B46F5">
      <w:pPr>
        <w:pStyle w:val="SDText"/>
        <w:jc w:val="both"/>
        <w:rPr>
          <w:i/>
        </w:rPr>
      </w:pPr>
      <w:r w:rsidRPr="007B46F5">
        <w:rPr>
          <w:i/>
        </w:rPr>
        <w:t>Дети и подростки</w:t>
      </w:r>
    </w:p>
    <w:p w14:paraId="5A3291A6" w14:textId="71C40B9C" w:rsidR="00CD5A81" w:rsidRPr="009E6200" w:rsidRDefault="00CD5A81" w:rsidP="007B46F5">
      <w:pPr>
        <w:pStyle w:val="SDText"/>
        <w:ind w:firstLine="709"/>
        <w:jc w:val="both"/>
      </w:pPr>
      <w:r w:rsidRPr="009E6200">
        <w:t>Безопасность и эффект</w:t>
      </w:r>
      <w:r w:rsidR="00425A6C" w:rsidRPr="009E6200">
        <w:t>ивность применения не известна.</w:t>
      </w:r>
    </w:p>
    <w:p w14:paraId="6ABF5C4C" w14:textId="77777777" w:rsidR="00577BCF" w:rsidRDefault="00577BCF" w:rsidP="007B46F5">
      <w:pPr>
        <w:pStyle w:val="SDText"/>
        <w:jc w:val="both"/>
        <w:rPr>
          <w:u w:val="single"/>
        </w:rPr>
      </w:pPr>
    </w:p>
    <w:p w14:paraId="610A711C" w14:textId="237F6E83" w:rsidR="00CD5A81" w:rsidRPr="007B46F5" w:rsidRDefault="00CD5A81" w:rsidP="007B46F5">
      <w:pPr>
        <w:pStyle w:val="SDText"/>
        <w:jc w:val="both"/>
        <w:rPr>
          <w:i/>
        </w:rPr>
      </w:pPr>
      <w:r w:rsidRPr="007B46F5">
        <w:rPr>
          <w:i/>
        </w:rPr>
        <w:t>Пациенты по</w:t>
      </w:r>
      <w:r w:rsidR="00425A6C" w:rsidRPr="007B46F5">
        <w:rPr>
          <w:i/>
        </w:rPr>
        <w:t>жилого возраста (старше 65 лет)</w:t>
      </w:r>
    </w:p>
    <w:p w14:paraId="68A216E9" w14:textId="0D8099CD" w:rsidR="00CD5A81" w:rsidRPr="009E6200" w:rsidRDefault="00CD5A81" w:rsidP="007B46F5">
      <w:pPr>
        <w:pStyle w:val="SDText"/>
        <w:ind w:firstLine="709"/>
        <w:jc w:val="both"/>
      </w:pPr>
      <w:r w:rsidRPr="009E6200">
        <w:t>Коррекции дозы у пациентов в возра</w:t>
      </w:r>
      <w:r w:rsidR="00425A6C" w:rsidRPr="009E6200">
        <w:t>сте старше 65 лет не требуется.</w:t>
      </w:r>
    </w:p>
    <w:p w14:paraId="5055607E" w14:textId="77777777" w:rsidR="00577BCF" w:rsidRDefault="00577BCF" w:rsidP="007B46F5">
      <w:pPr>
        <w:pStyle w:val="SDText"/>
        <w:jc w:val="both"/>
        <w:rPr>
          <w:u w:val="single"/>
        </w:rPr>
      </w:pPr>
    </w:p>
    <w:p w14:paraId="2D55DD62" w14:textId="6884F91B" w:rsidR="00CD5A81" w:rsidRPr="007B46F5" w:rsidRDefault="00CD5A81" w:rsidP="007B46F5">
      <w:pPr>
        <w:pStyle w:val="SDText"/>
        <w:jc w:val="both"/>
        <w:rPr>
          <w:i/>
        </w:rPr>
      </w:pPr>
      <w:r w:rsidRPr="007B46F5">
        <w:rPr>
          <w:i/>
        </w:rPr>
        <w:t>Пацие</w:t>
      </w:r>
      <w:r w:rsidR="00425A6C" w:rsidRPr="007B46F5">
        <w:rPr>
          <w:i/>
        </w:rPr>
        <w:t>нты с почечной недостаточностью</w:t>
      </w:r>
    </w:p>
    <w:p w14:paraId="521AD24A" w14:textId="66517879" w:rsidR="00CD5A81" w:rsidRPr="009E6200" w:rsidRDefault="00CD5A81" w:rsidP="007B46F5">
      <w:pPr>
        <w:pStyle w:val="SDText"/>
        <w:ind w:firstLine="709"/>
        <w:jc w:val="both"/>
      </w:pPr>
      <w:r w:rsidRPr="009E6200">
        <w:t>Безопасность</w:t>
      </w:r>
      <w:r w:rsidR="00661EE7" w:rsidRPr="009E6200">
        <w:t xml:space="preserve"> </w:t>
      </w:r>
      <w:r w:rsidRPr="009E6200">
        <w:t>и</w:t>
      </w:r>
      <w:r w:rsidR="00661EE7" w:rsidRPr="009E6200">
        <w:t xml:space="preserve"> </w:t>
      </w:r>
      <w:r w:rsidRPr="009E6200">
        <w:t>эффективность</w:t>
      </w:r>
      <w:r w:rsidR="00661EE7" w:rsidRPr="009E6200">
        <w:t xml:space="preserve"> </w:t>
      </w:r>
      <w:r w:rsidRPr="009E6200">
        <w:t>применения</w:t>
      </w:r>
      <w:r w:rsidR="00661EE7" w:rsidRPr="009E6200">
        <w:t xml:space="preserve"> </w:t>
      </w:r>
      <w:r w:rsidRPr="009E6200">
        <w:t>у</w:t>
      </w:r>
      <w:r w:rsidR="00661EE7" w:rsidRPr="009E6200">
        <w:t xml:space="preserve"> </w:t>
      </w:r>
      <w:r w:rsidRPr="009E6200">
        <w:t>пациентов</w:t>
      </w:r>
      <w:r w:rsidR="00661EE7" w:rsidRPr="009E6200">
        <w:t xml:space="preserve"> </w:t>
      </w:r>
      <w:r w:rsidRPr="009E6200">
        <w:t>с</w:t>
      </w:r>
      <w:r w:rsidR="00661EE7" w:rsidRPr="009E6200">
        <w:t xml:space="preserve"> </w:t>
      </w:r>
      <w:r w:rsidRPr="009E6200">
        <w:t>почечно</w:t>
      </w:r>
      <w:r w:rsidR="00425A6C" w:rsidRPr="009E6200">
        <w:t>й недостаточностью не известна.</w:t>
      </w:r>
    </w:p>
    <w:p w14:paraId="2096DF26" w14:textId="77777777" w:rsidR="00577BCF" w:rsidRDefault="00577BCF" w:rsidP="007B46F5">
      <w:pPr>
        <w:pStyle w:val="SDText"/>
        <w:jc w:val="both"/>
        <w:rPr>
          <w:u w:val="single"/>
        </w:rPr>
      </w:pPr>
    </w:p>
    <w:p w14:paraId="6A024AFB" w14:textId="384DED56" w:rsidR="00CD5A81" w:rsidRPr="007B46F5" w:rsidRDefault="00CD5A81" w:rsidP="007B46F5">
      <w:pPr>
        <w:pStyle w:val="SDText"/>
        <w:jc w:val="both"/>
        <w:rPr>
          <w:i/>
        </w:rPr>
      </w:pPr>
      <w:r w:rsidRPr="007B46F5">
        <w:rPr>
          <w:i/>
        </w:rPr>
        <w:t>Пациент</w:t>
      </w:r>
      <w:r w:rsidR="00425A6C" w:rsidRPr="007B46F5">
        <w:rPr>
          <w:i/>
        </w:rPr>
        <w:t>ы с печеночной недостаточностью</w:t>
      </w:r>
    </w:p>
    <w:p w14:paraId="750360D0" w14:textId="388E136E" w:rsidR="00CD5A81" w:rsidRPr="009E6200" w:rsidRDefault="00CD5A81" w:rsidP="007B46F5">
      <w:pPr>
        <w:pStyle w:val="SDText"/>
        <w:ind w:firstLine="709"/>
        <w:jc w:val="both"/>
      </w:pPr>
      <w:r w:rsidRPr="009E6200">
        <w:t>Безопасность</w:t>
      </w:r>
      <w:r w:rsidR="00661EE7" w:rsidRPr="009E6200">
        <w:t xml:space="preserve"> </w:t>
      </w:r>
      <w:r w:rsidRPr="009E6200">
        <w:t>и</w:t>
      </w:r>
      <w:r w:rsidR="00661EE7" w:rsidRPr="009E6200">
        <w:t xml:space="preserve"> </w:t>
      </w:r>
      <w:r w:rsidRPr="009E6200">
        <w:t>эффективность</w:t>
      </w:r>
      <w:r w:rsidR="00661EE7" w:rsidRPr="009E6200">
        <w:t xml:space="preserve"> </w:t>
      </w:r>
      <w:r w:rsidRPr="009E6200">
        <w:t>применения</w:t>
      </w:r>
      <w:r w:rsidR="00661EE7" w:rsidRPr="009E6200">
        <w:t xml:space="preserve"> </w:t>
      </w:r>
      <w:r w:rsidRPr="009E6200">
        <w:t>у</w:t>
      </w:r>
      <w:r w:rsidR="00661EE7" w:rsidRPr="009E6200">
        <w:t xml:space="preserve"> </w:t>
      </w:r>
      <w:r w:rsidRPr="009E6200">
        <w:t>пациентов</w:t>
      </w:r>
      <w:r w:rsidR="00661EE7" w:rsidRPr="009E6200">
        <w:t xml:space="preserve"> </w:t>
      </w:r>
      <w:r w:rsidRPr="009E6200">
        <w:t>с</w:t>
      </w:r>
      <w:r w:rsidR="00661EE7" w:rsidRPr="009E6200">
        <w:t xml:space="preserve"> </w:t>
      </w:r>
      <w:r w:rsidRPr="009E6200">
        <w:t>печеночной недостаточностью не известна.</w:t>
      </w:r>
    </w:p>
    <w:p w14:paraId="464E3F3F" w14:textId="77777777" w:rsidR="00577BCF" w:rsidRDefault="00577BCF" w:rsidP="007B46F5">
      <w:pPr>
        <w:pStyle w:val="SDText"/>
        <w:jc w:val="both"/>
        <w:rPr>
          <w:b/>
        </w:rPr>
      </w:pPr>
    </w:p>
    <w:p w14:paraId="1DA5FF67" w14:textId="6D789738" w:rsidR="00CD5A81" w:rsidRPr="009E6200" w:rsidRDefault="00CD5A81" w:rsidP="007B46F5">
      <w:pPr>
        <w:pStyle w:val="SDText"/>
        <w:jc w:val="both"/>
        <w:rPr>
          <w:b/>
        </w:rPr>
      </w:pPr>
      <w:r w:rsidRPr="009E6200">
        <w:rPr>
          <w:b/>
        </w:rPr>
        <w:t>Подготовка к введению препарата</w:t>
      </w:r>
    </w:p>
    <w:p w14:paraId="5A476A30" w14:textId="77777777" w:rsidR="00577BCF" w:rsidRDefault="00577BCF" w:rsidP="007B46F5">
      <w:pPr>
        <w:pStyle w:val="SDText"/>
        <w:jc w:val="both"/>
      </w:pPr>
    </w:p>
    <w:p w14:paraId="0443E55E" w14:textId="70C1EA53" w:rsidR="00CD5A81" w:rsidRPr="009E6200" w:rsidRDefault="00CD5A81" w:rsidP="007B46F5">
      <w:pPr>
        <w:pStyle w:val="SDText"/>
        <w:ind w:firstLine="709"/>
        <w:jc w:val="both"/>
      </w:pPr>
      <w:r w:rsidRPr="009E6200">
        <w:t>Перед</w:t>
      </w:r>
      <w:r w:rsidR="00661EE7" w:rsidRPr="009E6200">
        <w:t xml:space="preserve"> </w:t>
      </w:r>
      <w:r w:rsidRPr="009E6200">
        <w:t>применением</w:t>
      </w:r>
      <w:r w:rsidR="00661EE7" w:rsidRPr="009E6200">
        <w:t xml:space="preserve"> </w:t>
      </w:r>
      <w:r w:rsidRPr="009E6200">
        <w:t>раствор</w:t>
      </w:r>
      <w:r w:rsidR="00661EE7" w:rsidRPr="009E6200">
        <w:t xml:space="preserve"> </w:t>
      </w:r>
      <w:r w:rsidRPr="009E6200">
        <w:t>необходимо</w:t>
      </w:r>
      <w:r w:rsidR="00661EE7" w:rsidRPr="009E6200">
        <w:t xml:space="preserve"> </w:t>
      </w:r>
      <w:r w:rsidRPr="009E6200">
        <w:t>осмотреть</w:t>
      </w:r>
      <w:r w:rsidR="00661EE7" w:rsidRPr="009E6200">
        <w:t xml:space="preserve"> </w:t>
      </w:r>
      <w:r w:rsidRPr="009E6200">
        <w:t>на</w:t>
      </w:r>
      <w:r w:rsidR="00661EE7" w:rsidRPr="009E6200">
        <w:t xml:space="preserve"> </w:t>
      </w:r>
      <w:r w:rsidRPr="009E6200">
        <w:t>предмет</w:t>
      </w:r>
      <w:r w:rsidR="00661EE7" w:rsidRPr="009E6200">
        <w:t xml:space="preserve"> </w:t>
      </w:r>
      <w:r w:rsidRPr="009E6200">
        <w:t>механических включений и изменения цвета.</w:t>
      </w:r>
    </w:p>
    <w:p w14:paraId="3BC2FD8C" w14:textId="4C70B89D" w:rsidR="00CD5A81" w:rsidRPr="009E6200" w:rsidRDefault="009B065A" w:rsidP="007B46F5">
      <w:pPr>
        <w:pStyle w:val="SDText"/>
        <w:ind w:firstLine="709"/>
        <w:jc w:val="both"/>
      </w:pPr>
      <w:r w:rsidRPr="00713EB7">
        <w:t>Необходимое количество препарата RPH-001 разводят до требуемого объема 0,9% раствором натрия хлорида с соблюдением правил асептики. Концентрация бевацизумаба в приготовленном растворе должна находиться в пределах 1,4–16,5 мг/мл.</w:t>
      </w:r>
      <w:r w:rsidR="00661EE7" w:rsidRPr="009E6200">
        <w:t xml:space="preserve"> </w:t>
      </w:r>
      <w:r w:rsidR="00CD5A81" w:rsidRPr="009E6200">
        <w:t>RPH-001</w:t>
      </w:r>
      <w:r w:rsidR="00661EE7" w:rsidRPr="009E6200">
        <w:t xml:space="preserve"> </w:t>
      </w:r>
      <w:r w:rsidR="00CD5A81" w:rsidRPr="009E6200">
        <w:t>не</w:t>
      </w:r>
      <w:r w:rsidR="00661EE7" w:rsidRPr="009E6200">
        <w:t xml:space="preserve"> </w:t>
      </w:r>
      <w:r w:rsidR="00CD5A81" w:rsidRPr="009E6200">
        <w:t>содержит</w:t>
      </w:r>
      <w:r w:rsidR="00661EE7" w:rsidRPr="009E6200">
        <w:t xml:space="preserve"> </w:t>
      </w:r>
      <w:r w:rsidR="00CD5A81" w:rsidRPr="009E6200">
        <w:t>противомикробного</w:t>
      </w:r>
      <w:r w:rsidR="00661EE7" w:rsidRPr="009E6200">
        <w:t xml:space="preserve"> </w:t>
      </w:r>
      <w:r w:rsidR="00CD5A81" w:rsidRPr="009E6200">
        <w:t>консерванта,</w:t>
      </w:r>
      <w:r w:rsidR="00661EE7" w:rsidRPr="009E6200">
        <w:t xml:space="preserve"> </w:t>
      </w:r>
      <w:r w:rsidR="00CD5A81" w:rsidRPr="009E6200">
        <w:t>поэтому необходимо обеспечивать стерильность приготовленного раствора и использовать его</w:t>
      </w:r>
      <w:r w:rsidR="00661EE7" w:rsidRPr="009E6200">
        <w:t xml:space="preserve"> </w:t>
      </w:r>
      <w:r w:rsidR="00CD5A81" w:rsidRPr="009E6200">
        <w:t>немедленно.</w:t>
      </w:r>
      <w:r w:rsidR="00661EE7" w:rsidRPr="009E6200">
        <w:t xml:space="preserve"> </w:t>
      </w:r>
      <w:r w:rsidR="00CD5A81" w:rsidRPr="009E6200">
        <w:t>Хранить</w:t>
      </w:r>
      <w:r w:rsidR="00661EE7" w:rsidRPr="009E6200">
        <w:t xml:space="preserve"> </w:t>
      </w:r>
      <w:r w:rsidR="00CD5A81" w:rsidRPr="009E6200">
        <w:t>приготовленный</w:t>
      </w:r>
      <w:r w:rsidR="00661EE7" w:rsidRPr="009E6200">
        <w:t xml:space="preserve"> </w:t>
      </w:r>
      <w:r w:rsidR="00CD5A81" w:rsidRPr="009E6200">
        <w:t>раствор</w:t>
      </w:r>
      <w:r w:rsidR="00661EE7" w:rsidRPr="009E6200">
        <w:t xml:space="preserve"> </w:t>
      </w:r>
      <w:r w:rsidR="00CD5A81" w:rsidRPr="009E6200">
        <w:t>можно</w:t>
      </w:r>
      <w:r w:rsidR="00661EE7" w:rsidRPr="009E6200">
        <w:t xml:space="preserve"> </w:t>
      </w:r>
      <w:r w:rsidR="00CD5A81" w:rsidRPr="009E6200">
        <w:t>не</w:t>
      </w:r>
      <w:r w:rsidR="00661EE7" w:rsidRPr="009E6200">
        <w:t xml:space="preserve"> </w:t>
      </w:r>
      <w:r w:rsidR="00CD5A81" w:rsidRPr="009E6200">
        <w:t>более</w:t>
      </w:r>
      <w:r w:rsidR="00661EE7" w:rsidRPr="009E6200">
        <w:t xml:space="preserve"> </w:t>
      </w:r>
      <w:r w:rsidR="00CD5A81" w:rsidRPr="009E6200">
        <w:t>8</w:t>
      </w:r>
      <w:r w:rsidR="00661EE7" w:rsidRPr="009E6200">
        <w:t xml:space="preserve"> </w:t>
      </w:r>
      <w:r w:rsidR="00CD5A81" w:rsidRPr="009E6200">
        <w:t>ч</w:t>
      </w:r>
      <w:r w:rsidR="00661EE7" w:rsidRPr="009E6200">
        <w:t xml:space="preserve"> </w:t>
      </w:r>
      <w:r w:rsidR="00CD5A81" w:rsidRPr="009E6200">
        <w:t>при температуре от +2°С до +8°С. Неиспользованный раствор, ост</w:t>
      </w:r>
      <w:r w:rsidR="00425A6C" w:rsidRPr="009E6200">
        <w:t>авшийся во флаконе, уничтожают.</w:t>
      </w:r>
    </w:p>
    <w:p w14:paraId="4285B8C1" w14:textId="77777777" w:rsidR="00CD5A81" w:rsidRPr="009E6200" w:rsidRDefault="00CD5A81" w:rsidP="007B46F5">
      <w:pPr>
        <w:pStyle w:val="SDText"/>
        <w:ind w:firstLine="709"/>
        <w:jc w:val="both"/>
      </w:pPr>
      <w:r w:rsidRPr="009E6200">
        <w:t>Нельзя вводить или смешивать препарат RPH-001 с растворами декстрозы!</w:t>
      </w:r>
    </w:p>
    <w:p w14:paraId="5740DDD2" w14:textId="77777777" w:rsidR="00577BCF" w:rsidRDefault="00577BCF" w:rsidP="007B46F5">
      <w:pPr>
        <w:pStyle w:val="SDText"/>
        <w:jc w:val="both"/>
        <w:rPr>
          <w:b/>
          <w:i/>
        </w:rPr>
      </w:pPr>
    </w:p>
    <w:p w14:paraId="1F0D963D" w14:textId="04BCBA39" w:rsidR="00CD5A81" w:rsidRPr="009E6200" w:rsidRDefault="00CD5A81" w:rsidP="007B46F5">
      <w:pPr>
        <w:pStyle w:val="SDText"/>
        <w:jc w:val="both"/>
        <w:rPr>
          <w:b/>
          <w:i/>
        </w:rPr>
      </w:pPr>
      <w:r w:rsidRPr="009E6200">
        <w:rPr>
          <w:b/>
          <w:i/>
        </w:rPr>
        <w:t>Корректировка дозы</w:t>
      </w:r>
      <w:r w:rsidR="00425A6C" w:rsidRPr="009E6200">
        <w:rPr>
          <w:b/>
          <w:i/>
        </w:rPr>
        <w:t xml:space="preserve"> и изменение режима дозирования</w:t>
      </w:r>
    </w:p>
    <w:p w14:paraId="0012D9B3" w14:textId="77777777" w:rsidR="00577BCF" w:rsidRDefault="00577BCF" w:rsidP="007B46F5">
      <w:pPr>
        <w:pStyle w:val="SDText"/>
        <w:jc w:val="both"/>
      </w:pPr>
    </w:p>
    <w:p w14:paraId="674958A2" w14:textId="374F80F4" w:rsidR="00CD5A81" w:rsidRPr="009E6200" w:rsidRDefault="00CD5A81" w:rsidP="007B46F5">
      <w:pPr>
        <w:pStyle w:val="SDText"/>
        <w:ind w:firstLine="709"/>
        <w:jc w:val="both"/>
      </w:pPr>
      <w:r w:rsidRPr="009E6200">
        <w:t>Рекомендации по сниже</w:t>
      </w:r>
      <w:r w:rsidR="00425A6C" w:rsidRPr="009E6200">
        <w:t>нию дозы препарата отсутствуют.</w:t>
      </w:r>
    </w:p>
    <w:p w14:paraId="613FAC7B" w14:textId="73F1F1D1" w:rsidR="00CD5A81" w:rsidRPr="009E6200" w:rsidRDefault="00784785" w:rsidP="007B46F5">
      <w:pPr>
        <w:pStyle w:val="SDText"/>
        <w:ind w:firstLine="709"/>
        <w:jc w:val="both"/>
      </w:pPr>
      <w:r w:rsidRPr="00071A6B">
        <w:rPr>
          <w:rFonts w:cs="Times New Roman"/>
          <w:szCs w:val="24"/>
        </w:rPr>
        <w:t>Доза препарата RPH-001 или Авастин для пациента назначается из расчета 15 мг/кг (при изменении веса пациента на 10% доза препарта RPH-001 или Авастин должна быть рассчитана заново, при изменении весса пациента менее чем на 10% отсутствие перерасчета дозы препарата не будет считаться отклонением от протокола).</w:t>
      </w:r>
      <w:r w:rsidR="00CD5A81" w:rsidRPr="009E6200">
        <w:t>Препарат отменяют в случаях разви</w:t>
      </w:r>
      <w:r w:rsidR="00425A6C" w:rsidRPr="009E6200">
        <w:t>тия:</w:t>
      </w:r>
    </w:p>
    <w:p w14:paraId="62C8C7E5" w14:textId="77777777" w:rsidR="00CD5A81" w:rsidRPr="009E6200" w:rsidRDefault="00CD5A81" w:rsidP="007B46F5">
      <w:pPr>
        <w:pStyle w:val="SDText"/>
        <w:numPr>
          <w:ilvl w:val="0"/>
          <w:numId w:val="13"/>
        </w:numPr>
        <w:jc w:val="both"/>
      </w:pPr>
      <w:r w:rsidRPr="009E6200">
        <w:t xml:space="preserve">Перфораций </w:t>
      </w:r>
      <w:r w:rsidR="00425A6C" w:rsidRPr="009E6200">
        <w:t>ЖКТ;</w:t>
      </w:r>
    </w:p>
    <w:p w14:paraId="4BA97488" w14:textId="77777777" w:rsidR="00CD5A81" w:rsidRPr="009E6200" w:rsidRDefault="00CD5A81" w:rsidP="007B46F5">
      <w:pPr>
        <w:pStyle w:val="SDText"/>
        <w:numPr>
          <w:ilvl w:val="0"/>
          <w:numId w:val="13"/>
        </w:numPr>
        <w:jc w:val="both"/>
      </w:pPr>
      <w:r w:rsidRPr="009E6200">
        <w:t>Свищей внутренних органов</w:t>
      </w:r>
      <w:r w:rsidR="00425A6C" w:rsidRPr="009E6200">
        <w:t>;</w:t>
      </w:r>
    </w:p>
    <w:p w14:paraId="3EE8652A" w14:textId="77777777" w:rsidR="00CD5A81" w:rsidRPr="009E6200" w:rsidRDefault="00CD5A81" w:rsidP="007B46F5">
      <w:pPr>
        <w:pStyle w:val="SDText"/>
        <w:numPr>
          <w:ilvl w:val="0"/>
          <w:numId w:val="13"/>
        </w:numPr>
        <w:jc w:val="both"/>
      </w:pPr>
      <w:r w:rsidRPr="009E6200">
        <w:t>Расхождения</w:t>
      </w:r>
      <w:r w:rsidR="00661EE7" w:rsidRPr="009E6200">
        <w:t xml:space="preserve"> </w:t>
      </w:r>
      <w:r w:rsidRPr="009E6200">
        <w:t>краев</w:t>
      </w:r>
      <w:r w:rsidR="00661EE7" w:rsidRPr="009E6200">
        <w:t xml:space="preserve"> </w:t>
      </w:r>
      <w:r w:rsidRPr="009E6200">
        <w:t>операционной</w:t>
      </w:r>
      <w:r w:rsidR="00661EE7" w:rsidRPr="009E6200">
        <w:t xml:space="preserve"> </w:t>
      </w:r>
      <w:r w:rsidRPr="009E6200">
        <w:t>раны</w:t>
      </w:r>
      <w:r w:rsidR="00661EE7" w:rsidRPr="009E6200">
        <w:t xml:space="preserve"> </w:t>
      </w:r>
      <w:r w:rsidRPr="009E6200">
        <w:t>и</w:t>
      </w:r>
      <w:r w:rsidR="00661EE7" w:rsidRPr="009E6200">
        <w:t xml:space="preserve"> </w:t>
      </w:r>
      <w:r w:rsidRPr="009E6200">
        <w:t>осложнения</w:t>
      </w:r>
      <w:r w:rsidR="00661EE7" w:rsidRPr="009E6200">
        <w:t xml:space="preserve"> </w:t>
      </w:r>
      <w:r w:rsidRPr="009E6200">
        <w:t>заживления</w:t>
      </w:r>
      <w:r w:rsidR="00661EE7" w:rsidRPr="009E6200">
        <w:t xml:space="preserve"> </w:t>
      </w:r>
      <w:r w:rsidRPr="009E6200">
        <w:t>ран, требующих медицинского вмешательства</w:t>
      </w:r>
      <w:r w:rsidR="00425A6C" w:rsidRPr="009E6200">
        <w:t>;</w:t>
      </w:r>
    </w:p>
    <w:p w14:paraId="747DDB57" w14:textId="77777777" w:rsidR="00CD5A81" w:rsidRPr="009E6200" w:rsidRDefault="00CD5A81" w:rsidP="007B46F5">
      <w:pPr>
        <w:pStyle w:val="SDText"/>
        <w:numPr>
          <w:ilvl w:val="0"/>
          <w:numId w:val="13"/>
        </w:numPr>
        <w:jc w:val="both"/>
      </w:pPr>
      <w:r w:rsidRPr="009E6200">
        <w:t>Серьезных кровотечений, требующий медицинского вмешательства</w:t>
      </w:r>
      <w:r w:rsidR="00425A6C" w:rsidRPr="009E6200">
        <w:t>;</w:t>
      </w:r>
    </w:p>
    <w:p w14:paraId="1B5485B4" w14:textId="77777777" w:rsidR="00CD5A81" w:rsidRPr="009E6200" w:rsidRDefault="00CD5A81" w:rsidP="007B46F5">
      <w:pPr>
        <w:pStyle w:val="SDText"/>
        <w:numPr>
          <w:ilvl w:val="0"/>
          <w:numId w:val="13"/>
        </w:numPr>
        <w:jc w:val="both"/>
      </w:pPr>
      <w:r w:rsidRPr="009E6200">
        <w:t>Тяжелых артериальных тромбоэмболий</w:t>
      </w:r>
      <w:r w:rsidR="00425A6C" w:rsidRPr="009E6200">
        <w:t>;</w:t>
      </w:r>
    </w:p>
    <w:p w14:paraId="149A0FDA" w14:textId="77777777" w:rsidR="00CD5A81" w:rsidRPr="009E6200" w:rsidRDefault="00CD5A81" w:rsidP="007B46F5">
      <w:pPr>
        <w:pStyle w:val="SDText"/>
        <w:numPr>
          <w:ilvl w:val="0"/>
          <w:numId w:val="13"/>
        </w:numPr>
        <w:jc w:val="both"/>
      </w:pPr>
      <w:r w:rsidRPr="009E6200">
        <w:t>Венозных тромбоэмболий 4 степени тяжести</w:t>
      </w:r>
      <w:r w:rsidR="00425A6C" w:rsidRPr="009E6200">
        <w:t>;</w:t>
      </w:r>
    </w:p>
    <w:p w14:paraId="755EE047" w14:textId="77777777" w:rsidR="00CD5A81" w:rsidRPr="009E6200" w:rsidRDefault="00CD5A81" w:rsidP="007B46F5">
      <w:pPr>
        <w:pStyle w:val="SDText"/>
        <w:numPr>
          <w:ilvl w:val="0"/>
          <w:numId w:val="13"/>
        </w:numPr>
        <w:jc w:val="both"/>
      </w:pPr>
      <w:r w:rsidRPr="009E6200">
        <w:t>Гипертонического криза или гипертензивной энцефалопатии</w:t>
      </w:r>
      <w:r w:rsidR="00425A6C" w:rsidRPr="009E6200">
        <w:t>;</w:t>
      </w:r>
    </w:p>
    <w:p w14:paraId="53CF0BF0" w14:textId="77777777" w:rsidR="00CD5A81" w:rsidRPr="009E6200" w:rsidRDefault="00CD5A81" w:rsidP="007B46F5">
      <w:pPr>
        <w:pStyle w:val="SDText"/>
        <w:numPr>
          <w:ilvl w:val="0"/>
          <w:numId w:val="13"/>
        </w:numPr>
        <w:jc w:val="both"/>
      </w:pPr>
      <w:r w:rsidRPr="009E6200">
        <w:t>Нефротического синдрома</w:t>
      </w:r>
      <w:r w:rsidR="00425A6C" w:rsidRPr="009E6200">
        <w:t>;</w:t>
      </w:r>
    </w:p>
    <w:p w14:paraId="4909D1AD" w14:textId="77777777" w:rsidR="00CD5A81" w:rsidRPr="009E6200" w:rsidRDefault="00075CD9" w:rsidP="007B46F5">
      <w:pPr>
        <w:pStyle w:val="SDText"/>
        <w:numPr>
          <w:ilvl w:val="0"/>
          <w:numId w:val="13"/>
        </w:numPr>
        <w:jc w:val="both"/>
      </w:pPr>
      <w:r w:rsidRPr="009E6200">
        <w:t>СЗОЭ</w:t>
      </w:r>
      <w:r w:rsidR="00425A6C" w:rsidRPr="009E6200">
        <w:t>;</w:t>
      </w:r>
    </w:p>
    <w:p w14:paraId="18BDAB5F" w14:textId="77777777" w:rsidR="00CD5A81" w:rsidRPr="009E6200" w:rsidRDefault="00CD5A81" w:rsidP="007B46F5">
      <w:pPr>
        <w:pStyle w:val="SDText"/>
        <w:numPr>
          <w:ilvl w:val="0"/>
          <w:numId w:val="13"/>
        </w:numPr>
        <w:jc w:val="both"/>
      </w:pPr>
      <w:r w:rsidRPr="009E6200">
        <w:t>Застойной сердечной недостаточности</w:t>
      </w:r>
      <w:r w:rsidR="00425A6C" w:rsidRPr="009E6200">
        <w:t>.</w:t>
      </w:r>
    </w:p>
    <w:p w14:paraId="3F6426F7" w14:textId="77777777" w:rsidR="00CD5A81" w:rsidRPr="009E6200" w:rsidRDefault="00CD5A81" w:rsidP="007B46F5">
      <w:pPr>
        <w:pStyle w:val="SDText"/>
        <w:jc w:val="both"/>
      </w:pPr>
      <w:r w:rsidRPr="009E6200">
        <w:t>Препарат временно прекращают ввод</w:t>
      </w:r>
      <w:r w:rsidR="00425A6C" w:rsidRPr="009E6200">
        <w:t>ить:</w:t>
      </w:r>
    </w:p>
    <w:p w14:paraId="0037A834" w14:textId="77777777" w:rsidR="00CD5A81" w:rsidRPr="009E6200" w:rsidRDefault="00CD5A81" w:rsidP="007B46F5">
      <w:pPr>
        <w:pStyle w:val="SDText"/>
        <w:numPr>
          <w:ilvl w:val="0"/>
          <w:numId w:val="14"/>
        </w:numPr>
        <w:jc w:val="both"/>
      </w:pPr>
      <w:r w:rsidRPr="009E6200">
        <w:t>За 4 недели до хирургических вмешательств</w:t>
      </w:r>
      <w:r w:rsidR="00425A6C" w:rsidRPr="009E6200">
        <w:t>;</w:t>
      </w:r>
    </w:p>
    <w:p w14:paraId="723C7787" w14:textId="77777777" w:rsidR="00CD5A81" w:rsidRPr="009E6200" w:rsidRDefault="00CD5A81" w:rsidP="007B46F5">
      <w:pPr>
        <w:pStyle w:val="SDText"/>
        <w:numPr>
          <w:ilvl w:val="0"/>
          <w:numId w:val="14"/>
        </w:numPr>
        <w:jc w:val="both"/>
      </w:pPr>
      <w:r w:rsidRPr="009E6200">
        <w:t>В</w:t>
      </w:r>
      <w:r w:rsidR="00661EE7" w:rsidRPr="009E6200">
        <w:t xml:space="preserve"> </w:t>
      </w:r>
      <w:r w:rsidRPr="009E6200">
        <w:t>случаях</w:t>
      </w:r>
      <w:r w:rsidR="00661EE7" w:rsidRPr="009E6200">
        <w:t xml:space="preserve"> </w:t>
      </w:r>
      <w:r w:rsidRPr="009E6200">
        <w:t>развития</w:t>
      </w:r>
      <w:r w:rsidR="00661EE7" w:rsidRPr="009E6200">
        <w:t xml:space="preserve"> </w:t>
      </w:r>
      <w:r w:rsidRPr="009E6200">
        <w:t>тяжелой</w:t>
      </w:r>
      <w:r w:rsidR="00661EE7" w:rsidRPr="009E6200">
        <w:t xml:space="preserve"> </w:t>
      </w:r>
      <w:r w:rsidRPr="009E6200">
        <w:t>артериальной</w:t>
      </w:r>
      <w:r w:rsidR="00661EE7" w:rsidRPr="009E6200">
        <w:t xml:space="preserve"> </w:t>
      </w:r>
      <w:r w:rsidRPr="009E6200">
        <w:t>гипертонии,</w:t>
      </w:r>
      <w:r w:rsidR="00661EE7" w:rsidRPr="009E6200">
        <w:t xml:space="preserve"> </w:t>
      </w:r>
      <w:r w:rsidRPr="009E6200">
        <w:t>не</w:t>
      </w:r>
      <w:r w:rsidR="00661EE7" w:rsidRPr="009E6200">
        <w:t xml:space="preserve"> </w:t>
      </w:r>
      <w:r w:rsidRPr="009E6200">
        <w:t>поддающейся медикаментозному лечению</w:t>
      </w:r>
      <w:r w:rsidR="00425A6C" w:rsidRPr="009E6200">
        <w:t>;</w:t>
      </w:r>
    </w:p>
    <w:p w14:paraId="14C26F6E" w14:textId="77777777" w:rsidR="00CD5A81" w:rsidRPr="009E6200" w:rsidRDefault="00CD5A81" w:rsidP="007B46F5">
      <w:pPr>
        <w:pStyle w:val="SDText"/>
        <w:numPr>
          <w:ilvl w:val="0"/>
          <w:numId w:val="14"/>
        </w:numPr>
        <w:jc w:val="both"/>
      </w:pPr>
      <w:r w:rsidRPr="009E6200">
        <w:t>В случаях развития протеинурии средней и тяжелой степени</w:t>
      </w:r>
      <w:r w:rsidR="00425A6C" w:rsidRPr="009E6200">
        <w:t>;</w:t>
      </w:r>
    </w:p>
    <w:p w14:paraId="02399AB8" w14:textId="77777777" w:rsidR="00CD5A81" w:rsidRPr="009E6200" w:rsidRDefault="00CD5A81" w:rsidP="007B46F5">
      <w:pPr>
        <w:pStyle w:val="SDText"/>
        <w:numPr>
          <w:ilvl w:val="0"/>
          <w:numId w:val="14"/>
        </w:numPr>
        <w:jc w:val="both"/>
      </w:pPr>
      <w:r w:rsidRPr="009E6200">
        <w:t>В случаях развития тяжелых инфузионных реакций</w:t>
      </w:r>
      <w:r w:rsidR="00425A6C" w:rsidRPr="009E6200">
        <w:t>.</w:t>
      </w:r>
    </w:p>
    <w:p w14:paraId="7DFBA622" w14:textId="77777777" w:rsidR="00577BCF" w:rsidRDefault="00577BCF" w:rsidP="007B46F5">
      <w:pPr>
        <w:pStyle w:val="SDText"/>
        <w:jc w:val="both"/>
        <w:rPr>
          <w:b/>
        </w:rPr>
      </w:pPr>
    </w:p>
    <w:p w14:paraId="76F12A74" w14:textId="4F4AA729" w:rsidR="00CD5A81" w:rsidRPr="009E6200" w:rsidRDefault="00CD5A81" w:rsidP="007B46F5">
      <w:pPr>
        <w:pStyle w:val="SDText"/>
        <w:jc w:val="both"/>
        <w:rPr>
          <w:b/>
        </w:rPr>
      </w:pPr>
      <w:r w:rsidRPr="009E6200">
        <w:rPr>
          <w:b/>
        </w:rPr>
        <w:t xml:space="preserve">Особые указания </w:t>
      </w:r>
    </w:p>
    <w:p w14:paraId="614073C4" w14:textId="77777777" w:rsidR="00577BCF" w:rsidRDefault="00577BCF" w:rsidP="007B46F5">
      <w:pPr>
        <w:pStyle w:val="SDText"/>
        <w:ind w:firstLine="709"/>
        <w:jc w:val="both"/>
      </w:pPr>
    </w:p>
    <w:p w14:paraId="1CF6AB64" w14:textId="584EC74B" w:rsidR="00CD5A81" w:rsidRPr="009E6200" w:rsidRDefault="00CD5A81" w:rsidP="007B46F5">
      <w:pPr>
        <w:pStyle w:val="SDText"/>
        <w:ind w:firstLine="709"/>
        <w:jc w:val="both"/>
      </w:pPr>
      <w:r w:rsidRPr="009E6200">
        <w:t>Лечение</w:t>
      </w:r>
      <w:r w:rsidR="00661EE7" w:rsidRPr="009E6200">
        <w:t xml:space="preserve"> </w:t>
      </w:r>
      <w:r w:rsidRPr="009E6200">
        <w:t>препаратом</w:t>
      </w:r>
      <w:r w:rsidR="00661EE7" w:rsidRPr="009E6200">
        <w:t xml:space="preserve"> </w:t>
      </w:r>
      <w:r w:rsidRPr="009E6200">
        <w:t>RPH-001</w:t>
      </w:r>
      <w:r w:rsidR="00661EE7" w:rsidRPr="009E6200">
        <w:t xml:space="preserve"> </w:t>
      </w:r>
      <w:r w:rsidRPr="009E6200">
        <w:t>можно</w:t>
      </w:r>
      <w:r w:rsidR="00661EE7" w:rsidRPr="009E6200">
        <w:t xml:space="preserve"> </w:t>
      </w:r>
      <w:r w:rsidRPr="009E6200">
        <w:t>проводить</w:t>
      </w:r>
      <w:r w:rsidR="00661EE7" w:rsidRPr="009E6200">
        <w:t xml:space="preserve"> </w:t>
      </w:r>
      <w:r w:rsidRPr="009E6200">
        <w:t>только</w:t>
      </w:r>
      <w:r w:rsidR="00661EE7" w:rsidRPr="009E6200">
        <w:t xml:space="preserve"> </w:t>
      </w:r>
      <w:r w:rsidRPr="009E6200">
        <w:t>под</w:t>
      </w:r>
      <w:r w:rsidR="00661EE7" w:rsidRPr="009E6200">
        <w:t xml:space="preserve"> </w:t>
      </w:r>
      <w:r w:rsidRPr="009E6200">
        <w:t>наблюдением</w:t>
      </w:r>
      <w:r w:rsidR="00661EE7" w:rsidRPr="009E6200">
        <w:t xml:space="preserve"> </w:t>
      </w:r>
      <w:r w:rsidRPr="009E6200">
        <w:t xml:space="preserve">врача, имеющего опыт применения противоопухолевой терапии. С особой осторожностью препарат RPH-001 применяют у пациентов с перфорациями </w:t>
      </w:r>
      <w:r w:rsidR="00425A6C" w:rsidRPr="009E6200">
        <w:t>ЖКТ</w:t>
      </w:r>
      <w:r w:rsidR="00661EE7" w:rsidRPr="009E6200">
        <w:t xml:space="preserve"> </w:t>
      </w:r>
      <w:r w:rsidRPr="009E6200">
        <w:t>и</w:t>
      </w:r>
      <w:r w:rsidR="00661EE7" w:rsidRPr="009E6200">
        <w:t xml:space="preserve"> </w:t>
      </w:r>
      <w:r w:rsidRPr="009E6200">
        <w:t>кровотечениями</w:t>
      </w:r>
      <w:r w:rsidR="00661EE7" w:rsidRPr="009E6200">
        <w:t xml:space="preserve"> </w:t>
      </w:r>
      <w:r w:rsidRPr="009E6200">
        <w:t>в</w:t>
      </w:r>
      <w:r w:rsidR="00661EE7" w:rsidRPr="009E6200">
        <w:t xml:space="preserve"> </w:t>
      </w:r>
      <w:r w:rsidRPr="009E6200">
        <w:t>анамнезе;</w:t>
      </w:r>
      <w:r w:rsidR="00661EE7" w:rsidRPr="009E6200">
        <w:t xml:space="preserve"> </w:t>
      </w:r>
      <w:r w:rsidRPr="009E6200">
        <w:t>при</w:t>
      </w:r>
      <w:r w:rsidR="00661EE7" w:rsidRPr="009E6200">
        <w:t xml:space="preserve"> </w:t>
      </w:r>
      <w:r w:rsidRPr="009E6200">
        <w:t>заживлении</w:t>
      </w:r>
      <w:r w:rsidR="00661EE7" w:rsidRPr="009E6200">
        <w:t xml:space="preserve"> </w:t>
      </w:r>
      <w:r w:rsidRPr="009E6200">
        <w:t>ран;</w:t>
      </w:r>
      <w:r w:rsidR="00661EE7" w:rsidRPr="009E6200">
        <w:t xml:space="preserve"> </w:t>
      </w:r>
      <w:r w:rsidRPr="009E6200">
        <w:t>при артериальной</w:t>
      </w:r>
      <w:r w:rsidR="00661EE7" w:rsidRPr="009E6200">
        <w:t xml:space="preserve"> </w:t>
      </w:r>
      <w:r w:rsidRPr="009E6200">
        <w:t>гипертензии;</w:t>
      </w:r>
      <w:r w:rsidR="00661EE7" w:rsidRPr="009E6200">
        <w:t xml:space="preserve"> </w:t>
      </w:r>
      <w:r w:rsidRPr="009E6200">
        <w:t>артериальной</w:t>
      </w:r>
      <w:r w:rsidR="00661EE7" w:rsidRPr="009E6200">
        <w:t xml:space="preserve"> </w:t>
      </w:r>
      <w:r w:rsidRPr="009E6200">
        <w:t>и</w:t>
      </w:r>
      <w:r w:rsidR="00661EE7" w:rsidRPr="009E6200">
        <w:t xml:space="preserve"> </w:t>
      </w:r>
      <w:r w:rsidRPr="009E6200">
        <w:t>венозной</w:t>
      </w:r>
      <w:r w:rsidR="00661EE7" w:rsidRPr="009E6200">
        <w:t xml:space="preserve"> </w:t>
      </w:r>
      <w:r w:rsidRPr="009E6200">
        <w:t>тромбоэмболии</w:t>
      </w:r>
      <w:r w:rsidR="00661EE7" w:rsidRPr="009E6200">
        <w:t xml:space="preserve"> </w:t>
      </w:r>
      <w:r w:rsidRPr="009E6200">
        <w:t>в</w:t>
      </w:r>
      <w:r w:rsidR="00661EE7" w:rsidRPr="009E6200">
        <w:t xml:space="preserve"> </w:t>
      </w:r>
      <w:r w:rsidRPr="009E6200">
        <w:t>анамнезе; возрасте</w:t>
      </w:r>
      <w:r w:rsidR="00661EE7" w:rsidRPr="009E6200">
        <w:t xml:space="preserve"> </w:t>
      </w:r>
      <w:r w:rsidRPr="009E6200">
        <w:t>старше</w:t>
      </w:r>
      <w:r w:rsidR="00661EE7" w:rsidRPr="009E6200">
        <w:t xml:space="preserve"> </w:t>
      </w:r>
      <w:r w:rsidRPr="009E6200">
        <w:t>65</w:t>
      </w:r>
      <w:r w:rsidR="00661EE7" w:rsidRPr="009E6200">
        <w:t xml:space="preserve"> </w:t>
      </w:r>
      <w:r w:rsidRPr="009E6200">
        <w:t>лет;</w:t>
      </w:r>
      <w:r w:rsidR="00661EE7" w:rsidRPr="009E6200">
        <w:t xml:space="preserve"> </w:t>
      </w:r>
      <w:r w:rsidRPr="009E6200">
        <w:t>врожденном</w:t>
      </w:r>
      <w:r w:rsidR="00661EE7" w:rsidRPr="009E6200">
        <w:t xml:space="preserve"> </w:t>
      </w:r>
      <w:r w:rsidRPr="009E6200">
        <w:t>геморрагическом</w:t>
      </w:r>
      <w:r w:rsidR="00661EE7" w:rsidRPr="009E6200">
        <w:t xml:space="preserve"> </w:t>
      </w:r>
      <w:r w:rsidRPr="009E6200">
        <w:t>диатезе</w:t>
      </w:r>
      <w:r w:rsidR="00661EE7" w:rsidRPr="009E6200">
        <w:t xml:space="preserve"> </w:t>
      </w:r>
      <w:r w:rsidRPr="009E6200">
        <w:t>и</w:t>
      </w:r>
      <w:r w:rsidR="00661EE7" w:rsidRPr="009E6200">
        <w:t xml:space="preserve"> </w:t>
      </w:r>
      <w:r w:rsidRPr="009E6200">
        <w:t>приобретенной коагулопатии;</w:t>
      </w:r>
      <w:r w:rsidR="00661EE7" w:rsidRPr="009E6200">
        <w:t xml:space="preserve"> </w:t>
      </w:r>
      <w:r w:rsidRPr="009E6200">
        <w:t>при</w:t>
      </w:r>
      <w:r w:rsidR="00661EE7" w:rsidRPr="009E6200">
        <w:t xml:space="preserve"> </w:t>
      </w:r>
      <w:r w:rsidRPr="009E6200">
        <w:t>приеме</w:t>
      </w:r>
      <w:r w:rsidR="00661EE7" w:rsidRPr="009E6200">
        <w:t xml:space="preserve"> </w:t>
      </w:r>
      <w:r w:rsidRPr="009E6200">
        <w:t>высоких</w:t>
      </w:r>
      <w:r w:rsidR="00661EE7" w:rsidRPr="009E6200">
        <w:t xml:space="preserve"> </w:t>
      </w:r>
      <w:r w:rsidRPr="009E6200">
        <w:t>доз</w:t>
      </w:r>
      <w:r w:rsidR="00661EE7" w:rsidRPr="009E6200">
        <w:t xml:space="preserve"> </w:t>
      </w:r>
      <w:r w:rsidRPr="009E6200">
        <w:t>антикоагулянтов;</w:t>
      </w:r>
      <w:r w:rsidR="00661EE7" w:rsidRPr="009E6200">
        <w:t xml:space="preserve"> </w:t>
      </w:r>
      <w:r w:rsidRPr="009E6200">
        <w:t>синдроме</w:t>
      </w:r>
      <w:r w:rsidR="00661EE7" w:rsidRPr="009E6200">
        <w:t xml:space="preserve"> </w:t>
      </w:r>
      <w:r w:rsidRPr="009E6200">
        <w:t>обратимой поздней</w:t>
      </w:r>
      <w:r w:rsidR="00661EE7" w:rsidRPr="009E6200">
        <w:t xml:space="preserve"> </w:t>
      </w:r>
      <w:r w:rsidRPr="009E6200">
        <w:t>лейкоэнцефалопатии,</w:t>
      </w:r>
      <w:r w:rsidR="00661EE7" w:rsidRPr="009E6200">
        <w:t xml:space="preserve"> </w:t>
      </w:r>
      <w:r w:rsidRPr="009E6200">
        <w:t>нейтропении,</w:t>
      </w:r>
      <w:r w:rsidR="00661EE7" w:rsidRPr="009E6200">
        <w:t xml:space="preserve"> </w:t>
      </w:r>
      <w:r w:rsidRPr="009E6200">
        <w:t>протеинурии,</w:t>
      </w:r>
      <w:r w:rsidR="00661EE7" w:rsidRPr="009E6200">
        <w:t xml:space="preserve"> </w:t>
      </w:r>
      <w:r w:rsidRPr="009E6200">
        <w:t>нарушенной</w:t>
      </w:r>
      <w:r w:rsidR="00661EE7" w:rsidRPr="009E6200">
        <w:t xml:space="preserve"> </w:t>
      </w:r>
      <w:r w:rsidR="00425A6C" w:rsidRPr="009E6200">
        <w:t>функции яичников.</w:t>
      </w:r>
    </w:p>
    <w:p w14:paraId="4AC5B41E" w14:textId="77777777" w:rsidR="00577BCF" w:rsidRDefault="00577BCF" w:rsidP="007B46F5">
      <w:pPr>
        <w:pStyle w:val="SDText"/>
        <w:jc w:val="both"/>
        <w:rPr>
          <w:b/>
          <w:i/>
        </w:rPr>
      </w:pPr>
    </w:p>
    <w:p w14:paraId="3E19E07D" w14:textId="2D1CF3E7" w:rsidR="00CD5A81" w:rsidRPr="009E6200" w:rsidRDefault="00CD5A81" w:rsidP="007B46F5">
      <w:pPr>
        <w:pStyle w:val="SDText"/>
        <w:jc w:val="both"/>
        <w:rPr>
          <w:b/>
          <w:i/>
        </w:rPr>
      </w:pPr>
      <w:r w:rsidRPr="009E6200">
        <w:rPr>
          <w:b/>
          <w:i/>
        </w:rPr>
        <w:t xml:space="preserve">Перфорации </w:t>
      </w:r>
      <w:r w:rsidR="00425A6C" w:rsidRPr="009E6200">
        <w:rPr>
          <w:b/>
          <w:i/>
        </w:rPr>
        <w:t>ЖКТ</w:t>
      </w:r>
    </w:p>
    <w:p w14:paraId="78DF843C" w14:textId="77777777" w:rsidR="007B46F5" w:rsidRDefault="007B46F5" w:rsidP="007B46F5">
      <w:pPr>
        <w:pStyle w:val="SDText"/>
        <w:ind w:firstLine="709"/>
        <w:jc w:val="both"/>
      </w:pPr>
    </w:p>
    <w:p w14:paraId="01C5E7FE" w14:textId="277CC6B3" w:rsidR="00CD5A81" w:rsidRPr="009E6200" w:rsidRDefault="00CD5A81" w:rsidP="007B46F5">
      <w:pPr>
        <w:pStyle w:val="SDText"/>
        <w:ind w:firstLine="709"/>
        <w:jc w:val="both"/>
      </w:pPr>
      <w:r w:rsidRPr="009E6200">
        <w:t>У</w:t>
      </w:r>
      <w:r w:rsidR="00661EE7" w:rsidRPr="009E6200">
        <w:t xml:space="preserve"> </w:t>
      </w:r>
      <w:r w:rsidRPr="009E6200">
        <w:t>пациентов,</w:t>
      </w:r>
      <w:r w:rsidR="00661EE7" w:rsidRPr="009E6200">
        <w:t xml:space="preserve"> </w:t>
      </w:r>
      <w:r w:rsidRPr="009E6200">
        <w:t>получающих</w:t>
      </w:r>
      <w:r w:rsidR="00661EE7" w:rsidRPr="009E6200">
        <w:t xml:space="preserve"> </w:t>
      </w:r>
      <w:r w:rsidRPr="009E6200">
        <w:t>RPH-001,</w:t>
      </w:r>
      <w:r w:rsidR="00661EE7" w:rsidRPr="009E6200">
        <w:t xml:space="preserve"> </w:t>
      </w:r>
      <w:r w:rsidRPr="009E6200">
        <w:t>существует</w:t>
      </w:r>
      <w:r w:rsidR="00661EE7" w:rsidRPr="009E6200">
        <w:t xml:space="preserve"> </w:t>
      </w:r>
      <w:r w:rsidRPr="009E6200">
        <w:t>повышенный</w:t>
      </w:r>
      <w:r w:rsidR="00661EE7" w:rsidRPr="009E6200">
        <w:t xml:space="preserve"> </w:t>
      </w:r>
      <w:r w:rsidRPr="009E6200">
        <w:t>риск</w:t>
      </w:r>
      <w:r w:rsidR="00661EE7" w:rsidRPr="009E6200">
        <w:t xml:space="preserve"> </w:t>
      </w:r>
      <w:r w:rsidRPr="009E6200">
        <w:t>развития перфорации ЖКТ.</w:t>
      </w:r>
    </w:p>
    <w:p w14:paraId="2061A0D1" w14:textId="77777777" w:rsidR="00CD5A81" w:rsidRPr="009E6200" w:rsidRDefault="00CD5A81" w:rsidP="007B46F5">
      <w:pPr>
        <w:pStyle w:val="SDText"/>
        <w:ind w:firstLine="709"/>
        <w:jc w:val="both"/>
      </w:pPr>
      <w:r w:rsidRPr="009E6200">
        <w:t>Наблюдались</w:t>
      </w:r>
      <w:r w:rsidR="00661EE7" w:rsidRPr="009E6200">
        <w:t xml:space="preserve"> </w:t>
      </w:r>
      <w:r w:rsidRPr="009E6200">
        <w:t>тяжелые</w:t>
      </w:r>
      <w:r w:rsidR="00661EE7" w:rsidRPr="009E6200">
        <w:t xml:space="preserve"> </w:t>
      </w:r>
      <w:r w:rsidRPr="009E6200">
        <w:t>случаи</w:t>
      </w:r>
      <w:r w:rsidR="00661EE7" w:rsidRPr="009E6200">
        <w:t xml:space="preserve"> </w:t>
      </w:r>
      <w:r w:rsidRPr="009E6200">
        <w:t>перфорации</w:t>
      </w:r>
      <w:r w:rsidR="00661EE7" w:rsidRPr="009E6200">
        <w:t xml:space="preserve"> </w:t>
      </w:r>
      <w:r w:rsidRPr="009E6200">
        <w:t>ЖКТ,</w:t>
      </w:r>
      <w:r w:rsidR="00661EE7" w:rsidRPr="009E6200">
        <w:t xml:space="preserve"> </w:t>
      </w:r>
      <w:r w:rsidRPr="009E6200">
        <w:t>в</w:t>
      </w:r>
      <w:r w:rsidR="00661EE7" w:rsidRPr="009E6200">
        <w:t xml:space="preserve"> </w:t>
      </w:r>
      <w:r w:rsidRPr="009E6200">
        <w:t>том</w:t>
      </w:r>
      <w:r w:rsidR="00661EE7" w:rsidRPr="009E6200">
        <w:t xml:space="preserve"> </w:t>
      </w:r>
      <w:r w:rsidRPr="009E6200">
        <w:t>числе</w:t>
      </w:r>
      <w:r w:rsidR="00661EE7" w:rsidRPr="009E6200">
        <w:t xml:space="preserve"> </w:t>
      </w:r>
      <w:r w:rsidRPr="009E6200">
        <w:t>летальные,</w:t>
      </w:r>
      <w:r w:rsidR="00661EE7" w:rsidRPr="009E6200">
        <w:t xml:space="preserve"> </w:t>
      </w:r>
      <w:r w:rsidRPr="009E6200">
        <w:t>у пациентов,</w:t>
      </w:r>
      <w:r w:rsidR="00661EE7" w:rsidRPr="009E6200">
        <w:t xml:space="preserve"> </w:t>
      </w:r>
      <w:r w:rsidRPr="009E6200">
        <w:t>принимавших</w:t>
      </w:r>
      <w:r w:rsidR="00661EE7" w:rsidRPr="009E6200">
        <w:t xml:space="preserve"> </w:t>
      </w:r>
      <w:r w:rsidRPr="009E6200">
        <w:t>оригинальный</w:t>
      </w:r>
      <w:r w:rsidR="00661EE7" w:rsidRPr="009E6200">
        <w:t xml:space="preserve"> </w:t>
      </w:r>
      <w:r w:rsidRPr="009E6200">
        <w:t>препарат</w:t>
      </w:r>
      <w:r w:rsidR="00661EE7" w:rsidRPr="009E6200">
        <w:t xml:space="preserve"> </w:t>
      </w:r>
      <w:r w:rsidRPr="009E6200">
        <w:t>Авастин</w:t>
      </w:r>
      <w:r w:rsidR="00121FA5" w:rsidRPr="009E6200">
        <w:rPr>
          <w:vertAlign w:val="superscript"/>
        </w:rPr>
        <w:t>®</w:t>
      </w:r>
      <w:r w:rsidRPr="009E6200">
        <w:t>.</w:t>
      </w:r>
      <w:r w:rsidR="00661EE7" w:rsidRPr="009E6200">
        <w:t xml:space="preserve"> </w:t>
      </w:r>
      <w:r w:rsidRPr="009E6200">
        <w:t>Частота</w:t>
      </w:r>
      <w:r w:rsidR="00661EE7" w:rsidRPr="009E6200">
        <w:t xml:space="preserve"> </w:t>
      </w:r>
      <w:r w:rsidRPr="009E6200">
        <w:t>развития перфораций ЖКТ в проведенных клинических</w:t>
      </w:r>
      <w:r w:rsidR="003C1EF6" w:rsidRPr="009E6200">
        <w:t xml:space="preserve"> исследованиях варьировала от 0,</w:t>
      </w:r>
      <w:r w:rsidRPr="009E6200">
        <w:t xml:space="preserve">3% </w:t>
      </w:r>
      <w:r w:rsidR="003C1EF6" w:rsidRPr="009E6200">
        <w:t>до 2,4%.</w:t>
      </w:r>
    </w:p>
    <w:p w14:paraId="5C63257A" w14:textId="77777777" w:rsidR="003C1EF6" w:rsidRPr="009E6200" w:rsidRDefault="003C1EF6" w:rsidP="007B46F5">
      <w:pPr>
        <w:pStyle w:val="SDText"/>
        <w:jc w:val="both"/>
      </w:pPr>
      <w:r w:rsidRPr="009E6200">
        <w:t>Типичные</w:t>
      </w:r>
      <w:r w:rsidR="00661EE7" w:rsidRPr="009E6200">
        <w:t xml:space="preserve"> </w:t>
      </w:r>
      <w:r w:rsidRPr="009E6200">
        <w:t>признаки</w:t>
      </w:r>
      <w:r w:rsidR="00661EE7" w:rsidRPr="009E6200">
        <w:t xml:space="preserve"> </w:t>
      </w:r>
      <w:r w:rsidRPr="009E6200">
        <w:t>развития</w:t>
      </w:r>
      <w:r w:rsidR="00661EE7" w:rsidRPr="009E6200">
        <w:t xml:space="preserve"> </w:t>
      </w:r>
      <w:r w:rsidRPr="009E6200">
        <w:t>перфораций</w:t>
      </w:r>
      <w:r w:rsidR="00661EE7" w:rsidRPr="009E6200">
        <w:t xml:space="preserve"> </w:t>
      </w:r>
      <w:r w:rsidRPr="009E6200">
        <w:t>ЖКТ</w:t>
      </w:r>
      <w:r w:rsidR="00661EE7" w:rsidRPr="009E6200">
        <w:t xml:space="preserve"> </w:t>
      </w:r>
      <w:r w:rsidRPr="009E6200">
        <w:t>включают</w:t>
      </w:r>
      <w:r w:rsidR="00661EE7" w:rsidRPr="009E6200">
        <w:t xml:space="preserve"> </w:t>
      </w:r>
      <w:r w:rsidRPr="009E6200">
        <w:t>появление</w:t>
      </w:r>
      <w:r w:rsidR="00661EE7" w:rsidRPr="009E6200">
        <w:t xml:space="preserve"> </w:t>
      </w:r>
      <w:r w:rsidRPr="009E6200">
        <w:t>боли</w:t>
      </w:r>
      <w:r w:rsidR="00661EE7" w:rsidRPr="009E6200">
        <w:t xml:space="preserve"> </w:t>
      </w:r>
      <w:r w:rsidRPr="009E6200">
        <w:t>в животе,</w:t>
      </w:r>
      <w:r w:rsidR="00661EE7" w:rsidRPr="009E6200">
        <w:t xml:space="preserve"> </w:t>
      </w:r>
      <w:r w:rsidRPr="009E6200">
        <w:t>тошноты,</w:t>
      </w:r>
      <w:r w:rsidR="00661EE7" w:rsidRPr="009E6200">
        <w:t xml:space="preserve"> </w:t>
      </w:r>
      <w:r w:rsidRPr="009E6200">
        <w:t>рвоты,</w:t>
      </w:r>
      <w:r w:rsidR="00661EE7" w:rsidRPr="009E6200">
        <w:t xml:space="preserve"> </w:t>
      </w:r>
      <w:r w:rsidRPr="009E6200">
        <w:t>запоров</w:t>
      </w:r>
      <w:r w:rsidR="00661EE7" w:rsidRPr="009E6200">
        <w:t xml:space="preserve"> </w:t>
      </w:r>
      <w:r w:rsidRPr="009E6200">
        <w:t>и</w:t>
      </w:r>
      <w:r w:rsidR="00661EE7" w:rsidRPr="009E6200">
        <w:t xml:space="preserve"> </w:t>
      </w:r>
      <w:r w:rsidRPr="009E6200">
        <w:t>лихорадочного</w:t>
      </w:r>
      <w:r w:rsidR="00661EE7" w:rsidRPr="009E6200">
        <w:t xml:space="preserve"> </w:t>
      </w:r>
      <w:r w:rsidRPr="009E6200">
        <w:t>состояния.</w:t>
      </w:r>
      <w:r w:rsidR="00661EE7" w:rsidRPr="009E6200">
        <w:t xml:space="preserve"> </w:t>
      </w:r>
      <w:r w:rsidRPr="009E6200">
        <w:t>Перфорации</w:t>
      </w:r>
      <w:r w:rsidR="00661EE7" w:rsidRPr="009E6200">
        <w:t xml:space="preserve"> </w:t>
      </w:r>
      <w:r w:rsidRPr="009E6200">
        <w:t>ЖКТ могут</w:t>
      </w:r>
      <w:r w:rsidR="00661EE7" w:rsidRPr="009E6200">
        <w:t xml:space="preserve"> </w:t>
      </w:r>
      <w:r w:rsidRPr="009E6200">
        <w:t>осложняться</w:t>
      </w:r>
      <w:r w:rsidR="00661EE7" w:rsidRPr="009E6200">
        <w:t xml:space="preserve"> </w:t>
      </w:r>
      <w:r w:rsidRPr="009E6200">
        <w:t>интраабдоминальными</w:t>
      </w:r>
      <w:r w:rsidR="00661EE7" w:rsidRPr="009E6200">
        <w:t xml:space="preserve"> </w:t>
      </w:r>
      <w:r w:rsidRPr="009E6200">
        <w:t>абсцессами</w:t>
      </w:r>
      <w:r w:rsidR="00661EE7" w:rsidRPr="009E6200">
        <w:t xml:space="preserve"> </w:t>
      </w:r>
      <w:r w:rsidRPr="009E6200">
        <w:t>и</w:t>
      </w:r>
      <w:r w:rsidR="00661EE7" w:rsidRPr="009E6200">
        <w:t xml:space="preserve"> </w:t>
      </w:r>
      <w:r w:rsidRPr="009E6200">
        <w:t>образованием</w:t>
      </w:r>
      <w:r w:rsidR="00661EE7" w:rsidRPr="009E6200">
        <w:t xml:space="preserve"> </w:t>
      </w:r>
      <w:r w:rsidRPr="009E6200">
        <w:t>свищей.</w:t>
      </w:r>
      <w:r w:rsidR="00661EE7" w:rsidRPr="009E6200">
        <w:t xml:space="preserve"> </w:t>
      </w:r>
      <w:r w:rsidRPr="009E6200">
        <w:t>В большинстве случаев перфорации ЖКТ</w:t>
      </w:r>
      <w:r w:rsidR="00661EE7" w:rsidRPr="009E6200">
        <w:t xml:space="preserve"> </w:t>
      </w:r>
      <w:r w:rsidRPr="009E6200">
        <w:t>развивались в первые 50 дней с моме</w:t>
      </w:r>
      <w:r w:rsidR="00425A6C" w:rsidRPr="009E6200">
        <w:t>нта первого введения препарата.</w:t>
      </w:r>
    </w:p>
    <w:p w14:paraId="62A1A8F6" w14:textId="77777777" w:rsidR="003C1EF6" w:rsidRPr="009E6200" w:rsidRDefault="003C1EF6" w:rsidP="007B46F5">
      <w:pPr>
        <w:pStyle w:val="SDText"/>
        <w:ind w:firstLine="709"/>
        <w:jc w:val="both"/>
      </w:pPr>
      <w:r w:rsidRPr="009E6200">
        <w:t xml:space="preserve">Необходимо отменить препарат RPH-001 </w:t>
      </w:r>
      <w:r w:rsidR="00425A6C" w:rsidRPr="009E6200">
        <w:t>у пациентов с перфорациями ЖКТ.</w:t>
      </w:r>
    </w:p>
    <w:p w14:paraId="6AC376CF" w14:textId="77777777" w:rsidR="00577BCF" w:rsidRDefault="00577BCF" w:rsidP="007B46F5">
      <w:pPr>
        <w:pStyle w:val="SDText"/>
        <w:jc w:val="both"/>
        <w:rPr>
          <w:b/>
          <w:i/>
        </w:rPr>
      </w:pPr>
    </w:p>
    <w:p w14:paraId="6EDBD7EE" w14:textId="3C282295" w:rsidR="003C1EF6" w:rsidRPr="009E6200" w:rsidRDefault="003C1EF6" w:rsidP="007B46F5">
      <w:pPr>
        <w:pStyle w:val="SDText"/>
        <w:jc w:val="both"/>
        <w:rPr>
          <w:b/>
          <w:i/>
        </w:rPr>
      </w:pPr>
      <w:r w:rsidRPr="009E6200">
        <w:rPr>
          <w:b/>
          <w:i/>
        </w:rPr>
        <w:t xml:space="preserve">Образование свищей внутренних органов </w:t>
      </w:r>
    </w:p>
    <w:p w14:paraId="191BC678" w14:textId="77777777" w:rsidR="00577BCF" w:rsidRDefault="00577BCF" w:rsidP="007B46F5">
      <w:pPr>
        <w:pStyle w:val="SDText"/>
        <w:jc w:val="both"/>
      </w:pPr>
    </w:p>
    <w:p w14:paraId="02F7BB41" w14:textId="6014CD7B" w:rsidR="003C1EF6" w:rsidRPr="009E6200" w:rsidRDefault="003C1EF6" w:rsidP="007B46F5">
      <w:pPr>
        <w:pStyle w:val="SDText"/>
        <w:ind w:firstLine="709"/>
        <w:jc w:val="both"/>
      </w:pPr>
      <w:r w:rsidRPr="009E6200">
        <w:t>У</w:t>
      </w:r>
      <w:r w:rsidR="00661EE7" w:rsidRPr="009E6200">
        <w:t xml:space="preserve"> </w:t>
      </w:r>
      <w:r w:rsidRPr="009E6200">
        <w:t>пациентов,</w:t>
      </w:r>
      <w:r w:rsidR="00661EE7" w:rsidRPr="009E6200">
        <w:t xml:space="preserve"> </w:t>
      </w:r>
      <w:r w:rsidRPr="009E6200">
        <w:t>получающих</w:t>
      </w:r>
      <w:r w:rsidR="00661EE7" w:rsidRPr="009E6200">
        <w:t xml:space="preserve"> </w:t>
      </w:r>
      <w:r w:rsidRPr="009E6200">
        <w:t>RPH-001,</w:t>
      </w:r>
      <w:r w:rsidR="00661EE7" w:rsidRPr="009E6200">
        <w:t xml:space="preserve"> </w:t>
      </w:r>
      <w:r w:rsidRPr="009E6200">
        <w:t>повышен</w:t>
      </w:r>
      <w:r w:rsidR="00661EE7" w:rsidRPr="009E6200">
        <w:t xml:space="preserve"> </w:t>
      </w:r>
      <w:r w:rsidRPr="009E6200">
        <w:t>риск</w:t>
      </w:r>
      <w:r w:rsidR="00661EE7" w:rsidRPr="009E6200">
        <w:t xml:space="preserve"> </w:t>
      </w:r>
      <w:r w:rsidRPr="009E6200">
        <w:t>образования</w:t>
      </w:r>
      <w:r w:rsidR="00661EE7" w:rsidRPr="009E6200">
        <w:t xml:space="preserve"> </w:t>
      </w:r>
      <w:r w:rsidRPr="009E6200">
        <w:t>свищей внутренних органов: трахео-эзофагеальных, бронхоплевральных,</w:t>
      </w:r>
      <w:r w:rsidR="00661EE7" w:rsidRPr="009E6200">
        <w:t xml:space="preserve"> </w:t>
      </w:r>
      <w:r w:rsidRPr="009E6200">
        <w:t xml:space="preserve">урогенитальных, билиарных, вагинальных, почечных и свищей мочевого пузыря. </w:t>
      </w:r>
    </w:p>
    <w:p w14:paraId="74D74E67" w14:textId="77777777" w:rsidR="003C1EF6" w:rsidRPr="009E6200" w:rsidRDefault="003C1EF6" w:rsidP="007B46F5">
      <w:pPr>
        <w:pStyle w:val="SDText"/>
        <w:ind w:firstLine="709"/>
        <w:jc w:val="both"/>
      </w:pPr>
      <w:r w:rsidRPr="009E6200">
        <w:t>Анализ</w:t>
      </w:r>
      <w:r w:rsidR="00661EE7" w:rsidRPr="009E6200">
        <w:t xml:space="preserve"> </w:t>
      </w:r>
      <w:r w:rsidRPr="009E6200">
        <w:t>данных</w:t>
      </w:r>
      <w:r w:rsidR="00661EE7" w:rsidRPr="009E6200">
        <w:t xml:space="preserve"> </w:t>
      </w:r>
      <w:r w:rsidRPr="009E6200">
        <w:t>клинических</w:t>
      </w:r>
      <w:r w:rsidR="00661EE7" w:rsidRPr="009E6200">
        <w:t xml:space="preserve"> </w:t>
      </w:r>
      <w:r w:rsidRPr="009E6200">
        <w:t>исследований</w:t>
      </w:r>
      <w:r w:rsidR="00661EE7" w:rsidRPr="009E6200">
        <w:t xml:space="preserve"> </w:t>
      </w:r>
      <w:r w:rsidRPr="009E6200">
        <w:t>оригинального</w:t>
      </w:r>
      <w:r w:rsidR="00661EE7" w:rsidRPr="009E6200">
        <w:t xml:space="preserve"> </w:t>
      </w:r>
      <w:r w:rsidRPr="009E6200">
        <w:t>препарата</w:t>
      </w:r>
      <w:r w:rsidR="00661EE7" w:rsidRPr="009E6200">
        <w:t xml:space="preserve"> </w:t>
      </w:r>
      <w:r w:rsidRPr="009E6200">
        <w:t>Авастин</w:t>
      </w:r>
      <w:r w:rsidR="00121FA5" w:rsidRPr="009E6200">
        <w:rPr>
          <w:vertAlign w:val="superscript"/>
        </w:rPr>
        <w:t>®</w:t>
      </w:r>
      <w:r w:rsidRPr="009E6200">
        <w:t xml:space="preserve"> показал более высокую частоту возникновения свищей у пациентов, принимающих Авастин</w:t>
      </w:r>
      <w:r w:rsidR="00121FA5" w:rsidRPr="009E6200">
        <w:rPr>
          <w:vertAlign w:val="superscript"/>
        </w:rPr>
        <w:t>®</w:t>
      </w:r>
      <w:r w:rsidR="00661EE7" w:rsidRPr="009E6200">
        <w:t xml:space="preserve"> </w:t>
      </w:r>
      <w:r w:rsidRPr="009E6200">
        <w:t>по</w:t>
      </w:r>
      <w:r w:rsidR="00661EE7" w:rsidRPr="009E6200">
        <w:t xml:space="preserve"> </w:t>
      </w:r>
      <w:r w:rsidRPr="009E6200">
        <w:t>сравнению</w:t>
      </w:r>
      <w:r w:rsidR="00661EE7" w:rsidRPr="009E6200">
        <w:t xml:space="preserve"> </w:t>
      </w:r>
      <w:r w:rsidRPr="009E6200">
        <w:t>с</w:t>
      </w:r>
      <w:r w:rsidR="00661EE7" w:rsidRPr="009E6200">
        <w:t xml:space="preserve"> </w:t>
      </w:r>
      <w:r w:rsidRPr="009E6200">
        <w:t>контрольной</w:t>
      </w:r>
      <w:r w:rsidR="00661EE7" w:rsidRPr="009E6200">
        <w:t xml:space="preserve"> </w:t>
      </w:r>
      <w:r w:rsidRPr="009E6200">
        <w:t>группой.</w:t>
      </w:r>
      <w:r w:rsidR="00661EE7" w:rsidRPr="009E6200">
        <w:t xml:space="preserve"> </w:t>
      </w:r>
      <w:r w:rsidRPr="009E6200">
        <w:t>Частота</w:t>
      </w:r>
      <w:r w:rsidR="00661EE7" w:rsidRPr="009E6200">
        <w:t xml:space="preserve"> </w:t>
      </w:r>
      <w:r w:rsidRPr="009E6200">
        <w:t>возникновения</w:t>
      </w:r>
      <w:r w:rsidR="00661EE7" w:rsidRPr="009E6200">
        <w:t xml:space="preserve"> </w:t>
      </w:r>
      <w:r w:rsidRPr="009E6200">
        <w:t xml:space="preserve">свищей внутренних органов составила ≤ 0,3%. Образование свищей наблюдалось в первые 6 мес. терапии препаратом. </w:t>
      </w:r>
    </w:p>
    <w:p w14:paraId="02E7C28E" w14:textId="77777777" w:rsidR="003C1EF6" w:rsidRPr="009E6200" w:rsidRDefault="003C1EF6" w:rsidP="007B46F5">
      <w:pPr>
        <w:pStyle w:val="SDText"/>
        <w:ind w:firstLine="709"/>
        <w:jc w:val="both"/>
      </w:pPr>
      <w:r w:rsidRPr="009E6200">
        <w:t>Необходимо</w:t>
      </w:r>
      <w:r w:rsidR="00661EE7" w:rsidRPr="009E6200">
        <w:t xml:space="preserve"> </w:t>
      </w:r>
      <w:r w:rsidRPr="009E6200">
        <w:t>отменить</w:t>
      </w:r>
      <w:r w:rsidR="00661EE7" w:rsidRPr="009E6200">
        <w:t xml:space="preserve"> </w:t>
      </w:r>
      <w:r w:rsidRPr="009E6200">
        <w:t>препарат</w:t>
      </w:r>
      <w:r w:rsidR="00661EE7" w:rsidRPr="009E6200">
        <w:t xml:space="preserve"> </w:t>
      </w:r>
      <w:r w:rsidRPr="009E6200">
        <w:t>RPH-001</w:t>
      </w:r>
      <w:r w:rsidR="00661EE7" w:rsidRPr="009E6200">
        <w:t xml:space="preserve"> </w:t>
      </w:r>
      <w:r w:rsidRPr="009E6200">
        <w:t>у</w:t>
      </w:r>
      <w:r w:rsidR="00661EE7" w:rsidRPr="009E6200">
        <w:t xml:space="preserve"> </w:t>
      </w:r>
      <w:r w:rsidRPr="009E6200">
        <w:t>пациентов</w:t>
      </w:r>
      <w:r w:rsidR="00661EE7" w:rsidRPr="009E6200">
        <w:t xml:space="preserve"> </w:t>
      </w:r>
      <w:r w:rsidRPr="009E6200">
        <w:t>со</w:t>
      </w:r>
      <w:r w:rsidR="00661EE7" w:rsidRPr="009E6200">
        <w:t xml:space="preserve"> </w:t>
      </w:r>
      <w:r w:rsidRPr="009E6200">
        <w:t>свищами</w:t>
      </w:r>
      <w:r w:rsidR="00661EE7" w:rsidRPr="009E6200">
        <w:t xml:space="preserve"> </w:t>
      </w:r>
      <w:r w:rsidRPr="009E6200">
        <w:t xml:space="preserve">внутренних органов. </w:t>
      </w:r>
    </w:p>
    <w:p w14:paraId="15F63BC4" w14:textId="77777777" w:rsidR="00577BCF" w:rsidRDefault="00577BCF" w:rsidP="007B46F5">
      <w:pPr>
        <w:pStyle w:val="SDText"/>
        <w:jc w:val="both"/>
        <w:rPr>
          <w:b/>
          <w:i/>
        </w:rPr>
      </w:pPr>
    </w:p>
    <w:p w14:paraId="101F72D1" w14:textId="23A10F71" w:rsidR="003C1EF6" w:rsidRDefault="003C1EF6" w:rsidP="007B46F5">
      <w:pPr>
        <w:pStyle w:val="SDText"/>
        <w:jc w:val="both"/>
        <w:rPr>
          <w:b/>
          <w:i/>
        </w:rPr>
      </w:pPr>
      <w:r w:rsidRPr="009E6200">
        <w:rPr>
          <w:b/>
          <w:i/>
        </w:rPr>
        <w:t xml:space="preserve">Хирургия и осложнения заживления ран </w:t>
      </w:r>
    </w:p>
    <w:p w14:paraId="74DA3897" w14:textId="77777777" w:rsidR="00577BCF" w:rsidRPr="009E6200" w:rsidRDefault="00577BCF" w:rsidP="007B46F5">
      <w:pPr>
        <w:pStyle w:val="SDText"/>
        <w:jc w:val="both"/>
        <w:rPr>
          <w:b/>
          <w:i/>
        </w:rPr>
      </w:pPr>
    </w:p>
    <w:p w14:paraId="21847C5E" w14:textId="77777777" w:rsidR="003C1EF6" w:rsidRPr="009E6200" w:rsidRDefault="003C1EF6" w:rsidP="007B46F5">
      <w:pPr>
        <w:pStyle w:val="SDText"/>
        <w:ind w:firstLine="709"/>
        <w:jc w:val="both"/>
      </w:pPr>
      <w:r w:rsidRPr="009E6200">
        <w:t>Препарат RPH-001 может отрицательно влиять на заживление ран.</w:t>
      </w:r>
      <w:r w:rsidR="00661EE7" w:rsidRPr="009E6200">
        <w:t xml:space="preserve"> </w:t>
      </w:r>
    </w:p>
    <w:p w14:paraId="72A3F4B7" w14:textId="76BD9D58" w:rsidR="003C1EF6" w:rsidRPr="009E6200" w:rsidRDefault="003C1EF6" w:rsidP="007B46F5">
      <w:pPr>
        <w:pStyle w:val="SDText"/>
        <w:ind w:firstLine="709"/>
        <w:jc w:val="both"/>
      </w:pPr>
      <w:r w:rsidRPr="009E6200">
        <w:t xml:space="preserve">В доклинических исследованиях </w:t>
      </w:r>
      <w:r w:rsidRPr="009E6200">
        <w:rPr>
          <w:i/>
        </w:rPr>
        <w:t>in vivo</w:t>
      </w:r>
      <w:r w:rsidRPr="009E6200">
        <w:t xml:space="preserve"> оригинального препарата Авастин</w:t>
      </w:r>
      <w:r w:rsidR="00121FA5" w:rsidRPr="009E6200">
        <w:rPr>
          <w:vertAlign w:val="superscript"/>
        </w:rPr>
        <w:t>®</w:t>
      </w:r>
      <w:r w:rsidRPr="009E6200">
        <w:t xml:space="preserve"> было показано, что препарат нарушает заживление ран. В клинических исследованиях с применением препарата Авастин</w:t>
      </w:r>
      <w:r w:rsidR="00121FA5" w:rsidRPr="009E6200">
        <w:rPr>
          <w:vertAlign w:val="superscript"/>
        </w:rPr>
        <w:t>®</w:t>
      </w:r>
      <w:r w:rsidRPr="009E6200">
        <w:t xml:space="preserve"> пациентов не включали в исследования ранее 28 дней</w:t>
      </w:r>
      <w:r w:rsidR="00661EE7" w:rsidRPr="009E6200">
        <w:t xml:space="preserve"> </w:t>
      </w:r>
      <w:r w:rsidRPr="009E6200">
        <w:t>после</w:t>
      </w:r>
      <w:r w:rsidR="00661EE7" w:rsidRPr="009E6200">
        <w:t xml:space="preserve"> </w:t>
      </w:r>
      <w:r w:rsidRPr="009E6200">
        <w:t>перенесенных</w:t>
      </w:r>
      <w:r w:rsidR="00661EE7" w:rsidRPr="009E6200">
        <w:t xml:space="preserve"> </w:t>
      </w:r>
      <w:r w:rsidRPr="009E6200">
        <w:t>хирургических</w:t>
      </w:r>
      <w:r w:rsidR="00661EE7" w:rsidRPr="009E6200">
        <w:t xml:space="preserve"> </w:t>
      </w:r>
      <w:r w:rsidRPr="009E6200">
        <w:t>вмешательств.</w:t>
      </w:r>
      <w:r w:rsidR="00661EE7" w:rsidRPr="009E6200">
        <w:t xml:space="preserve"> </w:t>
      </w:r>
      <w:r w:rsidRPr="009E6200">
        <w:t>Частота</w:t>
      </w:r>
      <w:r w:rsidR="00661EE7" w:rsidRPr="009E6200">
        <w:t xml:space="preserve"> </w:t>
      </w:r>
      <w:r w:rsidRPr="009E6200">
        <w:t>серьезных</w:t>
      </w:r>
      <w:r w:rsidR="00661EE7" w:rsidRPr="009E6200">
        <w:t xml:space="preserve"> </w:t>
      </w:r>
      <w:r w:rsidRPr="009E6200">
        <w:t>и летальных</w:t>
      </w:r>
      <w:r w:rsidR="00661EE7" w:rsidRPr="009E6200">
        <w:t xml:space="preserve"> </w:t>
      </w:r>
      <w:r w:rsidRPr="009E6200">
        <w:t>осложнений,</w:t>
      </w:r>
      <w:r w:rsidR="00661EE7" w:rsidRPr="009E6200">
        <w:t xml:space="preserve"> </w:t>
      </w:r>
      <w:r w:rsidRPr="009E6200">
        <w:t>связанных</w:t>
      </w:r>
      <w:r w:rsidR="00661EE7" w:rsidRPr="009E6200">
        <w:t xml:space="preserve"> </w:t>
      </w:r>
      <w:r w:rsidRPr="009E6200">
        <w:t>с</w:t>
      </w:r>
      <w:r w:rsidR="00661EE7" w:rsidRPr="009E6200">
        <w:t xml:space="preserve"> </w:t>
      </w:r>
      <w:r w:rsidRPr="009E6200">
        <w:t>заживлением</w:t>
      </w:r>
      <w:r w:rsidR="00661EE7" w:rsidRPr="009E6200">
        <w:t xml:space="preserve"> </w:t>
      </w:r>
      <w:r w:rsidRPr="009E6200">
        <w:t>ран</w:t>
      </w:r>
      <w:r w:rsidR="00661EE7" w:rsidRPr="009E6200">
        <w:t xml:space="preserve"> </w:t>
      </w:r>
      <w:r w:rsidRPr="009E6200">
        <w:t>у</w:t>
      </w:r>
      <w:r w:rsidR="00661EE7" w:rsidRPr="009E6200">
        <w:t xml:space="preserve"> </w:t>
      </w:r>
      <w:r w:rsidRPr="009E6200">
        <w:t>пациентов</w:t>
      </w:r>
      <w:r w:rsidR="00661EE7" w:rsidRPr="009E6200">
        <w:t xml:space="preserve"> </w:t>
      </w:r>
      <w:r w:rsidRPr="009E6200">
        <w:t>с метастатическим</w:t>
      </w:r>
      <w:r w:rsidR="00661EE7" w:rsidRPr="009E6200">
        <w:t xml:space="preserve"> </w:t>
      </w:r>
      <w:r w:rsidRPr="009E6200">
        <w:t>колоректальным</w:t>
      </w:r>
      <w:r w:rsidR="00661EE7" w:rsidRPr="009E6200">
        <w:t xml:space="preserve"> </w:t>
      </w:r>
      <w:r w:rsidRPr="009E6200">
        <w:t>раком,</w:t>
      </w:r>
      <w:r w:rsidR="00661EE7" w:rsidRPr="009E6200">
        <w:t xml:space="preserve"> </w:t>
      </w:r>
      <w:r w:rsidRPr="009E6200">
        <w:t>имевших</w:t>
      </w:r>
      <w:r w:rsidR="00661EE7" w:rsidRPr="009E6200">
        <w:t xml:space="preserve"> </w:t>
      </w:r>
      <w:r w:rsidRPr="009E6200">
        <w:t>хирургические</w:t>
      </w:r>
      <w:r w:rsidR="00661EE7" w:rsidRPr="009E6200">
        <w:t xml:space="preserve"> </w:t>
      </w:r>
      <w:r w:rsidRPr="009E6200">
        <w:t>вмешател</w:t>
      </w:r>
      <w:r w:rsidR="0024542E">
        <w:t>ьства во время терапии преапаратом Авастин</w:t>
      </w:r>
      <w:r w:rsidR="00121FA5" w:rsidRPr="009E6200">
        <w:rPr>
          <w:vertAlign w:val="superscript"/>
        </w:rPr>
        <w:t>®</w:t>
      </w:r>
      <w:r w:rsidRPr="009E6200">
        <w:t xml:space="preserve">, составила 15%, а в контрольной группе – 4%. </w:t>
      </w:r>
    </w:p>
    <w:p w14:paraId="16F01721" w14:textId="77777777" w:rsidR="003C1EF6" w:rsidRPr="009E6200" w:rsidRDefault="003C1EF6" w:rsidP="007B46F5">
      <w:pPr>
        <w:pStyle w:val="SDText"/>
        <w:ind w:firstLine="709"/>
        <w:jc w:val="both"/>
      </w:pPr>
      <w:r w:rsidRPr="009E6200">
        <w:t>Прием препарата RPH-001 не следует начинать ранее 28 дней после хирургических вмешательств,</w:t>
      </w:r>
      <w:r w:rsidR="00661EE7" w:rsidRPr="009E6200">
        <w:t xml:space="preserve"> </w:t>
      </w:r>
      <w:r w:rsidRPr="009E6200">
        <w:t>а</w:t>
      </w:r>
      <w:r w:rsidR="00661EE7" w:rsidRPr="009E6200">
        <w:t xml:space="preserve"> </w:t>
      </w:r>
      <w:r w:rsidRPr="009E6200">
        <w:t>также</w:t>
      </w:r>
      <w:r w:rsidR="00661EE7" w:rsidRPr="009E6200">
        <w:t xml:space="preserve"> </w:t>
      </w:r>
      <w:r w:rsidRPr="009E6200">
        <w:t>в</w:t>
      </w:r>
      <w:r w:rsidR="00661EE7" w:rsidRPr="009E6200">
        <w:t xml:space="preserve"> </w:t>
      </w:r>
      <w:r w:rsidRPr="009E6200">
        <w:t>случаях</w:t>
      </w:r>
      <w:r w:rsidR="00661EE7" w:rsidRPr="009E6200">
        <w:t xml:space="preserve"> </w:t>
      </w:r>
      <w:r w:rsidRPr="009E6200">
        <w:t>неполного</w:t>
      </w:r>
      <w:r w:rsidR="00661EE7" w:rsidRPr="009E6200">
        <w:t xml:space="preserve"> </w:t>
      </w:r>
      <w:r w:rsidRPr="009E6200">
        <w:t>заживлении</w:t>
      </w:r>
      <w:r w:rsidR="00661EE7" w:rsidRPr="009E6200">
        <w:t xml:space="preserve"> </w:t>
      </w:r>
      <w:r w:rsidRPr="009E6200">
        <w:t>хирургических</w:t>
      </w:r>
      <w:r w:rsidR="00661EE7" w:rsidRPr="009E6200">
        <w:t xml:space="preserve"> </w:t>
      </w:r>
      <w:r w:rsidRPr="009E6200">
        <w:t xml:space="preserve">ран. Необходимо отменить прием препарата в случае развития осложнений заживления ран, требующих медицинского вмешательства. </w:t>
      </w:r>
    </w:p>
    <w:p w14:paraId="13B41034" w14:textId="77777777" w:rsidR="00CD5A81" w:rsidRPr="009E6200" w:rsidRDefault="003C1EF6" w:rsidP="007B46F5">
      <w:pPr>
        <w:pStyle w:val="SDText"/>
        <w:ind w:firstLine="709"/>
        <w:jc w:val="both"/>
      </w:pPr>
      <w:r w:rsidRPr="009E6200">
        <w:t>Если</w:t>
      </w:r>
      <w:r w:rsidR="00661EE7" w:rsidRPr="009E6200">
        <w:t xml:space="preserve"> </w:t>
      </w:r>
      <w:r w:rsidRPr="009E6200">
        <w:t>необходимо</w:t>
      </w:r>
      <w:r w:rsidR="00661EE7" w:rsidRPr="009E6200">
        <w:t xml:space="preserve"> </w:t>
      </w:r>
      <w:r w:rsidRPr="009E6200">
        <w:t>провести</w:t>
      </w:r>
      <w:r w:rsidR="00661EE7" w:rsidRPr="009E6200">
        <w:t xml:space="preserve"> </w:t>
      </w:r>
      <w:r w:rsidRPr="009E6200">
        <w:t>плановое</w:t>
      </w:r>
      <w:r w:rsidR="00661EE7" w:rsidRPr="009E6200">
        <w:t xml:space="preserve"> </w:t>
      </w:r>
      <w:r w:rsidRPr="009E6200">
        <w:t>хирургическое</w:t>
      </w:r>
      <w:r w:rsidR="00661EE7" w:rsidRPr="009E6200">
        <w:t xml:space="preserve"> </w:t>
      </w:r>
      <w:r w:rsidRPr="009E6200">
        <w:t>лечение</w:t>
      </w:r>
      <w:r w:rsidR="00661EE7" w:rsidRPr="009E6200">
        <w:t xml:space="preserve"> </w:t>
      </w:r>
      <w:r w:rsidRPr="009E6200">
        <w:t>больным, принимающим</w:t>
      </w:r>
      <w:r w:rsidR="00661EE7" w:rsidRPr="009E6200">
        <w:t xml:space="preserve"> </w:t>
      </w:r>
      <w:r w:rsidRPr="009E6200">
        <w:t>препарат</w:t>
      </w:r>
      <w:r w:rsidR="00661EE7" w:rsidRPr="009E6200">
        <w:t xml:space="preserve"> </w:t>
      </w:r>
      <w:r w:rsidRPr="009E6200">
        <w:t>RPH-001,</w:t>
      </w:r>
      <w:r w:rsidR="00661EE7" w:rsidRPr="009E6200">
        <w:t xml:space="preserve"> </w:t>
      </w:r>
      <w:r w:rsidRPr="009E6200">
        <w:t>то</w:t>
      </w:r>
      <w:r w:rsidR="00661EE7" w:rsidRPr="009E6200">
        <w:t xml:space="preserve"> </w:t>
      </w:r>
      <w:r w:rsidRPr="009E6200">
        <w:t>не</w:t>
      </w:r>
      <w:r w:rsidR="00661EE7" w:rsidRPr="009E6200">
        <w:t xml:space="preserve"> </w:t>
      </w:r>
      <w:r w:rsidRPr="009E6200">
        <w:t>следует</w:t>
      </w:r>
      <w:r w:rsidR="00661EE7" w:rsidRPr="009E6200">
        <w:t xml:space="preserve"> </w:t>
      </w:r>
      <w:r w:rsidRPr="009E6200">
        <w:t>приступать</w:t>
      </w:r>
      <w:r w:rsidR="00661EE7" w:rsidRPr="009E6200">
        <w:t xml:space="preserve"> </w:t>
      </w:r>
      <w:r w:rsidRPr="009E6200">
        <w:t>к</w:t>
      </w:r>
      <w:r w:rsidR="00661EE7" w:rsidRPr="009E6200">
        <w:t xml:space="preserve"> </w:t>
      </w:r>
      <w:r w:rsidRPr="009E6200">
        <w:t xml:space="preserve">хирургическим вмешательствам ранее 28 дней после отмены препарата, т.к. </w:t>
      </w:r>
      <w:r w:rsidR="00425A6C" w:rsidRPr="009E6200">
        <w:t>период полувыведения (</w:t>
      </w:r>
      <w:r w:rsidRPr="009E6200">
        <w:rPr>
          <w:lang w:val="en-US"/>
        </w:rPr>
        <w:t>t</w:t>
      </w:r>
      <w:r w:rsidRPr="009E6200">
        <w:rPr>
          <w:vertAlign w:val="subscript"/>
        </w:rPr>
        <w:t>1/2</w:t>
      </w:r>
      <w:r w:rsidR="00425A6C" w:rsidRPr="009E6200">
        <w:t>)</w:t>
      </w:r>
      <w:r w:rsidRPr="009E6200">
        <w:t xml:space="preserve"> RPH-001 по аналогии с оригинальным препаратом Авастин</w:t>
      </w:r>
      <w:r w:rsidR="00121FA5" w:rsidRPr="009E6200">
        <w:rPr>
          <w:vertAlign w:val="superscript"/>
        </w:rPr>
        <w:t>®</w:t>
      </w:r>
      <w:r w:rsidRPr="009E6200">
        <w:t xml:space="preserve"> составляет около 20 дней.</w:t>
      </w:r>
    </w:p>
    <w:p w14:paraId="15C6162D" w14:textId="77777777" w:rsidR="00577BCF" w:rsidRDefault="00577BCF" w:rsidP="007B46F5">
      <w:pPr>
        <w:pStyle w:val="SDText"/>
        <w:jc w:val="both"/>
        <w:rPr>
          <w:b/>
          <w:i/>
        </w:rPr>
      </w:pPr>
    </w:p>
    <w:p w14:paraId="7DDE4BBE" w14:textId="4497FCB2" w:rsidR="003C1EF6" w:rsidRPr="009E6200" w:rsidRDefault="003C1EF6" w:rsidP="007B46F5">
      <w:pPr>
        <w:pStyle w:val="SDText"/>
        <w:jc w:val="both"/>
        <w:rPr>
          <w:b/>
          <w:i/>
        </w:rPr>
      </w:pPr>
      <w:r w:rsidRPr="009E6200">
        <w:rPr>
          <w:b/>
          <w:i/>
        </w:rPr>
        <w:t>Кровотечения</w:t>
      </w:r>
    </w:p>
    <w:p w14:paraId="188E6BC4" w14:textId="77777777" w:rsidR="00577BCF" w:rsidRDefault="00577BCF" w:rsidP="007B46F5">
      <w:pPr>
        <w:pStyle w:val="SDText"/>
        <w:jc w:val="both"/>
      </w:pPr>
    </w:p>
    <w:p w14:paraId="540CA259" w14:textId="00D222D1" w:rsidR="003C1EF6" w:rsidRPr="009E6200" w:rsidRDefault="003C1EF6" w:rsidP="007B46F5">
      <w:pPr>
        <w:pStyle w:val="SDText"/>
        <w:ind w:firstLine="709"/>
        <w:jc w:val="both"/>
      </w:pPr>
      <w:r w:rsidRPr="009E6200">
        <w:t>У</w:t>
      </w:r>
      <w:r w:rsidR="00661EE7" w:rsidRPr="009E6200">
        <w:t xml:space="preserve"> </w:t>
      </w:r>
      <w:r w:rsidRPr="009E6200">
        <w:t>пациентов,</w:t>
      </w:r>
      <w:r w:rsidR="00661EE7" w:rsidRPr="009E6200">
        <w:t xml:space="preserve"> </w:t>
      </w:r>
      <w:r w:rsidRPr="009E6200">
        <w:t>получающих</w:t>
      </w:r>
      <w:r w:rsidR="00661EE7" w:rsidRPr="009E6200">
        <w:t xml:space="preserve"> </w:t>
      </w:r>
      <w:r w:rsidRPr="009E6200">
        <w:t>RPH-001,</w:t>
      </w:r>
      <w:r w:rsidR="00661EE7" w:rsidRPr="009E6200">
        <w:t xml:space="preserve"> </w:t>
      </w:r>
      <w:r w:rsidRPr="009E6200">
        <w:t>повышен</w:t>
      </w:r>
      <w:r w:rsidR="00661EE7" w:rsidRPr="009E6200">
        <w:t xml:space="preserve"> </w:t>
      </w:r>
      <w:r w:rsidRPr="009E6200">
        <w:t>риск</w:t>
      </w:r>
      <w:r w:rsidR="00661EE7" w:rsidRPr="009E6200">
        <w:t xml:space="preserve"> </w:t>
      </w:r>
      <w:r w:rsidRPr="009E6200">
        <w:t>возникновения</w:t>
      </w:r>
      <w:r w:rsidR="00661EE7" w:rsidRPr="009E6200">
        <w:t xml:space="preserve"> </w:t>
      </w:r>
      <w:r w:rsidRPr="009E6200">
        <w:t>кровотечений от незначительных кровотечений до серьезных кровотечений, в отдельных случаях</w:t>
      </w:r>
      <w:r w:rsidR="007B6831" w:rsidRPr="009E6200">
        <w:t>,</w:t>
      </w:r>
      <w:r w:rsidRPr="009E6200">
        <w:t xml:space="preserve"> заканч</w:t>
      </w:r>
      <w:r w:rsidR="00425A6C" w:rsidRPr="009E6200">
        <w:t>ивающихся летальным исходом.</w:t>
      </w:r>
    </w:p>
    <w:p w14:paraId="03BD0096" w14:textId="77777777" w:rsidR="003C1EF6" w:rsidRPr="009E6200" w:rsidRDefault="003C1EF6" w:rsidP="007B46F5">
      <w:pPr>
        <w:pStyle w:val="SDText"/>
        <w:ind w:firstLine="709"/>
        <w:jc w:val="both"/>
      </w:pPr>
      <w:r w:rsidRPr="009E6200">
        <w:t>У</w:t>
      </w:r>
      <w:r w:rsidR="00661EE7" w:rsidRPr="009E6200">
        <w:t xml:space="preserve"> </w:t>
      </w:r>
      <w:r w:rsidRPr="009E6200">
        <w:t>пациентов,</w:t>
      </w:r>
      <w:r w:rsidR="00661EE7" w:rsidRPr="009E6200">
        <w:t xml:space="preserve"> </w:t>
      </w:r>
      <w:r w:rsidRPr="009E6200">
        <w:t>принимающих</w:t>
      </w:r>
      <w:r w:rsidR="00661EE7" w:rsidRPr="009E6200">
        <w:t xml:space="preserve"> </w:t>
      </w:r>
      <w:r w:rsidRPr="009E6200">
        <w:t>оригинальный</w:t>
      </w:r>
      <w:r w:rsidR="00661EE7" w:rsidRPr="009E6200">
        <w:t xml:space="preserve"> </w:t>
      </w:r>
      <w:r w:rsidRPr="009E6200">
        <w:t>препарат</w:t>
      </w:r>
      <w:r w:rsidR="00661EE7" w:rsidRPr="009E6200">
        <w:t xml:space="preserve"> </w:t>
      </w:r>
      <w:r w:rsidRPr="009E6200">
        <w:t>Авастин</w:t>
      </w:r>
      <w:r w:rsidR="00121FA5" w:rsidRPr="009E6200">
        <w:rPr>
          <w:vertAlign w:val="superscript"/>
        </w:rPr>
        <w:t>®</w:t>
      </w:r>
      <w:r w:rsidRPr="009E6200">
        <w:t>,</w:t>
      </w:r>
      <w:r w:rsidR="00661EE7" w:rsidRPr="009E6200">
        <w:t xml:space="preserve"> </w:t>
      </w:r>
      <w:r w:rsidRPr="009E6200">
        <w:t>наблюдалось развитие</w:t>
      </w:r>
      <w:r w:rsidR="00661EE7" w:rsidRPr="009E6200">
        <w:t xml:space="preserve"> </w:t>
      </w:r>
      <w:r w:rsidRPr="009E6200">
        <w:t>тяжелых,</w:t>
      </w:r>
      <w:r w:rsidR="00661EE7" w:rsidRPr="009E6200">
        <w:t xml:space="preserve"> </w:t>
      </w:r>
      <w:r w:rsidRPr="009E6200">
        <w:t>нередко</w:t>
      </w:r>
      <w:r w:rsidR="00661EE7" w:rsidRPr="009E6200">
        <w:t xml:space="preserve"> </w:t>
      </w:r>
      <w:r w:rsidRPr="009E6200">
        <w:t>летальных</w:t>
      </w:r>
      <w:r w:rsidR="00661EE7" w:rsidRPr="009E6200">
        <w:t xml:space="preserve"> </w:t>
      </w:r>
      <w:r w:rsidRPr="009E6200">
        <w:t>кровотечений</w:t>
      </w:r>
      <w:r w:rsidR="00661EE7" w:rsidRPr="009E6200">
        <w:t xml:space="preserve"> </w:t>
      </w:r>
      <w:r w:rsidRPr="009E6200">
        <w:t>(включая</w:t>
      </w:r>
      <w:r w:rsidR="00661EE7" w:rsidRPr="009E6200">
        <w:t xml:space="preserve"> </w:t>
      </w:r>
      <w:r w:rsidRPr="009E6200">
        <w:t>легочные, желудочно-кишечные,</w:t>
      </w:r>
      <w:r w:rsidR="00661EE7" w:rsidRPr="009E6200">
        <w:t xml:space="preserve"> </w:t>
      </w:r>
      <w:r w:rsidRPr="009E6200">
        <w:t>носовые,</w:t>
      </w:r>
      <w:r w:rsidR="00661EE7" w:rsidRPr="009E6200">
        <w:t xml:space="preserve"> </w:t>
      </w:r>
      <w:r w:rsidRPr="009E6200">
        <w:t>вагинальные</w:t>
      </w:r>
      <w:r w:rsidR="00661EE7" w:rsidRPr="009E6200">
        <w:t xml:space="preserve"> </w:t>
      </w:r>
      <w:r w:rsidRPr="009E6200">
        <w:t>и</w:t>
      </w:r>
      <w:r w:rsidR="00661EE7" w:rsidRPr="009E6200">
        <w:t xml:space="preserve"> </w:t>
      </w:r>
      <w:r w:rsidRPr="009E6200">
        <w:t>мозговые)</w:t>
      </w:r>
      <w:r w:rsidR="00661EE7" w:rsidRPr="009E6200">
        <w:t xml:space="preserve"> </w:t>
      </w:r>
      <w:r w:rsidRPr="009E6200">
        <w:t>в</w:t>
      </w:r>
      <w:r w:rsidR="00661EE7" w:rsidRPr="009E6200">
        <w:t xml:space="preserve"> </w:t>
      </w:r>
      <w:r w:rsidRPr="009E6200">
        <w:t>5</w:t>
      </w:r>
      <w:r w:rsidR="00661EE7" w:rsidRPr="009E6200">
        <w:t xml:space="preserve"> </w:t>
      </w:r>
      <w:r w:rsidRPr="009E6200">
        <w:t>раз</w:t>
      </w:r>
      <w:r w:rsidR="00661EE7" w:rsidRPr="009E6200">
        <w:t xml:space="preserve"> </w:t>
      </w:r>
      <w:r w:rsidRPr="009E6200">
        <w:t>чаще</w:t>
      </w:r>
      <w:r w:rsidR="00661EE7" w:rsidRPr="009E6200">
        <w:t xml:space="preserve"> </w:t>
      </w:r>
      <w:r w:rsidRPr="009E6200">
        <w:t>по сравнению</w:t>
      </w:r>
      <w:r w:rsidR="00661EE7" w:rsidRPr="009E6200">
        <w:t xml:space="preserve"> </w:t>
      </w:r>
      <w:r w:rsidRPr="009E6200">
        <w:t>с</w:t>
      </w:r>
      <w:r w:rsidR="00661EE7" w:rsidRPr="009E6200">
        <w:t xml:space="preserve"> </w:t>
      </w:r>
      <w:r w:rsidRPr="009E6200">
        <w:t>пациентами,</w:t>
      </w:r>
      <w:r w:rsidR="00661EE7" w:rsidRPr="009E6200">
        <w:t xml:space="preserve"> </w:t>
      </w:r>
      <w:r w:rsidRPr="009E6200">
        <w:t>получающими</w:t>
      </w:r>
      <w:r w:rsidR="00661EE7" w:rsidRPr="009E6200">
        <w:t xml:space="preserve"> </w:t>
      </w:r>
      <w:r w:rsidRPr="009E6200">
        <w:t>только</w:t>
      </w:r>
      <w:r w:rsidR="00661EE7" w:rsidRPr="009E6200">
        <w:t xml:space="preserve"> </w:t>
      </w:r>
      <w:r w:rsidRPr="009E6200">
        <w:t>химиотерапию.</w:t>
      </w:r>
      <w:r w:rsidR="00661EE7" w:rsidRPr="009E6200">
        <w:t xml:space="preserve"> </w:t>
      </w:r>
      <w:r w:rsidRPr="009E6200">
        <w:t>Общая</w:t>
      </w:r>
      <w:r w:rsidR="00661EE7" w:rsidRPr="009E6200">
        <w:t xml:space="preserve"> </w:t>
      </w:r>
      <w:r w:rsidRPr="009E6200">
        <w:t>частота возникновения</w:t>
      </w:r>
      <w:r w:rsidR="00661EE7" w:rsidRPr="009E6200">
        <w:t xml:space="preserve"> </w:t>
      </w:r>
      <w:r w:rsidRPr="009E6200">
        <w:t>кровотечений</w:t>
      </w:r>
      <w:r w:rsidR="00661EE7" w:rsidRPr="009E6200">
        <w:t xml:space="preserve"> </w:t>
      </w:r>
      <w:r w:rsidRPr="009E6200">
        <w:t>3</w:t>
      </w:r>
      <w:r w:rsidR="00661EE7" w:rsidRPr="009E6200">
        <w:t xml:space="preserve"> </w:t>
      </w:r>
      <w:r w:rsidRPr="009E6200">
        <w:t>степени</w:t>
      </w:r>
      <w:r w:rsidR="00661EE7" w:rsidRPr="009E6200">
        <w:t xml:space="preserve"> </w:t>
      </w:r>
      <w:r w:rsidRPr="009E6200">
        <w:t>тяжести</w:t>
      </w:r>
      <w:r w:rsidR="00661EE7" w:rsidRPr="009E6200">
        <w:t xml:space="preserve"> </w:t>
      </w:r>
      <w:r w:rsidRPr="009E6200">
        <w:t>при</w:t>
      </w:r>
      <w:r w:rsidR="00661EE7" w:rsidRPr="009E6200">
        <w:t xml:space="preserve"> </w:t>
      </w:r>
      <w:r w:rsidRPr="009E6200">
        <w:t>приеме</w:t>
      </w:r>
      <w:r w:rsidR="00661EE7" w:rsidRPr="009E6200">
        <w:t xml:space="preserve"> </w:t>
      </w:r>
      <w:r w:rsidRPr="009E6200">
        <w:t>Авастина</w:t>
      </w:r>
      <w:r w:rsidR="00121FA5" w:rsidRPr="009E6200">
        <w:rPr>
          <w:vertAlign w:val="superscript"/>
        </w:rPr>
        <w:t>®</w:t>
      </w:r>
      <w:r w:rsidR="00661EE7" w:rsidRPr="009E6200">
        <w:t xml:space="preserve"> </w:t>
      </w:r>
      <w:r w:rsidRPr="009E6200">
        <w:t>по</w:t>
      </w:r>
      <w:r w:rsidR="00661EE7" w:rsidRPr="009E6200">
        <w:t xml:space="preserve"> </w:t>
      </w:r>
      <w:r w:rsidRPr="009E6200">
        <w:t>всем показаниям,</w:t>
      </w:r>
      <w:r w:rsidR="00661EE7" w:rsidRPr="009E6200">
        <w:t xml:space="preserve"> </w:t>
      </w:r>
      <w:r w:rsidRPr="009E6200">
        <w:t>составляла</w:t>
      </w:r>
      <w:r w:rsidR="00661EE7" w:rsidRPr="009E6200">
        <w:t xml:space="preserve"> </w:t>
      </w:r>
      <w:r w:rsidRPr="009E6200">
        <w:t>1,2–4,6%.</w:t>
      </w:r>
      <w:r w:rsidR="00661EE7" w:rsidRPr="009E6200">
        <w:t xml:space="preserve"> </w:t>
      </w:r>
      <w:r w:rsidRPr="009E6200">
        <w:t>Чаще</w:t>
      </w:r>
      <w:r w:rsidR="00661EE7" w:rsidRPr="009E6200">
        <w:t xml:space="preserve"> </w:t>
      </w:r>
      <w:r w:rsidRPr="009E6200">
        <w:t>всего</w:t>
      </w:r>
      <w:r w:rsidR="00661EE7" w:rsidRPr="009E6200">
        <w:t xml:space="preserve"> </w:t>
      </w:r>
      <w:r w:rsidRPr="009E6200">
        <w:t>кровотечения</w:t>
      </w:r>
      <w:r w:rsidR="00661EE7" w:rsidRPr="009E6200">
        <w:t xml:space="preserve"> </w:t>
      </w:r>
      <w:r w:rsidRPr="009E6200">
        <w:t>были</w:t>
      </w:r>
      <w:r w:rsidR="00661EE7" w:rsidRPr="009E6200">
        <w:t xml:space="preserve"> </w:t>
      </w:r>
      <w:r w:rsidRPr="009E6200">
        <w:t>связаны</w:t>
      </w:r>
      <w:r w:rsidR="00661EE7" w:rsidRPr="009E6200">
        <w:t xml:space="preserve"> </w:t>
      </w:r>
      <w:r w:rsidR="00425A6C" w:rsidRPr="009E6200">
        <w:t>с локализацией опухоли.</w:t>
      </w:r>
    </w:p>
    <w:p w14:paraId="04CC1C37" w14:textId="21275E61" w:rsidR="003C1EF6" w:rsidRDefault="003C1EF6" w:rsidP="007B46F5">
      <w:pPr>
        <w:pStyle w:val="SDText"/>
        <w:ind w:firstLine="709"/>
        <w:jc w:val="both"/>
      </w:pPr>
      <w:r w:rsidRPr="009E6200">
        <w:t>При</w:t>
      </w:r>
      <w:r w:rsidR="00661EE7" w:rsidRPr="009E6200">
        <w:t xml:space="preserve"> </w:t>
      </w:r>
      <w:r w:rsidRPr="009E6200">
        <w:t>возникновении</w:t>
      </w:r>
      <w:r w:rsidR="00661EE7" w:rsidRPr="009E6200">
        <w:t xml:space="preserve"> </w:t>
      </w:r>
      <w:r w:rsidRPr="009E6200">
        <w:t>кровотечения</w:t>
      </w:r>
      <w:r w:rsidR="00661EE7" w:rsidRPr="009E6200">
        <w:t xml:space="preserve"> </w:t>
      </w:r>
      <w:r w:rsidRPr="009E6200">
        <w:t>3</w:t>
      </w:r>
      <w:r w:rsidR="00661EE7" w:rsidRPr="009E6200">
        <w:t xml:space="preserve"> </w:t>
      </w:r>
      <w:r w:rsidRPr="009E6200">
        <w:t>или</w:t>
      </w:r>
      <w:r w:rsidR="00661EE7" w:rsidRPr="009E6200">
        <w:t xml:space="preserve"> </w:t>
      </w:r>
      <w:r w:rsidRPr="009E6200">
        <w:t>4</w:t>
      </w:r>
      <w:r w:rsidR="00661EE7" w:rsidRPr="009E6200">
        <w:t xml:space="preserve"> </w:t>
      </w:r>
      <w:r w:rsidRPr="009E6200">
        <w:t>степени</w:t>
      </w:r>
      <w:r w:rsidR="00661EE7" w:rsidRPr="009E6200">
        <w:t xml:space="preserve"> </w:t>
      </w:r>
      <w:r w:rsidRPr="009E6200">
        <w:t>тяжести</w:t>
      </w:r>
      <w:r w:rsidR="00661EE7" w:rsidRPr="009E6200">
        <w:t xml:space="preserve"> </w:t>
      </w:r>
      <w:r w:rsidRPr="009E6200">
        <w:t>препарат</w:t>
      </w:r>
      <w:r w:rsidR="00661EE7" w:rsidRPr="009E6200">
        <w:t xml:space="preserve"> </w:t>
      </w:r>
      <w:r w:rsidRPr="009E6200">
        <w:t>RPH-001 следует отменить.</w:t>
      </w:r>
    </w:p>
    <w:p w14:paraId="7E5C61A9" w14:textId="77777777" w:rsidR="00577BCF" w:rsidRPr="009E6200" w:rsidRDefault="00577BCF" w:rsidP="007B46F5">
      <w:pPr>
        <w:pStyle w:val="SDText"/>
        <w:ind w:firstLine="709"/>
        <w:jc w:val="both"/>
      </w:pPr>
    </w:p>
    <w:p w14:paraId="2563136B" w14:textId="77777777" w:rsidR="003C1EF6" w:rsidRPr="009E6200" w:rsidRDefault="00425A6C" w:rsidP="007B46F5">
      <w:pPr>
        <w:pStyle w:val="SDText"/>
        <w:jc w:val="both"/>
        <w:rPr>
          <w:b/>
          <w:i/>
        </w:rPr>
      </w:pPr>
      <w:r w:rsidRPr="009E6200">
        <w:rPr>
          <w:b/>
          <w:i/>
        </w:rPr>
        <w:t>Артериальная тромбоэмболия</w:t>
      </w:r>
    </w:p>
    <w:p w14:paraId="214E15F2" w14:textId="77777777" w:rsidR="00577BCF" w:rsidRDefault="00577BCF" w:rsidP="007B46F5">
      <w:pPr>
        <w:pStyle w:val="SDText"/>
        <w:jc w:val="both"/>
      </w:pPr>
    </w:p>
    <w:p w14:paraId="64ECB481" w14:textId="0280C68F" w:rsidR="003C1EF6" w:rsidRPr="009E6200" w:rsidRDefault="003C1EF6" w:rsidP="007B46F5">
      <w:pPr>
        <w:pStyle w:val="SDText"/>
        <w:ind w:firstLine="709"/>
        <w:jc w:val="both"/>
      </w:pPr>
      <w:r w:rsidRPr="009E6200">
        <w:t>При</w:t>
      </w:r>
      <w:r w:rsidR="00661EE7" w:rsidRPr="009E6200">
        <w:t xml:space="preserve"> </w:t>
      </w:r>
      <w:r w:rsidRPr="009E6200">
        <w:t>назначении</w:t>
      </w:r>
      <w:r w:rsidR="00661EE7" w:rsidRPr="009E6200">
        <w:t xml:space="preserve"> </w:t>
      </w:r>
      <w:r w:rsidRPr="009E6200">
        <w:t>препарата</w:t>
      </w:r>
      <w:r w:rsidR="00661EE7" w:rsidRPr="009E6200">
        <w:t xml:space="preserve"> </w:t>
      </w:r>
      <w:r w:rsidRPr="009E6200">
        <w:t>RPH-001</w:t>
      </w:r>
      <w:r w:rsidR="00661EE7" w:rsidRPr="009E6200">
        <w:t xml:space="preserve"> </w:t>
      </w:r>
      <w:r w:rsidRPr="009E6200">
        <w:t>возможно</w:t>
      </w:r>
      <w:r w:rsidR="00661EE7" w:rsidRPr="009E6200">
        <w:t xml:space="preserve"> </w:t>
      </w:r>
      <w:r w:rsidRPr="009E6200">
        <w:t>возникновение</w:t>
      </w:r>
      <w:r w:rsidR="00661EE7" w:rsidRPr="009E6200">
        <w:t xml:space="preserve"> </w:t>
      </w:r>
      <w:r w:rsidRPr="009E6200">
        <w:t>случаев артериальной тромбоэмболии, включая инсульт, транзиторную ишемическую атаку и инфаркт миокарда и стенокардию.</w:t>
      </w:r>
    </w:p>
    <w:p w14:paraId="67D5A163" w14:textId="77777777" w:rsidR="003C1EF6" w:rsidRPr="009E6200" w:rsidRDefault="003C1EF6" w:rsidP="007B46F5">
      <w:pPr>
        <w:pStyle w:val="SDText"/>
        <w:ind w:firstLine="709"/>
        <w:jc w:val="both"/>
      </w:pPr>
      <w:r w:rsidRPr="009E6200">
        <w:t>Общая частота развития случаев артериальной тромбоэмболии ≥ 3 степени тяжести при</w:t>
      </w:r>
      <w:r w:rsidR="00661EE7" w:rsidRPr="009E6200">
        <w:t xml:space="preserve"> </w:t>
      </w:r>
      <w:r w:rsidRPr="009E6200">
        <w:t>приеме</w:t>
      </w:r>
      <w:r w:rsidR="00661EE7" w:rsidRPr="009E6200">
        <w:t xml:space="preserve"> </w:t>
      </w:r>
      <w:r w:rsidRPr="009E6200">
        <w:t>оригинального</w:t>
      </w:r>
      <w:r w:rsidR="00661EE7" w:rsidRPr="009E6200">
        <w:t xml:space="preserve"> </w:t>
      </w:r>
      <w:r w:rsidRPr="009E6200">
        <w:t>препарата</w:t>
      </w:r>
      <w:r w:rsidR="00661EE7" w:rsidRPr="009E6200">
        <w:t xml:space="preserve"> </w:t>
      </w:r>
      <w:r w:rsidRPr="009E6200">
        <w:t>Авастин</w:t>
      </w:r>
      <w:r w:rsidR="00121FA5" w:rsidRPr="009E6200">
        <w:rPr>
          <w:vertAlign w:val="superscript"/>
        </w:rPr>
        <w:t>®</w:t>
      </w:r>
      <w:r w:rsidR="00661EE7" w:rsidRPr="009E6200">
        <w:t xml:space="preserve"> </w:t>
      </w:r>
      <w:r w:rsidRPr="009E6200">
        <w:t>по</w:t>
      </w:r>
      <w:r w:rsidR="00661EE7" w:rsidRPr="009E6200">
        <w:t xml:space="preserve"> </w:t>
      </w:r>
      <w:r w:rsidRPr="009E6200">
        <w:t>различным</w:t>
      </w:r>
      <w:r w:rsidR="00661EE7" w:rsidRPr="009E6200">
        <w:t xml:space="preserve"> </w:t>
      </w:r>
      <w:r w:rsidRPr="009E6200">
        <w:t>показаниям составила 2,4% по сравнению с контрольной группой (0,7%). Риск возникновения артериальной</w:t>
      </w:r>
      <w:r w:rsidR="00661EE7" w:rsidRPr="009E6200">
        <w:t xml:space="preserve"> </w:t>
      </w:r>
      <w:r w:rsidRPr="009E6200">
        <w:t>тромбоэмболии</w:t>
      </w:r>
      <w:r w:rsidR="00661EE7" w:rsidRPr="009E6200">
        <w:t xml:space="preserve"> </w:t>
      </w:r>
      <w:r w:rsidRPr="009E6200">
        <w:t>во</w:t>
      </w:r>
      <w:r w:rsidR="00661EE7" w:rsidRPr="009E6200">
        <w:t xml:space="preserve"> </w:t>
      </w:r>
      <w:r w:rsidRPr="009E6200">
        <w:t>время</w:t>
      </w:r>
      <w:r w:rsidR="00661EE7" w:rsidRPr="009E6200">
        <w:t xml:space="preserve"> </w:t>
      </w:r>
      <w:r w:rsidRPr="009E6200">
        <w:t>лечения</w:t>
      </w:r>
      <w:r w:rsidR="00661EE7" w:rsidRPr="009E6200">
        <w:t xml:space="preserve"> </w:t>
      </w:r>
      <w:r w:rsidRPr="009E6200">
        <w:t>препаратом</w:t>
      </w:r>
      <w:r w:rsidR="00661EE7" w:rsidRPr="009E6200">
        <w:t xml:space="preserve"> </w:t>
      </w:r>
      <w:r w:rsidRPr="009E6200">
        <w:t>Авастин</w:t>
      </w:r>
      <w:r w:rsidR="00121FA5" w:rsidRPr="009E6200">
        <w:rPr>
          <w:vertAlign w:val="superscript"/>
        </w:rPr>
        <w:t>®</w:t>
      </w:r>
      <w:r w:rsidR="00661EE7" w:rsidRPr="009E6200">
        <w:t xml:space="preserve"> </w:t>
      </w:r>
      <w:r w:rsidRPr="009E6200">
        <w:t>на</w:t>
      </w:r>
      <w:r w:rsidR="00661EE7" w:rsidRPr="009E6200">
        <w:t xml:space="preserve"> </w:t>
      </w:r>
      <w:r w:rsidRPr="009E6200">
        <w:t>фоне химиотерапии был выше у пациентов со случаями артериальной тромбоэмболии в анамнезе, а также возраст старше 65 лет.</w:t>
      </w:r>
    </w:p>
    <w:p w14:paraId="099D3BB8" w14:textId="77777777" w:rsidR="003C1EF6" w:rsidRPr="009E6200" w:rsidRDefault="003C1EF6" w:rsidP="007B46F5">
      <w:pPr>
        <w:pStyle w:val="SDText"/>
        <w:ind w:firstLine="709"/>
        <w:jc w:val="both"/>
      </w:pPr>
      <w:r w:rsidRPr="009E6200">
        <w:t>При</w:t>
      </w:r>
      <w:r w:rsidR="00661EE7" w:rsidRPr="009E6200">
        <w:t xml:space="preserve"> </w:t>
      </w:r>
      <w:r w:rsidRPr="009E6200">
        <w:t>возникновении</w:t>
      </w:r>
      <w:r w:rsidR="00661EE7" w:rsidRPr="009E6200">
        <w:t xml:space="preserve"> </w:t>
      </w:r>
      <w:r w:rsidRPr="009E6200">
        <w:t>случаев</w:t>
      </w:r>
      <w:r w:rsidR="00661EE7" w:rsidRPr="009E6200">
        <w:t xml:space="preserve"> </w:t>
      </w:r>
      <w:r w:rsidRPr="009E6200">
        <w:t>артериальной</w:t>
      </w:r>
      <w:r w:rsidR="00661EE7" w:rsidRPr="009E6200">
        <w:t xml:space="preserve"> </w:t>
      </w:r>
      <w:r w:rsidRPr="009E6200">
        <w:t>тромбоэмболии</w:t>
      </w:r>
      <w:r w:rsidR="00661EE7" w:rsidRPr="009E6200">
        <w:t xml:space="preserve"> </w:t>
      </w:r>
      <w:r w:rsidRPr="009E6200">
        <w:t>≥ 3</w:t>
      </w:r>
      <w:r w:rsidR="00661EE7" w:rsidRPr="009E6200">
        <w:t xml:space="preserve"> </w:t>
      </w:r>
      <w:r w:rsidRPr="009E6200">
        <w:t>степени</w:t>
      </w:r>
      <w:r w:rsidR="00661EE7" w:rsidRPr="009E6200">
        <w:t xml:space="preserve"> </w:t>
      </w:r>
      <w:r w:rsidRPr="009E6200">
        <w:t>тяжести терапию</w:t>
      </w:r>
      <w:r w:rsidR="00661EE7" w:rsidRPr="009E6200">
        <w:t xml:space="preserve"> </w:t>
      </w:r>
      <w:r w:rsidRPr="009E6200">
        <w:t>препаратом</w:t>
      </w:r>
      <w:r w:rsidR="00661EE7" w:rsidRPr="009E6200">
        <w:t xml:space="preserve"> </w:t>
      </w:r>
      <w:r w:rsidRPr="009E6200">
        <w:t>RPH-001</w:t>
      </w:r>
      <w:r w:rsidR="00661EE7" w:rsidRPr="009E6200">
        <w:t xml:space="preserve"> </w:t>
      </w:r>
      <w:r w:rsidRPr="009E6200">
        <w:t>следует</w:t>
      </w:r>
      <w:r w:rsidR="00661EE7" w:rsidRPr="009E6200">
        <w:t xml:space="preserve"> </w:t>
      </w:r>
      <w:r w:rsidRPr="009E6200">
        <w:t>прекратить,</w:t>
      </w:r>
      <w:r w:rsidR="00661EE7" w:rsidRPr="009E6200">
        <w:t xml:space="preserve"> </w:t>
      </w:r>
      <w:r w:rsidRPr="009E6200">
        <w:t>а</w:t>
      </w:r>
      <w:r w:rsidR="00661EE7" w:rsidRPr="009E6200">
        <w:t xml:space="preserve"> </w:t>
      </w:r>
      <w:r w:rsidRPr="009E6200">
        <w:t>при</w:t>
      </w:r>
      <w:r w:rsidR="00661EE7" w:rsidRPr="009E6200">
        <w:t xml:space="preserve"> </w:t>
      </w:r>
      <w:r w:rsidRPr="009E6200">
        <w:t>степени</w:t>
      </w:r>
      <w:r w:rsidR="00661EE7" w:rsidRPr="009E6200">
        <w:t xml:space="preserve"> </w:t>
      </w:r>
      <w:r w:rsidRPr="009E6200">
        <w:t>тяжести</w:t>
      </w:r>
      <w:r w:rsidR="00661EE7" w:rsidRPr="009E6200">
        <w:t xml:space="preserve"> </w:t>
      </w:r>
      <w:r w:rsidRPr="009E6200">
        <w:t>≤ 3 следует проводить тщательный мон</w:t>
      </w:r>
      <w:r w:rsidR="007B6831" w:rsidRPr="009E6200">
        <w:t>иторинг за состоянием пациента.</w:t>
      </w:r>
    </w:p>
    <w:p w14:paraId="59DCA965" w14:textId="77777777" w:rsidR="00577BCF" w:rsidRDefault="00577BCF" w:rsidP="007B46F5">
      <w:pPr>
        <w:pStyle w:val="SDText"/>
        <w:jc w:val="both"/>
        <w:rPr>
          <w:b/>
          <w:i/>
        </w:rPr>
      </w:pPr>
    </w:p>
    <w:p w14:paraId="7008B2C5" w14:textId="3BEEF93F" w:rsidR="003C1EF6" w:rsidRPr="009E6200" w:rsidRDefault="003C1EF6" w:rsidP="007B46F5">
      <w:pPr>
        <w:pStyle w:val="SDText"/>
        <w:jc w:val="both"/>
        <w:rPr>
          <w:b/>
          <w:i/>
        </w:rPr>
      </w:pPr>
      <w:r w:rsidRPr="009E6200">
        <w:rPr>
          <w:b/>
          <w:i/>
        </w:rPr>
        <w:t xml:space="preserve">Венозная тромбоэмболия </w:t>
      </w:r>
    </w:p>
    <w:p w14:paraId="13415693" w14:textId="77777777" w:rsidR="007B46F5" w:rsidRDefault="007B46F5" w:rsidP="007B46F5">
      <w:pPr>
        <w:pStyle w:val="SDText"/>
        <w:ind w:firstLine="709"/>
        <w:jc w:val="both"/>
      </w:pPr>
    </w:p>
    <w:p w14:paraId="18BF20DC" w14:textId="410C6311" w:rsidR="00CD5A81" w:rsidRPr="009E6200" w:rsidRDefault="003C1EF6" w:rsidP="007B46F5">
      <w:pPr>
        <w:pStyle w:val="SDText"/>
        <w:ind w:firstLine="709"/>
        <w:jc w:val="both"/>
      </w:pPr>
      <w:r w:rsidRPr="009E6200">
        <w:t>Во</w:t>
      </w:r>
      <w:r w:rsidR="00661EE7" w:rsidRPr="009E6200">
        <w:t xml:space="preserve"> </w:t>
      </w:r>
      <w:r w:rsidRPr="009E6200">
        <w:t>время</w:t>
      </w:r>
      <w:r w:rsidR="00661EE7" w:rsidRPr="009E6200">
        <w:t xml:space="preserve"> </w:t>
      </w:r>
      <w:r w:rsidRPr="009E6200">
        <w:t>проведения</w:t>
      </w:r>
      <w:r w:rsidR="00661EE7" w:rsidRPr="009E6200">
        <w:t xml:space="preserve"> </w:t>
      </w:r>
      <w:r w:rsidRPr="009E6200">
        <w:t>клинических</w:t>
      </w:r>
      <w:r w:rsidR="00661EE7" w:rsidRPr="009E6200">
        <w:t xml:space="preserve"> </w:t>
      </w:r>
      <w:r w:rsidRPr="009E6200">
        <w:t>исследований</w:t>
      </w:r>
      <w:r w:rsidR="00661EE7" w:rsidRPr="009E6200">
        <w:t xml:space="preserve"> </w:t>
      </w:r>
      <w:r w:rsidRPr="009E6200">
        <w:t>препарата</w:t>
      </w:r>
      <w:r w:rsidR="00661EE7" w:rsidRPr="009E6200">
        <w:t xml:space="preserve"> </w:t>
      </w:r>
      <w:r w:rsidRPr="009E6200">
        <w:t>Авастин</w:t>
      </w:r>
      <w:r w:rsidR="00121FA5" w:rsidRPr="009E6200">
        <w:rPr>
          <w:vertAlign w:val="superscript"/>
        </w:rPr>
        <w:t>®</w:t>
      </w:r>
      <w:r w:rsidR="00661EE7" w:rsidRPr="009E6200">
        <w:t xml:space="preserve"> </w:t>
      </w:r>
      <w:r w:rsidRPr="009E6200">
        <w:t>отмечался повышенный</w:t>
      </w:r>
      <w:r w:rsidR="00661EE7" w:rsidRPr="009E6200">
        <w:t xml:space="preserve"> </w:t>
      </w:r>
      <w:r w:rsidRPr="009E6200">
        <w:t>риск</w:t>
      </w:r>
      <w:r w:rsidR="00661EE7" w:rsidRPr="009E6200">
        <w:t xml:space="preserve"> </w:t>
      </w:r>
      <w:r w:rsidRPr="009E6200">
        <w:t>событий</w:t>
      </w:r>
      <w:r w:rsidR="00075CD9" w:rsidRPr="009E6200">
        <w:t>,</w:t>
      </w:r>
      <w:r w:rsidR="00661EE7" w:rsidRPr="009E6200">
        <w:t xml:space="preserve"> </w:t>
      </w:r>
      <w:r w:rsidRPr="009E6200">
        <w:t>связанных</w:t>
      </w:r>
      <w:r w:rsidR="00661EE7" w:rsidRPr="009E6200">
        <w:t xml:space="preserve"> </w:t>
      </w:r>
      <w:r w:rsidRPr="009E6200">
        <w:t>с</w:t>
      </w:r>
      <w:r w:rsidR="00661EE7" w:rsidRPr="009E6200">
        <w:t xml:space="preserve"> </w:t>
      </w:r>
      <w:r w:rsidRPr="009E6200">
        <w:t>венозными</w:t>
      </w:r>
      <w:r w:rsidR="00661EE7" w:rsidRPr="009E6200">
        <w:t xml:space="preserve"> </w:t>
      </w:r>
      <w:r w:rsidRPr="009E6200">
        <w:t>тромбоэмболиями.</w:t>
      </w:r>
      <w:r w:rsidR="00661EE7" w:rsidRPr="009E6200">
        <w:t xml:space="preserve"> </w:t>
      </w:r>
      <w:r w:rsidRPr="009E6200">
        <w:t>В исследовании</w:t>
      </w:r>
      <w:r w:rsidR="00661EE7" w:rsidRPr="009E6200">
        <w:t xml:space="preserve"> </w:t>
      </w:r>
      <w:r w:rsidRPr="009E6200">
        <w:t>GOG-0240,</w:t>
      </w:r>
      <w:r w:rsidR="00661EE7" w:rsidRPr="009E6200">
        <w:t xml:space="preserve"> </w:t>
      </w:r>
      <w:r w:rsidRPr="009E6200">
        <w:t>венозные</w:t>
      </w:r>
      <w:r w:rsidR="00661EE7" w:rsidRPr="009E6200">
        <w:t xml:space="preserve"> </w:t>
      </w:r>
      <w:r w:rsidRPr="009E6200">
        <w:t>тромбоэмболии</w:t>
      </w:r>
      <w:r w:rsidR="00661EE7" w:rsidRPr="009E6200">
        <w:t xml:space="preserve"> </w:t>
      </w:r>
      <w:r w:rsidRPr="009E6200">
        <w:t>3–4</w:t>
      </w:r>
      <w:r w:rsidR="00661EE7" w:rsidRPr="009E6200">
        <w:t xml:space="preserve"> </w:t>
      </w:r>
      <w:r w:rsidRPr="009E6200">
        <w:t>степеней</w:t>
      </w:r>
      <w:r w:rsidR="00661EE7" w:rsidRPr="009E6200">
        <w:t xml:space="preserve"> </w:t>
      </w:r>
      <w:r w:rsidRPr="009E6200">
        <w:t>отмечались</w:t>
      </w:r>
      <w:r w:rsidR="00661EE7" w:rsidRPr="009E6200">
        <w:t xml:space="preserve"> </w:t>
      </w:r>
      <w:r w:rsidRPr="009E6200">
        <w:t>у</w:t>
      </w:r>
      <w:r w:rsidR="00661EE7" w:rsidRPr="009E6200">
        <w:t xml:space="preserve"> </w:t>
      </w:r>
      <w:r w:rsidRPr="009E6200">
        <w:t>11% пациентов</w:t>
      </w:r>
      <w:r w:rsidR="00075CD9" w:rsidRPr="009E6200">
        <w:t>,</w:t>
      </w:r>
      <w:r w:rsidR="00661EE7" w:rsidRPr="009E6200">
        <w:t xml:space="preserve"> </w:t>
      </w:r>
      <w:r w:rsidRPr="009E6200">
        <w:t>получавших</w:t>
      </w:r>
      <w:r w:rsidR="00661EE7" w:rsidRPr="009E6200">
        <w:t xml:space="preserve"> </w:t>
      </w:r>
      <w:r w:rsidRPr="009E6200">
        <w:t>Авастин</w:t>
      </w:r>
      <w:r w:rsidR="00121FA5" w:rsidRPr="009E6200">
        <w:rPr>
          <w:vertAlign w:val="superscript"/>
        </w:rPr>
        <w:t>®</w:t>
      </w:r>
      <w:r w:rsidR="00661EE7" w:rsidRPr="009E6200">
        <w:t xml:space="preserve"> </w:t>
      </w:r>
      <w:r w:rsidRPr="009E6200">
        <w:t>и</w:t>
      </w:r>
      <w:r w:rsidR="00661EE7" w:rsidRPr="009E6200">
        <w:t xml:space="preserve"> </w:t>
      </w:r>
      <w:r w:rsidRPr="009E6200">
        <w:t>химиотерапию</w:t>
      </w:r>
      <w:r w:rsidR="00661EE7" w:rsidRPr="009E6200">
        <w:t xml:space="preserve"> </w:t>
      </w:r>
      <w:r w:rsidRPr="009E6200">
        <w:t>по</w:t>
      </w:r>
      <w:r w:rsidR="00661EE7" w:rsidRPr="009E6200">
        <w:t xml:space="preserve"> </w:t>
      </w:r>
      <w:r w:rsidRPr="009E6200">
        <w:t>сравнению</w:t>
      </w:r>
      <w:r w:rsidR="00661EE7" w:rsidRPr="009E6200">
        <w:t xml:space="preserve"> </w:t>
      </w:r>
      <w:r w:rsidRPr="009E6200">
        <w:t>с</w:t>
      </w:r>
      <w:r w:rsidR="00661EE7" w:rsidRPr="009E6200">
        <w:t xml:space="preserve"> </w:t>
      </w:r>
      <w:r w:rsidRPr="009E6200">
        <w:t>5%</w:t>
      </w:r>
      <w:r w:rsidR="00661EE7" w:rsidRPr="009E6200">
        <w:t xml:space="preserve"> </w:t>
      </w:r>
      <w:r w:rsidRPr="009E6200">
        <w:t>венозных тромбоэмболий</w:t>
      </w:r>
      <w:r w:rsidR="00661EE7" w:rsidRPr="009E6200">
        <w:t xml:space="preserve"> </w:t>
      </w:r>
      <w:r w:rsidRPr="009E6200">
        <w:t>3–4</w:t>
      </w:r>
      <w:r w:rsidR="00661EE7" w:rsidRPr="009E6200">
        <w:t xml:space="preserve"> </w:t>
      </w:r>
      <w:r w:rsidRPr="009E6200">
        <w:t>степеней</w:t>
      </w:r>
      <w:r w:rsidR="00661EE7" w:rsidRPr="009E6200">
        <w:t xml:space="preserve"> </w:t>
      </w:r>
      <w:r w:rsidRPr="009E6200">
        <w:t>у</w:t>
      </w:r>
      <w:r w:rsidR="00661EE7" w:rsidRPr="009E6200">
        <w:t xml:space="preserve"> </w:t>
      </w:r>
      <w:r w:rsidRPr="009E6200">
        <w:t>пациентов</w:t>
      </w:r>
      <w:r w:rsidR="00075CD9" w:rsidRPr="009E6200">
        <w:t>,</w:t>
      </w:r>
      <w:r w:rsidR="00661EE7" w:rsidRPr="009E6200">
        <w:t xml:space="preserve"> </w:t>
      </w:r>
      <w:r w:rsidRPr="009E6200">
        <w:t>получавших</w:t>
      </w:r>
      <w:r w:rsidR="00661EE7" w:rsidRPr="009E6200">
        <w:t xml:space="preserve"> </w:t>
      </w:r>
      <w:r w:rsidRPr="009E6200">
        <w:t>только</w:t>
      </w:r>
      <w:r w:rsidR="00661EE7" w:rsidRPr="009E6200">
        <w:t xml:space="preserve"> </w:t>
      </w:r>
      <w:r w:rsidRPr="009E6200">
        <w:t>химиотерапию.</w:t>
      </w:r>
      <w:r w:rsidR="00661EE7" w:rsidRPr="009E6200">
        <w:t xml:space="preserve"> </w:t>
      </w:r>
      <w:r w:rsidRPr="009E6200">
        <w:t>В исследовании</w:t>
      </w:r>
      <w:r w:rsidR="00425A6C" w:rsidRPr="009E6200">
        <w:t xml:space="preserve"> Европейской организации исследований по лечению раковых заболеваний (European Organization for Research on the Treatment of Cancer,</w:t>
      </w:r>
      <w:r w:rsidR="00661EE7" w:rsidRPr="009E6200">
        <w:t xml:space="preserve"> </w:t>
      </w:r>
      <w:r w:rsidRPr="009E6200">
        <w:t>EORTC</w:t>
      </w:r>
      <w:r w:rsidR="00425A6C" w:rsidRPr="009E6200">
        <w:t>)</w:t>
      </w:r>
      <w:r w:rsidR="00661EE7" w:rsidRPr="009E6200">
        <w:t xml:space="preserve"> </w:t>
      </w:r>
      <w:r w:rsidRPr="009E6200">
        <w:t>26101,</w:t>
      </w:r>
      <w:r w:rsidR="00661EE7" w:rsidRPr="009E6200">
        <w:t xml:space="preserve"> </w:t>
      </w:r>
      <w:r w:rsidRPr="009E6200">
        <w:t>частота</w:t>
      </w:r>
      <w:r w:rsidR="00661EE7" w:rsidRPr="009E6200">
        <w:t xml:space="preserve"> </w:t>
      </w:r>
      <w:r w:rsidRPr="009E6200">
        <w:t>венозных</w:t>
      </w:r>
      <w:r w:rsidR="00661EE7" w:rsidRPr="009E6200">
        <w:t xml:space="preserve"> </w:t>
      </w:r>
      <w:r w:rsidRPr="009E6200">
        <w:t>тромбоэмболий</w:t>
      </w:r>
      <w:r w:rsidR="00661EE7" w:rsidRPr="009E6200">
        <w:t xml:space="preserve"> </w:t>
      </w:r>
      <w:r w:rsidRPr="009E6200">
        <w:t>3–4</w:t>
      </w:r>
      <w:r w:rsidR="00661EE7" w:rsidRPr="009E6200">
        <w:t xml:space="preserve"> </w:t>
      </w:r>
      <w:r w:rsidRPr="009E6200">
        <w:t>степеней</w:t>
      </w:r>
      <w:r w:rsidR="00661EE7" w:rsidRPr="009E6200">
        <w:t xml:space="preserve"> </w:t>
      </w:r>
      <w:r w:rsidRPr="009E6200">
        <w:t>была</w:t>
      </w:r>
      <w:r w:rsidR="00661EE7" w:rsidRPr="009E6200">
        <w:t xml:space="preserve"> </w:t>
      </w:r>
      <w:r w:rsidRPr="009E6200">
        <w:t>5%</w:t>
      </w:r>
      <w:r w:rsidR="00661EE7" w:rsidRPr="009E6200">
        <w:t xml:space="preserve"> </w:t>
      </w:r>
      <w:r w:rsidRPr="009E6200">
        <w:t>у пациентов</w:t>
      </w:r>
      <w:r w:rsidR="00075CD9" w:rsidRPr="009E6200">
        <w:t>,</w:t>
      </w:r>
      <w:r w:rsidR="00661EE7" w:rsidRPr="009E6200">
        <w:t xml:space="preserve"> </w:t>
      </w:r>
      <w:r w:rsidRPr="009E6200">
        <w:t>получавших</w:t>
      </w:r>
      <w:r w:rsidR="00661EE7" w:rsidRPr="009E6200">
        <w:t xml:space="preserve"> </w:t>
      </w:r>
      <w:r w:rsidRPr="009E6200">
        <w:t>Авастин</w:t>
      </w:r>
      <w:r w:rsidR="00121FA5" w:rsidRPr="009E6200">
        <w:rPr>
          <w:vertAlign w:val="superscript"/>
        </w:rPr>
        <w:t>®</w:t>
      </w:r>
      <w:r w:rsidR="00661EE7" w:rsidRPr="009E6200">
        <w:t xml:space="preserve"> </w:t>
      </w:r>
      <w:r w:rsidRPr="009E6200">
        <w:t>и</w:t>
      </w:r>
      <w:r w:rsidR="00661EE7" w:rsidRPr="009E6200">
        <w:t xml:space="preserve"> </w:t>
      </w:r>
      <w:r w:rsidRPr="009E6200">
        <w:t>химиотерапию,</w:t>
      </w:r>
      <w:r w:rsidR="00661EE7" w:rsidRPr="009E6200">
        <w:t xml:space="preserve"> </w:t>
      </w:r>
      <w:r w:rsidRPr="009E6200">
        <w:t>по</w:t>
      </w:r>
      <w:r w:rsidR="00661EE7" w:rsidRPr="009E6200">
        <w:t xml:space="preserve"> </w:t>
      </w:r>
      <w:r w:rsidRPr="009E6200">
        <w:t>сравнению</w:t>
      </w:r>
      <w:r w:rsidR="00661EE7" w:rsidRPr="009E6200">
        <w:t xml:space="preserve"> </w:t>
      </w:r>
      <w:r w:rsidRPr="009E6200">
        <w:t>2%</w:t>
      </w:r>
      <w:r w:rsidR="00661EE7" w:rsidRPr="009E6200">
        <w:t xml:space="preserve"> </w:t>
      </w:r>
      <w:r w:rsidRPr="009E6200">
        <w:t>венозных тромбоэмболий</w:t>
      </w:r>
      <w:r w:rsidR="00661EE7" w:rsidRPr="009E6200">
        <w:t xml:space="preserve"> </w:t>
      </w:r>
      <w:r w:rsidRPr="009E6200">
        <w:t>у</w:t>
      </w:r>
      <w:r w:rsidR="00661EE7" w:rsidRPr="009E6200">
        <w:t xml:space="preserve"> </w:t>
      </w:r>
      <w:r w:rsidRPr="009E6200">
        <w:t>пациентов</w:t>
      </w:r>
      <w:r w:rsidR="00075CD9" w:rsidRPr="009E6200">
        <w:t>,</w:t>
      </w:r>
      <w:r w:rsidR="00661EE7" w:rsidRPr="009E6200">
        <w:t xml:space="preserve"> </w:t>
      </w:r>
      <w:r w:rsidRPr="009E6200">
        <w:t>получавших</w:t>
      </w:r>
      <w:r w:rsidR="00661EE7" w:rsidRPr="009E6200">
        <w:t xml:space="preserve"> </w:t>
      </w:r>
      <w:r w:rsidRPr="009E6200">
        <w:t>только</w:t>
      </w:r>
      <w:r w:rsidR="00661EE7" w:rsidRPr="009E6200">
        <w:t xml:space="preserve"> </w:t>
      </w:r>
      <w:r w:rsidRPr="009E6200">
        <w:t>химиотерапию.</w:t>
      </w:r>
    </w:p>
    <w:p w14:paraId="775C63F9" w14:textId="77777777" w:rsidR="003C1EF6" w:rsidRPr="009E6200" w:rsidRDefault="003C1EF6" w:rsidP="007B46F5">
      <w:pPr>
        <w:pStyle w:val="SDText"/>
        <w:ind w:firstLine="709"/>
        <w:jc w:val="both"/>
      </w:pPr>
      <w:r w:rsidRPr="009E6200">
        <w:t>При возникновении случаев венозной тромбоэмболии 4 степени тяжести (включая случаи легочной эмболии) терапию препаратом RPH-001 следует прекратить.</w:t>
      </w:r>
    </w:p>
    <w:p w14:paraId="3996F162" w14:textId="77777777" w:rsidR="00577BCF" w:rsidRDefault="00577BCF" w:rsidP="007B46F5">
      <w:pPr>
        <w:pStyle w:val="SDText"/>
        <w:jc w:val="both"/>
        <w:rPr>
          <w:b/>
          <w:i/>
        </w:rPr>
      </w:pPr>
    </w:p>
    <w:p w14:paraId="2E742F4F" w14:textId="4BF60E7F" w:rsidR="003C1EF6" w:rsidRPr="009E6200" w:rsidRDefault="003C1EF6" w:rsidP="007B46F5">
      <w:pPr>
        <w:pStyle w:val="SDText"/>
        <w:jc w:val="both"/>
        <w:rPr>
          <w:b/>
          <w:i/>
        </w:rPr>
      </w:pPr>
      <w:r w:rsidRPr="009E6200">
        <w:rPr>
          <w:b/>
          <w:i/>
        </w:rPr>
        <w:t xml:space="preserve">Артериальная гипертензия </w:t>
      </w:r>
    </w:p>
    <w:p w14:paraId="3DB691AA" w14:textId="77777777" w:rsidR="00577BCF" w:rsidRDefault="00577BCF" w:rsidP="007B46F5">
      <w:pPr>
        <w:pStyle w:val="SDText"/>
        <w:ind w:firstLine="709"/>
        <w:jc w:val="both"/>
      </w:pPr>
    </w:p>
    <w:p w14:paraId="3A47BA3F" w14:textId="036B12A2" w:rsidR="003C1EF6" w:rsidRPr="009E6200" w:rsidRDefault="003C1EF6" w:rsidP="007B46F5">
      <w:pPr>
        <w:pStyle w:val="SDText"/>
        <w:ind w:firstLine="709"/>
        <w:jc w:val="both"/>
      </w:pPr>
      <w:r w:rsidRPr="009E6200">
        <w:t>У</w:t>
      </w:r>
      <w:r w:rsidR="00661EE7" w:rsidRPr="009E6200">
        <w:t xml:space="preserve"> </w:t>
      </w:r>
      <w:r w:rsidRPr="009E6200">
        <w:t>пациентов,</w:t>
      </w:r>
      <w:r w:rsidR="00661EE7" w:rsidRPr="009E6200">
        <w:t xml:space="preserve"> </w:t>
      </w:r>
      <w:r w:rsidRPr="009E6200">
        <w:t>получающих</w:t>
      </w:r>
      <w:r w:rsidR="00661EE7" w:rsidRPr="009E6200">
        <w:t xml:space="preserve"> </w:t>
      </w:r>
      <w:r w:rsidRPr="009E6200">
        <w:t>RPH-001,</w:t>
      </w:r>
      <w:r w:rsidR="00661EE7" w:rsidRPr="009E6200">
        <w:t xml:space="preserve"> </w:t>
      </w:r>
      <w:r w:rsidRPr="009E6200">
        <w:t>существует</w:t>
      </w:r>
      <w:r w:rsidR="00661EE7" w:rsidRPr="009E6200">
        <w:t xml:space="preserve"> </w:t>
      </w:r>
      <w:r w:rsidRPr="009E6200">
        <w:t>повышенный</w:t>
      </w:r>
      <w:r w:rsidR="00661EE7" w:rsidRPr="009E6200">
        <w:t xml:space="preserve"> </w:t>
      </w:r>
      <w:r w:rsidRPr="009E6200">
        <w:t>риск</w:t>
      </w:r>
      <w:r w:rsidR="00661EE7" w:rsidRPr="009E6200">
        <w:t xml:space="preserve"> </w:t>
      </w:r>
      <w:r w:rsidRPr="009E6200">
        <w:t>развития артериальной гипертензии.</w:t>
      </w:r>
    </w:p>
    <w:p w14:paraId="6CC0E6D7" w14:textId="77777777" w:rsidR="003C1EF6" w:rsidRPr="009E6200" w:rsidRDefault="003C1EF6" w:rsidP="007B46F5">
      <w:pPr>
        <w:pStyle w:val="SDText"/>
        <w:ind w:firstLine="709"/>
        <w:jc w:val="both"/>
      </w:pPr>
      <w:r w:rsidRPr="009E6200">
        <w:t>В</w:t>
      </w:r>
      <w:r w:rsidR="00661EE7" w:rsidRPr="009E6200">
        <w:t xml:space="preserve"> </w:t>
      </w:r>
      <w:r w:rsidRPr="009E6200">
        <w:t>группах</w:t>
      </w:r>
      <w:r w:rsidR="00661EE7" w:rsidRPr="009E6200">
        <w:t xml:space="preserve"> </w:t>
      </w:r>
      <w:r w:rsidRPr="009E6200">
        <w:t>пациентов,</w:t>
      </w:r>
      <w:r w:rsidR="00661EE7" w:rsidRPr="009E6200">
        <w:t xml:space="preserve"> </w:t>
      </w:r>
      <w:r w:rsidRPr="009E6200">
        <w:t>принимающих</w:t>
      </w:r>
      <w:r w:rsidR="00661EE7" w:rsidRPr="009E6200">
        <w:t xml:space="preserve"> </w:t>
      </w:r>
      <w:r w:rsidRPr="009E6200">
        <w:t>препарат</w:t>
      </w:r>
      <w:r w:rsidR="00661EE7" w:rsidRPr="009E6200">
        <w:t xml:space="preserve"> </w:t>
      </w:r>
      <w:r w:rsidRPr="009E6200">
        <w:t>Авастин</w:t>
      </w:r>
      <w:r w:rsidR="00121FA5" w:rsidRPr="009E6200">
        <w:rPr>
          <w:vertAlign w:val="superscript"/>
        </w:rPr>
        <w:t>®</w:t>
      </w:r>
      <w:r w:rsidR="00661EE7" w:rsidRPr="009E6200">
        <w:t xml:space="preserve"> </w:t>
      </w:r>
      <w:r w:rsidRPr="009E6200">
        <w:t>по</w:t>
      </w:r>
      <w:r w:rsidR="00661EE7" w:rsidRPr="009E6200">
        <w:t xml:space="preserve"> </w:t>
      </w:r>
      <w:r w:rsidRPr="009E6200">
        <w:t>различным показаниям, общая частота развития гипертензии 3 и 4 ст</w:t>
      </w:r>
      <w:r w:rsidR="007B6831" w:rsidRPr="009E6200">
        <w:t>епени тяжести составляла 5–18%.</w:t>
      </w:r>
    </w:p>
    <w:p w14:paraId="3F64ABC9" w14:textId="77777777" w:rsidR="003C1EF6" w:rsidRPr="009E6200" w:rsidRDefault="003C1EF6" w:rsidP="007B46F5">
      <w:pPr>
        <w:pStyle w:val="SDText"/>
        <w:ind w:firstLine="709"/>
        <w:jc w:val="both"/>
      </w:pPr>
      <w:r w:rsidRPr="009E6200">
        <w:t>При</w:t>
      </w:r>
      <w:r w:rsidR="00661EE7" w:rsidRPr="009E6200">
        <w:t xml:space="preserve"> </w:t>
      </w:r>
      <w:r w:rsidRPr="009E6200">
        <w:t>назначении</w:t>
      </w:r>
      <w:r w:rsidR="00661EE7" w:rsidRPr="009E6200">
        <w:t xml:space="preserve"> </w:t>
      </w:r>
      <w:r w:rsidRPr="009E6200">
        <w:t>препарата</w:t>
      </w:r>
      <w:r w:rsidR="00661EE7" w:rsidRPr="009E6200">
        <w:t xml:space="preserve"> </w:t>
      </w:r>
      <w:r w:rsidRPr="009E6200">
        <w:t>RPH-001</w:t>
      </w:r>
      <w:r w:rsidR="00661EE7" w:rsidRPr="009E6200">
        <w:t xml:space="preserve"> </w:t>
      </w:r>
      <w:r w:rsidRPr="009E6200">
        <w:t>необходимо</w:t>
      </w:r>
      <w:r w:rsidR="00661EE7" w:rsidRPr="009E6200">
        <w:t xml:space="preserve"> </w:t>
      </w:r>
      <w:r w:rsidRPr="009E6200">
        <w:t>проводить</w:t>
      </w:r>
      <w:r w:rsidR="00661EE7" w:rsidRPr="009E6200">
        <w:t xml:space="preserve"> </w:t>
      </w:r>
      <w:r w:rsidRPr="009E6200">
        <w:t>мониторинг АД</w:t>
      </w:r>
      <w:r w:rsidR="00661EE7" w:rsidRPr="009E6200">
        <w:t xml:space="preserve"> </w:t>
      </w:r>
      <w:r w:rsidRPr="009E6200">
        <w:t>каждые</w:t>
      </w:r>
      <w:r w:rsidR="00661EE7" w:rsidRPr="009E6200">
        <w:t xml:space="preserve"> </w:t>
      </w:r>
      <w:r w:rsidRPr="009E6200">
        <w:t>2–3</w:t>
      </w:r>
      <w:r w:rsidR="00661EE7" w:rsidRPr="009E6200">
        <w:t xml:space="preserve"> </w:t>
      </w:r>
      <w:r w:rsidRPr="009E6200">
        <w:t>недели</w:t>
      </w:r>
      <w:r w:rsidR="00661EE7" w:rsidRPr="009E6200">
        <w:t xml:space="preserve"> </w:t>
      </w:r>
      <w:r w:rsidRPr="009E6200">
        <w:t>и</w:t>
      </w:r>
      <w:r w:rsidR="00661EE7" w:rsidRPr="009E6200">
        <w:t xml:space="preserve"> </w:t>
      </w:r>
      <w:r w:rsidRPr="009E6200">
        <w:t>назначать</w:t>
      </w:r>
      <w:r w:rsidR="00661EE7" w:rsidRPr="009E6200">
        <w:t xml:space="preserve"> </w:t>
      </w:r>
      <w:r w:rsidRPr="009E6200">
        <w:t>соответствующую антигипертензивную терапию.</w:t>
      </w:r>
    </w:p>
    <w:p w14:paraId="141F043B" w14:textId="77777777" w:rsidR="003C1EF6" w:rsidRPr="009E6200" w:rsidRDefault="003C1EF6" w:rsidP="007B46F5">
      <w:pPr>
        <w:pStyle w:val="SDText"/>
        <w:ind w:firstLine="709"/>
        <w:jc w:val="both"/>
      </w:pPr>
      <w:r w:rsidRPr="009E6200">
        <w:t>В случаях развития артериальной гипертензии тяжелой степени, не поддающейся медикаментозной</w:t>
      </w:r>
      <w:r w:rsidR="00661EE7" w:rsidRPr="009E6200">
        <w:t xml:space="preserve"> </w:t>
      </w:r>
      <w:r w:rsidRPr="009E6200">
        <w:t>терапии,</w:t>
      </w:r>
      <w:r w:rsidR="00661EE7" w:rsidRPr="009E6200">
        <w:t xml:space="preserve"> </w:t>
      </w:r>
      <w:r w:rsidRPr="009E6200">
        <w:t>следует</w:t>
      </w:r>
      <w:r w:rsidR="00661EE7" w:rsidRPr="009E6200">
        <w:t xml:space="preserve"> </w:t>
      </w:r>
      <w:r w:rsidRPr="009E6200">
        <w:t>временно</w:t>
      </w:r>
      <w:r w:rsidR="00661EE7" w:rsidRPr="009E6200">
        <w:t xml:space="preserve"> </w:t>
      </w:r>
      <w:r w:rsidRPr="009E6200">
        <w:t>прекратить</w:t>
      </w:r>
      <w:r w:rsidR="00661EE7" w:rsidRPr="009E6200">
        <w:t xml:space="preserve"> </w:t>
      </w:r>
      <w:r w:rsidRPr="009E6200">
        <w:t>прием</w:t>
      </w:r>
      <w:r w:rsidR="00661EE7" w:rsidRPr="009E6200">
        <w:t xml:space="preserve"> </w:t>
      </w:r>
      <w:r w:rsidRPr="009E6200">
        <w:t>препарата.</w:t>
      </w:r>
      <w:r w:rsidR="00661EE7" w:rsidRPr="009E6200">
        <w:t xml:space="preserve"> </w:t>
      </w:r>
      <w:r w:rsidRPr="009E6200">
        <w:t>В случаях</w:t>
      </w:r>
      <w:r w:rsidR="00661EE7" w:rsidRPr="009E6200">
        <w:t xml:space="preserve"> </w:t>
      </w:r>
      <w:r w:rsidRPr="009E6200">
        <w:t>развития</w:t>
      </w:r>
      <w:r w:rsidR="00661EE7" w:rsidRPr="009E6200">
        <w:t xml:space="preserve"> </w:t>
      </w:r>
      <w:r w:rsidRPr="009E6200">
        <w:t>гипертонического</w:t>
      </w:r>
      <w:r w:rsidR="00661EE7" w:rsidRPr="009E6200">
        <w:t xml:space="preserve"> </w:t>
      </w:r>
      <w:r w:rsidRPr="009E6200">
        <w:t>криза</w:t>
      </w:r>
      <w:r w:rsidR="00661EE7" w:rsidRPr="009E6200">
        <w:t xml:space="preserve"> </w:t>
      </w:r>
      <w:r w:rsidRPr="009E6200">
        <w:t>или</w:t>
      </w:r>
      <w:r w:rsidR="00661EE7" w:rsidRPr="009E6200">
        <w:t xml:space="preserve"> </w:t>
      </w:r>
      <w:r w:rsidRPr="009E6200">
        <w:t>гипертензивной</w:t>
      </w:r>
      <w:r w:rsidR="00661EE7" w:rsidRPr="009E6200">
        <w:t xml:space="preserve"> </w:t>
      </w:r>
      <w:r w:rsidRPr="009E6200">
        <w:t>энцефалопатии необходимо от</w:t>
      </w:r>
      <w:r w:rsidR="007B6831" w:rsidRPr="009E6200">
        <w:t>менить прием препарата RPH-001.</w:t>
      </w:r>
    </w:p>
    <w:p w14:paraId="178618B3" w14:textId="77777777" w:rsidR="00577BCF" w:rsidRDefault="00577BCF" w:rsidP="007B46F5">
      <w:pPr>
        <w:pStyle w:val="SDText"/>
        <w:jc w:val="both"/>
        <w:rPr>
          <w:b/>
          <w:i/>
        </w:rPr>
      </w:pPr>
    </w:p>
    <w:p w14:paraId="04F2067B" w14:textId="258918B8" w:rsidR="003C1EF6" w:rsidRPr="009E6200" w:rsidRDefault="003C1EF6" w:rsidP="007B46F5">
      <w:pPr>
        <w:pStyle w:val="SDText"/>
        <w:jc w:val="both"/>
        <w:rPr>
          <w:b/>
          <w:i/>
        </w:rPr>
      </w:pPr>
      <w:r w:rsidRPr="009E6200">
        <w:rPr>
          <w:b/>
          <w:i/>
        </w:rPr>
        <w:t>Повреждение поч</w:t>
      </w:r>
      <w:r w:rsidR="007B6831" w:rsidRPr="009E6200">
        <w:rPr>
          <w:b/>
          <w:i/>
        </w:rPr>
        <w:t>ек и протеинурия</w:t>
      </w:r>
    </w:p>
    <w:p w14:paraId="4259600F" w14:textId="77777777" w:rsidR="00577BCF" w:rsidRDefault="00577BCF" w:rsidP="007B46F5">
      <w:pPr>
        <w:pStyle w:val="SDText"/>
        <w:jc w:val="both"/>
      </w:pPr>
    </w:p>
    <w:p w14:paraId="53EF5541" w14:textId="286EEBD0" w:rsidR="003C1EF6" w:rsidRPr="009E6200" w:rsidRDefault="003C1EF6" w:rsidP="007B46F5">
      <w:pPr>
        <w:pStyle w:val="SDText"/>
        <w:ind w:firstLine="709"/>
        <w:jc w:val="both"/>
      </w:pPr>
      <w:r w:rsidRPr="009E6200">
        <w:t>При приеме препарата RPH-001 повышается риск развития протеинурии.</w:t>
      </w:r>
    </w:p>
    <w:p w14:paraId="1FA67DC6" w14:textId="77777777" w:rsidR="003C1EF6" w:rsidRPr="009E6200" w:rsidRDefault="003C1EF6" w:rsidP="007B46F5">
      <w:pPr>
        <w:pStyle w:val="SDText"/>
        <w:ind w:firstLine="709"/>
        <w:jc w:val="both"/>
      </w:pPr>
      <w:r w:rsidRPr="009E6200">
        <w:t>У</w:t>
      </w:r>
      <w:r w:rsidR="00661EE7" w:rsidRPr="009E6200">
        <w:t xml:space="preserve"> </w:t>
      </w:r>
      <w:r w:rsidRPr="009E6200">
        <w:t>пациентов,</w:t>
      </w:r>
      <w:r w:rsidR="00661EE7" w:rsidRPr="009E6200">
        <w:t xml:space="preserve"> </w:t>
      </w:r>
      <w:r w:rsidRPr="009E6200">
        <w:t>получавших</w:t>
      </w:r>
      <w:r w:rsidR="00661EE7" w:rsidRPr="009E6200">
        <w:t xml:space="preserve"> </w:t>
      </w:r>
      <w:r w:rsidRPr="009E6200">
        <w:t>оригинальный</w:t>
      </w:r>
      <w:r w:rsidR="00661EE7" w:rsidRPr="009E6200">
        <w:t xml:space="preserve"> </w:t>
      </w:r>
      <w:r w:rsidRPr="009E6200">
        <w:t>препарат</w:t>
      </w:r>
      <w:r w:rsidR="00661EE7" w:rsidRPr="009E6200">
        <w:t xml:space="preserve"> </w:t>
      </w:r>
      <w:r w:rsidRPr="009E6200">
        <w:t>Авастин</w:t>
      </w:r>
      <w:r w:rsidR="00121FA5" w:rsidRPr="009E6200">
        <w:rPr>
          <w:vertAlign w:val="superscript"/>
        </w:rPr>
        <w:t>®</w:t>
      </w:r>
      <w:r w:rsidRPr="009E6200">
        <w:t>,</w:t>
      </w:r>
      <w:r w:rsidR="00661EE7" w:rsidRPr="009E6200">
        <w:t xml:space="preserve"> </w:t>
      </w:r>
      <w:r w:rsidRPr="009E6200">
        <w:t>нефротический синдром развивался в</w:t>
      </w:r>
      <w:r w:rsidR="00661EE7" w:rsidRPr="009E6200">
        <w:t xml:space="preserve"> </w:t>
      </w:r>
      <w:r w:rsidRPr="009E6200">
        <w:t>&lt;1% случаев, иногда заканчиваясь летальным исходом. По результатам</w:t>
      </w:r>
      <w:r w:rsidR="00661EE7" w:rsidRPr="009E6200">
        <w:t xml:space="preserve"> </w:t>
      </w:r>
      <w:r w:rsidRPr="009E6200">
        <w:t>опубликованных</w:t>
      </w:r>
      <w:r w:rsidR="00661EE7" w:rsidRPr="009E6200">
        <w:t xml:space="preserve"> </w:t>
      </w:r>
      <w:r w:rsidRPr="009E6200">
        <w:t>данных</w:t>
      </w:r>
      <w:r w:rsidR="00661EE7" w:rsidRPr="009E6200">
        <w:t xml:space="preserve"> </w:t>
      </w:r>
      <w:r w:rsidRPr="009E6200">
        <w:t>в</w:t>
      </w:r>
      <w:r w:rsidR="00661EE7" w:rsidRPr="009E6200">
        <w:t xml:space="preserve"> </w:t>
      </w:r>
      <w:r w:rsidRPr="009E6200">
        <w:t>биопсиях</w:t>
      </w:r>
      <w:r w:rsidR="00661EE7" w:rsidRPr="009E6200">
        <w:t xml:space="preserve"> </w:t>
      </w:r>
      <w:r w:rsidRPr="009E6200">
        <w:t>6</w:t>
      </w:r>
      <w:r w:rsidR="00661EE7" w:rsidRPr="009E6200">
        <w:t xml:space="preserve"> </w:t>
      </w:r>
      <w:r w:rsidRPr="009E6200">
        <w:t>пациентов</w:t>
      </w:r>
      <w:r w:rsidR="00661EE7" w:rsidRPr="009E6200">
        <w:t xml:space="preserve"> </w:t>
      </w:r>
      <w:r w:rsidRPr="009E6200">
        <w:t>с</w:t>
      </w:r>
      <w:r w:rsidR="00661EE7" w:rsidRPr="009E6200">
        <w:t xml:space="preserve"> </w:t>
      </w:r>
      <w:r w:rsidRPr="009E6200">
        <w:t>протеинурией выявлена тромботическая ангиопатия.</w:t>
      </w:r>
    </w:p>
    <w:p w14:paraId="5133E2A1" w14:textId="77777777" w:rsidR="003C1EF6" w:rsidRPr="009E6200" w:rsidRDefault="003C1EF6" w:rsidP="007B46F5">
      <w:pPr>
        <w:pStyle w:val="SDText"/>
        <w:ind w:firstLine="709"/>
        <w:jc w:val="both"/>
      </w:pPr>
      <w:r w:rsidRPr="009E6200">
        <w:t>Во</w:t>
      </w:r>
      <w:r w:rsidR="00661EE7" w:rsidRPr="009E6200">
        <w:t xml:space="preserve"> </w:t>
      </w:r>
      <w:r w:rsidRPr="009E6200">
        <w:t>время</w:t>
      </w:r>
      <w:r w:rsidR="00661EE7" w:rsidRPr="009E6200">
        <w:t xml:space="preserve"> </w:t>
      </w:r>
      <w:r w:rsidRPr="009E6200">
        <w:t>терапии</w:t>
      </w:r>
      <w:r w:rsidR="00661EE7" w:rsidRPr="009E6200">
        <w:t xml:space="preserve"> </w:t>
      </w:r>
      <w:r w:rsidRPr="009E6200">
        <w:t>препаратом</w:t>
      </w:r>
      <w:r w:rsidR="00661EE7" w:rsidRPr="009E6200">
        <w:t xml:space="preserve"> </w:t>
      </w:r>
      <w:r w:rsidRPr="009E6200">
        <w:t>RPH-001</w:t>
      </w:r>
      <w:r w:rsidR="00661EE7" w:rsidRPr="009E6200">
        <w:t xml:space="preserve"> </w:t>
      </w:r>
      <w:r w:rsidRPr="009E6200">
        <w:t>необходимо</w:t>
      </w:r>
      <w:r w:rsidR="00661EE7" w:rsidRPr="009E6200">
        <w:t xml:space="preserve"> </w:t>
      </w:r>
      <w:r w:rsidRPr="009E6200">
        <w:t>проводить</w:t>
      </w:r>
      <w:r w:rsidR="00661EE7" w:rsidRPr="009E6200">
        <w:t xml:space="preserve"> </w:t>
      </w:r>
      <w:r w:rsidRPr="009E6200">
        <w:t>мониторинг протеинурии,</w:t>
      </w:r>
      <w:r w:rsidR="00661EE7" w:rsidRPr="009E6200">
        <w:t xml:space="preserve"> </w:t>
      </w:r>
      <w:r w:rsidRPr="009E6200">
        <w:t>а</w:t>
      </w:r>
      <w:r w:rsidR="00661EE7" w:rsidRPr="009E6200">
        <w:t xml:space="preserve"> </w:t>
      </w:r>
      <w:r w:rsidRPr="009E6200">
        <w:t>в</w:t>
      </w:r>
      <w:r w:rsidR="00661EE7" w:rsidRPr="009E6200">
        <w:t xml:space="preserve"> </w:t>
      </w:r>
      <w:r w:rsidRPr="009E6200">
        <w:t>подозрительных</w:t>
      </w:r>
      <w:r w:rsidR="00661EE7" w:rsidRPr="009E6200">
        <w:t xml:space="preserve"> </w:t>
      </w:r>
      <w:r w:rsidRPr="009E6200">
        <w:t>случаях</w:t>
      </w:r>
      <w:r w:rsidR="00661EE7" w:rsidRPr="009E6200">
        <w:t xml:space="preserve"> </w:t>
      </w:r>
      <w:r w:rsidRPr="009E6200">
        <w:t>провести</w:t>
      </w:r>
      <w:r w:rsidR="00661EE7" w:rsidRPr="009E6200">
        <w:t xml:space="preserve"> </w:t>
      </w:r>
      <w:r w:rsidRPr="009E6200">
        <w:t>суточный</w:t>
      </w:r>
      <w:r w:rsidR="00661EE7" w:rsidRPr="009E6200">
        <w:t xml:space="preserve"> </w:t>
      </w:r>
      <w:r w:rsidRPr="009E6200">
        <w:t>мониторинг протеинурии.</w:t>
      </w:r>
      <w:r w:rsidR="00661EE7" w:rsidRPr="009E6200">
        <w:t xml:space="preserve"> </w:t>
      </w:r>
      <w:r w:rsidRPr="009E6200">
        <w:t>В</w:t>
      </w:r>
      <w:r w:rsidR="00661EE7" w:rsidRPr="009E6200">
        <w:t xml:space="preserve"> </w:t>
      </w:r>
      <w:r w:rsidRPr="009E6200">
        <w:t>случае</w:t>
      </w:r>
      <w:r w:rsidR="00661EE7" w:rsidRPr="009E6200">
        <w:t xml:space="preserve"> </w:t>
      </w:r>
      <w:r w:rsidRPr="009E6200">
        <w:t>развития</w:t>
      </w:r>
      <w:r w:rsidR="00661EE7" w:rsidRPr="009E6200">
        <w:t xml:space="preserve"> </w:t>
      </w:r>
      <w:r w:rsidRPr="009E6200">
        <w:t>протеинурии</w:t>
      </w:r>
      <w:r w:rsidR="00661EE7" w:rsidRPr="009E6200">
        <w:t xml:space="preserve"> </w:t>
      </w:r>
      <w:r w:rsidRPr="009E6200">
        <w:t>&gt; 2</w:t>
      </w:r>
      <w:r w:rsidR="00661EE7" w:rsidRPr="009E6200">
        <w:t xml:space="preserve"> </w:t>
      </w:r>
      <w:r w:rsidR="00425A6C" w:rsidRPr="009E6200">
        <w:t>г/сут</w:t>
      </w:r>
      <w:r w:rsidR="00661EE7" w:rsidRPr="009E6200">
        <w:t xml:space="preserve"> </w:t>
      </w:r>
      <w:r w:rsidRPr="009E6200">
        <w:t>необходимо</w:t>
      </w:r>
      <w:r w:rsidR="00661EE7" w:rsidRPr="009E6200">
        <w:t xml:space="preserve"> </w:t>
      </w:r>
      <w:r w:rsidRPr="009E6200">
        <w:t>временно прекратить</w:t>
      </w:r>
      <w:r w:rsidR="00661EE7" w:rsidRPr="009E6200">
        <w:t xml:space="preserve"> </w:t>
      </w:r>
      <w:r w:rsidRPr="009E6200">
        <w:t>прием</w:t>
      </w:r>
      <w:r w:rsidR="00661EE7" w:rsidRPr="009E6200">
        <w:t xml:space="preserve"> </w:t>
      </w:r>
      <w:r w:rsidRPr="009E6200">
        <w:t>препарата</w:t>
      </w:r>
      <w:r w:rsidR="00661EE7" w:rsidRPr="009E6200">
        <w:t xml:space="preserve"> </w:t>
      </w:r>
      <w:r w:rsidRPr="009E6200">
        <w:t>до</w:t>
      </w:r>
      <w:r w:rsidR="00661EE7" w:rsidRPr="009E6200">
        <w:t xml:space="preserve"> </w:t>
      </w:r>
      <w:r w:rsidRPr="009E6200">
        <w:t>нормализации</w:t>
      </w:r>
      <w:r w:rsidR="00661EE7" w:rsidRPr="009E6200">
        <w:t xml:space="preserve"> </w:t>
      </w:r>
      <w:r w:rsidRPr="009E6200">
        <w:t>уровня</w:t>
      </w:r>
      <w:r w:rsidR="00661EE7" w:rsidRPr="009E6200">
        <w:t xml:space="preserve"> </w:t>
      </w:r>
      <w:r w:rsidRPr="009E6200">
        <w:t>протеинурии</w:t>
      </w:r>
      <w:r w:rsidR="00661EE7" w:rsidRPr="009E6200">
        <w:t xml:space="preserve"> </w:t>
      </w:r>
      <w:r w:rsidRPr="009E6200">
        <w:t>&lt; 2</w:t>
      </w:r>
      <w:r w:rsidR="00661EE7" w:rsidRPr="009E6200">
        <w:t xml:space="preserve"> </w:t>
      </w:r>
      <w:r w:rsidRPr="009E6200">
        <w:t>г/сут. Следует отменить препарат у пациентов с раз</w:t>
      </w:r>
      <w:r w:rsidR="007B6831" w:rsidRPr="009E6200">
        <w:t>витием нефротического синдрома.</w:t>
      </w:r>
    </w:p>
    <w:p w14:paraId="2C01E44A" w14:textId="77777777" w:rsidR="00577BCF" w:rsidRDefault="00577BCF" w:rsidP="007B46F5">
      <w:pPr>
        <w:pStyle w:val="SDText"/>
        <w:jc w:val="both"/>
        <w:rPr>
          <w:b/>
          <w:i/>
        </w:rPr>
      </w:pPr>
    </w:p>
    <w:p w14:paraId="4E8A2230" w14:textId="450355DD" w:rsidR="003C1EF6" w:rsidRPr="009E6200" w:rsidRDefault="003C1EF6" w:rsidP="007B46F5">
      <w:pPr>
        <w:pStyle w:val="SDText"/>
        <w:jc w:val="both"/>
        <w:rPr>
          <w:b/>
          <w:i/>
        </w:rPr>
      </w:pPr>
      <w:r w:rsidRPr="009E6200">
        <w:rPr>
          <w:b/>
          <w:i/>
        </w:rPr>
        <w:t>Синдром задней обратимой энцефалопатии</w:t>
      </w:r>
    </w:p>
    <w:p w14:paraId="6A8BADAA" w14:textId="77777777" w:rsidR="00577BCF" w:rsidRDefault="00577BCF" w:rsidP="007B46F5">
      <w:pPr>
        <w:pStyle w:val="SDText"/>
        <w:jc w:val="both"/>
      </w:pPr>
    </w:p>
    <w:p w14:paraId="244E7444" w14:textId="35DFECC9" w:rsidR="003C1EF6" w:rsidRPr="009E6200" w:rsidRDefault="003C1EF6" w:rsidP="007B46F5">
      <w:pPr>
        <w:pStyle w:val="SDText"/>
        <w:ind w:firstLine="709"/>
        <w:jc w:val="both"/>
      </w:pPr>
      <w:r w:rsidRPr="009E6200">
        <w:t>При</w:t>
      </w:r>
      <w:r w:rsidR="00661EE7" w:rsidRPr="009E6200">
        <w:t xml:space="preserve"> </w:t>
      </w:r>
      <w:r w:rsidRPr="009E6200">
        <w:t>терапии</w:t>
      </w:r>
      <w:r w:rsidR="00661EE7" w:rsidRPr="009E6200">
        <w:t xml:space="preserve"> </w:t>
      </w:r>
      <w:r w:rsidRPr="009E6200">
        <w:t>препаратом</w:t>
      </w:r>
      <w:r w:rsidR="00661EE7" w:rsidRPr="009E6200">
        <w:t xml:space="preserve"> </w:t>
      </w:r>
      <w:r w:rsidRPr="009E6200">
        <w:t>RPH-001</w:t>
      </w:r>
      <w:r w:rsidR="00661EE7" w:rsidRPr="009E6200">
        <w:t xml:space="preserve"> </w:t>
      </w:r>
      <w:r w:rsidRPr="009E6200">
        <w:t>повышается</w:t>
      </w:r>
      <w:r w:rsidR="00661EE7" w:rsidRPr="009E6200">
        <w:t xml:space="preserve"> </w:t>
      </w:r>
      <w:r w:rsidRPr="009E6200">
        <w:t>риск</w:t>
      </w:r>
      <w:r w:rsidR="00661EE7" w:rsidRPr="009E6200">
        <w:t xml:space="preserve"> </w:t>
      </w:r>
      <w:r w:rsidRPr="009E6200">
        <w:t>развития</w:t>
      </w:r>
      <w:r w:rsidR="00661EE7" w:rsidRPr="009E6200">
        <w:t xml:space="preserve"> </w:t>
      </w:r>
      <w:r w:rsidRPr="009E6200">
        <w:t>СЗОЭ.</w:t>
      </w:r>
    </w:p>
    <w:p w14:paraId="70CF0C99" w14:textId="233A5DDB" w:rsidR="003C1EF6" w:rsidRPr="009E6200" w:rsidRDefault="003C1EF6" w:rsidP="007B46F5">
      <w:pPr>
        <w:pStyle w:val="SDText"/>
        <w:ind w:firstLine="709"/>
        <w:jc w:val="both"/>
      </w:pPr>
      <w:r w:rsidRPr="009E6200">
        <w:t>В</w:t>
      </w:r>
      <w:r w:rsidR="00661EE7" w:rsidRPr="009E6200">
        <w:t xml:space="preserve"> </w:t>
      </w:r>
      <w:r w:rsidRPr="009E6200">
        <w:t>клинических</w:t>
      </w:r>
      <w:r w:rsidR="00661EE7" w:rsidRPr="009E6200">
        <w:t xml:space="preserve"> </w:t>
      </w:r>
      <w:r w:rsidRPr="009E6200">
        <w:t>исследованиях</w:t>
      </w:r>
      <w:r w:rsidR="00661EE7" w:rsidRPr="009E6200">
        <w:t xml:space="preserve"> </w:t>
      </w:r>
      <w:r w:rsidRPr="009E6200">
        <w:t>с</w:t>
      </w:r>
      <w:r w:rsidR="00661EE7" w:rsidRPr="009E6200">
        <w:t xml:space="preserve"> </w:t>
      </w:r>
      <w:r w:rsidRPr="009E6200">
        <w:t>использованием</w:t>
      </w:r>
      <w:r w:rsidR="00661EE7" w:rsidRPr="009E6200">
        <w:t xml:space="preserve"> </w:t>
      </w:r>
      <w:r w:rsidRPr="009E6200">
        <w:t>Авастина</w:t>
      </w:r>
      <w:r w:rsidR="00121FA5" w:rsidRPr="009E6200">
        <w:rPr>
          <w:vertAlign w:val="superscript"/>
        </w:rPr>
        <w:t>®</w:t>
      </w:r>
      <w:r w:rsidR="00661EE7" w:rsidRPr="009E6200">
        <w:t xml:space="preserve"> </w:t>
      </w:r>
      <w:r w:rsidRPr="009E6200">
        <w:t>отмечена</w:t>
      </w:r>
      <w:r w:rsidR="00661EE7" w:rsidRPr="009E6200">
        <w:t xml:space="preserve"> </w:t>
      </w:r>
      <w:r w:rsidRPr="009E6200">
        <w:t>частота развития СЗОЭ &lt;</w:t>
      </w:r>
      <w:r w:rsidR="00EE6A55" w:rsidRPr="009E6200">
        <w:t xml:space="preserve"> </w:t>
      </w:r>
      <w:r w:rsidR="0024542E">
        <w:t>0,1%. На фоне терапии Авастин</w:t>
      </w:r>
      <w:r w:rsidR="00121FA5" w:rsidRPr="009E6200">
        <w:rPr>
          <w:vertAlign w:val="superscript"/>
        </w:rPr>
        <w:t>®</w:t>
      </w:r>
      <w:r w:rsidRPr="009E6200">
        <w:t xml:space="preserve"> симптомы развивались от 16 ч</w:t>
      </w:r>
      <w:r w:rsidR="00661EE7" w:rsidRPr="009E6200">
        <w:t xml:space="preserve"> </w:t>
      </w:r>
      <w:r w:rsidRPr="009E6200">
        <w:t>до</w:t>
      </w:r>
      <w:r w:rsidR="00661EE7" w:rsidRPr="009E6200">
        <w:t xml:space="preserve"> </w:t>
      </w:r>
      <w:r w:rsidRPr="009E6200">
        <w:t>1</w:t>
      </w:r>
      <w:r w:rsidR="00661EE7" w:rsidRPr="009E6200">
        <w:t xml:space="preserve"> </w:t>
      </w:r>
      <w:r w:rsidRPr="009E6200">
        <w:t>года</w:t>
      </w:r>
      <w:r w:rsidR="00661EE7" w:rsidRPr="009E6200">
        <w:t xml:space="preserve"> </w:t>
      </w:r>
      <w:r w:rsidRPr="009E6200">
        <w:t>после</w:t>
      </w:r>
      <w:r w:rsidR="00661EE7" w:rsidRPr="009E6200">
        <w:t xml:space="preserve"> </w:t>
      </w:r>
      <w:r w:rsidRPr="009E6200">
        <w:t>первого</w:t>
      </w:r>
      <w:r w:rsidR="00661EE7" w:rsidRPr="009E6200">
        <w:t xml:space="preserve"> </w:t>
      </w:r>
      <w:r w:rsidRPr="009E6200">
        <w:t>введения</w:t>
      </w:r>
      <w:r w:rsidR="00661EE7" w:rsidRPr="009E6200">
        <w:t xml:space="preserve"> </w:t>
      </w:r>
      <w:r w:rsidRPr="009E6200">
        <w:t>препарата.</w:t>
      </w:r>
      <w:r w:rsidR="00661EE7" w:rsidRPr="009E6200">
        <w:t xml:space="preserve"> </w:t>
      </w:r>
      <w:r w:rsidRPr="009E6200">
        <w:t>СЗОЭ</w:t>
      </w:r>
      <w:r w:rsidR="00661EE7" w:rsidRPr="009E6200">
        <w:t xml:space="preserve"> </w:t>
      </w:r>
      <w:r w:rsidRPr="009E6200">
        <w:t>является неврологическим</w:t>
      </w:r>
      <w:r w:rsidR="00661EE7" w:rsidRPr="009E6200">
        <w:t xml:space="preserve"> </w:t>
      </w:r>
      <w:r w:rsidRPr="009E6200">
        <w:t>заболеванием</w:t>
      </w:r>
      <w:r w:rsidR="00661EE7" w:rsidRPr="009E6200">
        <w:t xml:space="preserve"> </w:t>
      </w:r>
      <w:r w:rsidRPr="009E6200">
        <w:t>и</w:t>
      </w:r>
      <w:r w:rsidR="00661EE7" w:rsidRPr="009E6200">
        <w:t xml:space="preserve"> </w:t>
      </w:r>
      <w:r w:rsidRPr="009E6200">
        <w:t>проявляется</w:t>
      </w:r>
      <w:r w:rsidR="00661EE7" w:rsidRPr="009E6200">
        <w:t xml:space="preserve"> </w:t>
      </w:r>
      <w:r w:rsidRPr="009E6200">
        <w:t>симптомами:</w:t>
      </w:r>
      <w:r w:rsidR="00661EE7" w:rsidRPr="009E6200">
        <w:t xml:space="preserve"> </w:t>
      </w:r>
      <w:r w:rsidRPr="009E6200">
        <w:t>головной</w:t>
      </w:r>
      <w:r w:rsidR="00661EE7" w:rsidRPr="009E6200">
        <w:t xml:space="preserve"> </w:t>
      </w:r>
      <w:r w:rsidRPr="009E6200">
        <w:t>болью,</w:t>
      </w:r>
      <w:r w:rsidR="00EE6A55" w:rsidRPr="009E6200">
        <w:t xml:space="preserve"> </w:t>
      </w:r>
      <w:r w:rsidRPr="009E6200">
        <w:t>судорогами,</w:t>
      </w:r>
      <w:r w:rsidR="00661EE7" w:rsidRPr="009E6200">
        <w:t xml:space="preserve"> </w:t>
      </w:r>
      <w:r w:rsidRPr="009E6200">
        <w:t>сонливостью,</w:t>
      </w:r>
      <w:r w:rsidR="00661EE7" w:rsidRPr="009E6200">
        <w:t xml:space="preserve"> </w:t>
      </w:r>
      <w:r w:rsidRPr="009E6200">
        <w:t>спутанностью</w:t>
      </w:r>
      <w:r w:rsidR="00661EE7" w:rsidRPr="009E6200">
        <w:t xml:space="preserve"> </w:t>
      </w:r>
      <w:r w:rsidRPr="009E6200">
        <w:t>сознания,</w:t>
      </w:r>
      <w:r w:rsidR="00661EE7" w:rsidRPr="009E6200">
        <w:t xml:space="preserve"> </w:t>
      </w:r>
      <w:r w:rsidRPr="009E6200">
        <w:t>слепотой,</w:t>
      </w:r>
      <w:r w:rsidR="00661EE7" w:rsidRPr="009E6200">
        <w:t xml:space="preserve"> </w:t>
      </w:r>
      <w:r w:rsidRPr="009E6200">
        <w:t>артериальной гипертензией</w:t>
      </w:r>
      <w:r w:rsidR="00661EE7" w:rsidRPr="009E6200">
        <w:t xml:space="preserve"> </w:t>
      </w:r>
      <w:r w:rsidRPr="009E6200">
        <w:t>2</w:t>
      </w:r>
      <w:r w:rsidR="00EE6A55" w:rsidRPr="009E6200">
        <w:t>–</w:t>
      </w:r>
      <w:r w:rsidRPr="009E6200">
        <w:t>3</w:t>
      </w:r>
      <w:r w:rsidR="00661EE7" w:rsidRPr="009E6200">
        <w:t xml:space="preserve"> </w:t>
      </w:r>
      <w:r w:rsidRPr="009E6200">
        <w:t>степени</w:t>
      </w:r>
      <w:r w:rsidR="00661EE7" w:rsidRPr="009E6200">
        <w:t xml:space="preserve"> </w:t>
      </w:r>
      <w:r w:rsidRPr="009E6200">
        <w:t>тяжести</w:t>
      </w:r>
      <w:r w:rsidR="00661EE7" w:rsidRPr="009E6200">
        <w:t xml:space="preserve"> </w:t>
      </w:r>
      <w:r w:rsidRPr="009E6200">
        <w:t>и</w:t>
      </w:r>
      <w:r w:rsidR="00661EE7" w:rsidRPr="009E6200">
        <w:t xml:space="preserve"> </w:t>
      </w:r>
      <w:r w:rsidRPr="009E6200">
        <w:t>другими</w:t>
      </w:r>
      <w:r w:rsidR="00661EE7" w:rsidRPr="009E6200">
        <w:t xml:space="preserve"> </w:t>
      </w:r>
      <w:r w:rsidRPr="009E6200">
        <w:t>зрительными</w:t>
      </w:r>
      <w:r w:rsidR="00661EE7" w:rsidRPr="009E6200">
        <w:t xml:space="preserve"> </w:t>
      </w:r>
      <w:r w:rsidRPr="009E6200">
        <w:t>и</w:t>
      </w:r>
      <w:r w:rsidR="00661EE7" w:rsidRPr="009E6200">
        <w:t xml:space="preserve"> </w:t>
      </w:r>
      <w:r w:rsidRPr="009E6200">
        <w:t>неврологическими нарушениями.</w:t>
      </w:r>
    </w:p>
    <w:p w14:paraId="522336C0" w14:textId="77777777" w:rsidR="003C1EF6" w:rsidRPr="009E6200" w:rsidRDefault="003C1EF6" w:rsidP="007B46F5">
      <w:pPr>
        <w:pStyle w:val="SDText"/>
        <w:ind w:firstLine="709"/>
        <w:jc w:val="both"/>
      </w:pPr>
      <w:r w:rsidRPr="009E6200">
        <w:t>Для подтверждения диагноза СЗОЭ необходимо провести МРТ головного мозга. В случае</w:t>
      </w:r>
      <w:r w:rsidR="00661EE7" w:rsidRPr="009E6200">
        <w:t xml:space="preserve"> </w:t>
      </w:r>
      <w:r w:rsidRPr="009E6200">
        <w:t>подтвержденного</w:t>
      </w:r>
      <w:r w:rsidR="00661EE7" w:rsidRPr="009E6200">
        <w:t xml:space="preserve"> </w:t>
      </w:r>
      <w:r w:rsidRPr="009E6200">
        <w:t>диагноза</w:t>
      </w:r>
      <w:r w:rsidR="00661EE7" w:rsidRPr="009E6200">
        <w:t xml:space="preserve"> </w:t>
      </w:r>
      <w:r w:rsidRPr="009E6200">
        <w:t>СЗОЭ</w:t>
      </w:r>
      <w:r w:rsidR="00661EE7" w:rsidRPr="009E6200">
        <w:t xml:space="preserve"> </w:t>
      </w:r>
      <w:r w:rsidRPr="009E6200">
        <w:t>следует</w:t>
      </w:r>
      <w:r w:rsidR="00661EE7" w:rsidRPr="009E6200">
        <w:t xml:space="preserve"> </w:t>
      </w:r>
      <w:r w:rsidRPr="009E6200">
        <w:t>отменить</w:t>
      </w:r>
      <w:r w:rsidR="00661EE7" w:rsidRPr="009E6200">
        <w:t xml:space="preserve"> </w:t>
      </w:r>
      <w:r w:rsidRPr="009E6200">
        <w:t>препарат</w:t>
      </w:r>
      <w:r w:rsidR="00661EE7" w:rsidRPr="009E6200">
        <w:t xml:space="preserve"> </w:t>
      </w:r>
      <w:r w:rsidRPr="009E6200">
        <w:t>RPH-001. Симптомы</w:t>
      </w:r>
      <w:r w:rsidR="00661EE7" w:rsidRPr="009E6200">
        <w:t xml:space="preserve"> </w:t>
      </w:r>
      <w:r w:rsidRPr="009E6200">
        <w:t>СЗОЭ</w:t>
      </w:r>
      <w:r w:rsidR="00661EE7" w:rsidRPr="009E6200">
        <w:t xml:space="preserve"> </w:t>
      </w:r>
      <w:r w:rsidRPr="009E6200">
        <w:t>обычно</w:t>
      </w:r>
      <w:r w:rsidR="00661EE7" w:rsidRPr="009E6200">
        <w:t xml:space="preserve"> </w:t>
      </w:r>
      <w:r w:rsidRPr="009E6200">
        <w:t>исчезают</w:t>
      </w:r>
      <w:r w:rsidR="00661EE7" w:rsidRPr="009E6200">
        <w:t xml:space="preserve"> </w:t>
      </w:r>
      <w:r w:rsidRPr="009E6200">
        <w:t>или</w:t>
      </w:r>
      <w:r w:rsidR="00661EE7" w:rsidRPr="009E6200">
        <w:t xml:space="preserve"> </w:t>
      </w:r>
      <w:r w:rsidRPr="009E6200">
        <w:t>состояние</w:t>
      </w:r>
      <w:r w:rsidR="00661EE7" w:rsidRPr="009E6200">
        <w:t xml:space="preserve"> </w:t>
      </w:r>
      <w:r w:rsidRPr="009E6200">
        <w:t>улучшается</w:t>
      </w:r>
      <w:r w:rsidR="00661EE7" w:rsidRPr="009E6200">
        <w:t xml:space="preserve"> </w:t>
      </w:r>
      <w:r w:rsidRPr="009E6200">
        <w:t>спустя</w:t>
      </w:r>
      <w:r w:rsidR="00661EE7" w:rsidRPr="009E6200">
        <w:t xml:space="preserve"> </w:t>
      </w:r>
      <w:r w:rsidRPr="009E6200">
        <w:t>несколько дней.</w:t>
      </w:r>
      <w:r w:rsidR="00661EE7" w:rsidRPr="009E6200">
        <w:t xml:space="preserve"> </w:t>
      </w:r>
      <w:r w:rsidRPr="009E6200">
        <w:t>Безопасность</w:t>
      </w:r>
      <w:r w:rsidR="00661EE7" w:rsidRPr="009E6200">
        <w:t xml:space="preserve"> </w:t>
      </w:r>
      <w:r w:rsidRPr="009E6200">
        <w:t>повторного</w:t>
      </w:r>
      <w:r w:rsidR="00661EE7" w:rsidRPr="009E6200">
        <w:t xml:space="preserve"> </w:t>
      </w:r>
      <w:r w:rsidRPr="009E6200">
        <w:t>назначения</w:t>
      </w:r>
      <w:r w:rsidR="00661EE7" w:rsidRPr="009E6200">
        <w:t xml:space="preserve"> </w:t>
      </w:r>
      <w:r w:rsidRPr="009E6200">
        <w:t>препарата</w:t>
      </w:r>
      <w:r w:rsidR="00661EE7" w:rsidRPr="009E6200">
        <w:t xml:space="preserve"> </w:t>
      </w:r>
      <w:r w:rsidRPr="009E6200">
        <w:t>у</w:t>
      </w:r>
      <w:r w:rsidR="00661EE7" w:rsidRPr="009E6200">
        <w:t xml:space="preserve"> </w:t>
      </w:r>
      <w:r w:rsidRPr="009E6200">
        <w:t>таких</w:t>
      </w:r>
      <w:r w:rsidR="00661EE7" w:rsidRPr="009E6200">
        <w:t xml:space="preserve"> </w:t>
      </w:r>
      <w:r w:rsidRPr="009E6200">
        <w:t>пациентов</w:t>
      </w:r>
      <w:r w:rsidR="00661EE7" w:rsidRPr="009E6200">
        <w:t xml:space="preserve"> </w:t>
      </w:r>
      <w:r w:rsidRPr="009E6200">
        <w:t>не устан</w:t>
      </w:r>
      <w:r w:rsidR="007B6831" w:rsidRPr="009E6200">
        <w:t>овлена.</w:t>
      </w:r>
    </w:p>
    <w:p w14:paraId="2A6D1CB5" w14:textId="77777777" w:rsidR="00577BCF" w:rsidRDefault="00577BCF" w:rsidP="007B46F5">
      <w:pPr>
        <w:pStyle w:val="SDText"/>
        <w:jc w:val="both"/>
        <w:rPr>
          <w:b/>
          <w:i/>
        </w:rPr>
      </w:pPr>
    </w:p>
    <w:p w14:paraId="2BF8569E" w14:textId="3E85B492" w:rsidR="003C1EF6" w:rsidRPr="009E6200" w:rsidRDefault="003C1EF6" w:rsidP="007B46F5">
      <w:pPr>
        <w:pStyle w:val="SDText"/>
        <w:jc w:val="both"/>
        <w:rPr>
          <w:b/>
          <w:i/>
        </w:rPr>
      </w:pPr>
      <w:r w:rsidRPr="009E6200">
        <w:rPr>
          <w:b/>
          <w:i/>
        </w:rPr>
        <w:t xml:space="preserve">Реакции на введение препарата </w:t>
      </w:r>
    </w:p>
    <w:p w14:paraId="1F395A1C" w14:textId="77777777" w:rsidR="00577BCF" w:rsidRDefault="00577BCF" w:rsidP="007B46F5">
      <w:pPr>
        <w:pStyle w:val="SDText"/>
        <w:ind w:firstLine="709"/>
        <w:jc w:val="both"/>
      </w:pPr>
    </w:p>
    <w:p w14:paraId="711FB054" w14:textId="1D31EC0C" w:rsidR="00EE6A55" w:rsidRPr="009E6200" w:rsidRDefault="003C1EF6" w:rsidP="007B46F5">
      <w:pPr>
        <w:pStyle w:val="SDText"/>
        <w:ind w:firstLine="709"/>
        <w:jc w:val="both"/>
      </w:pPr>
      <w:r w:rsidRPr="009E6200">
        <w:t>При приеме RPH-001 возможно развитие реакций на введение препарата. Реакции</w:t>
      </w:r>
      <w:r w:rsidR="00661EE7" w:rsidRPr="009E6200">
        <w:t xml:space="preserve"> </w:t>
      </w:r>
      <w:r w:rsidRPr="009E6200">
        <w:t>на</w:t>
      </w:r>
      <w:r w:rsidR="00661EE7" w:rsidRPr="009E6200">
        <w:t xml:space="preserve"> </w:t>
      </w:r>
      <w:r w:rsidRPr="009E6200">
        <w:t>введение</w:t>
      </w:r>
      <w:r w:rsidR="00661EE7" w:rsidRPr="009E6200">
        <w:t xml:space="preserve"> </w:t>
      </w:r>
      <w:r w:rsidRPr="009E6200">
        <w:t>препарата</w:t>
      </w:r>
      <w:r w:rsidR="00661EE7" w:rsidRPr="009E6200">
        <w:t xml:space="preserve"> </w:t>
      </w:r>
      <w:r w:rsidRPr="009E6200">
        <w:t>могут</w:t>
      </w:r>
      <w:r w:rsidR="00661EE7" w:rsidRPr="009E6200">
        <w:t xml:space="preserve"> </w:t>
      </w:r>
      <w:r w:rsidRPr="009E6200">
        <w:t>проявляться</w:t>
      </w:r>
      <w:r w:rsidR="00661EE7" w:rsidRPr="009E6200">
        <w:t xml:space="preserve"> </w:t>
      </w:r>
      <w:r w:rsidRPr="009E6200">
        <w:t>артериальной</w:t>
      </w:r>
      <w:r w:rsidR="00661EE7" w:rsidRPr="009E6200">
        <w:t xml:space="preserve"> </w:t>
      </w:r>
      <w:r w:rsidRPr="009E6200">
        <w:t>гипертонией, гипертензивными</w:t>
      </w:r>
      <w:r w:rsidR="00661EE7" w:rsidRPr="009E6200">
        <w:t xml:space="preserve"> </w:t>
      </w:r>
      <w:r w:rsidRPr="009E6200">
        <w:t>кризами</w:t>
      </w:r>
      <w:r w:rsidR="00661EE7" w:rsidRPr="009E6200">
        <w:t xml:space="preserve"> </w:t>
      </w:r>
      <w:r w:rsidRPr="009E6200">
        <w:t>с</w:t>
      </w:r>
      <w:r w:rsidR="00661EE7" w:rsidRPr="009E6200">
        <w:t xml:space="preserve"> </w:t>
      </w:r>
      <w:r w:rsidRPr="009E6200">
        <w:t>неврологической</w:t>
      </w:r>
      <w:r w:rsidR="00661EE7" w:rsidRPr="009E6200">
        <w:t xml:space="preserve"> </w:t>
      </w:r>
      <w:r w:rsidRPr="009E6200">
        <w:t>симптоматикой,</w:t>
      </w:r>
      <w:r w:rsidR="00661EE7" w:rsidRPr="009E6200">
        <w:t xml:space="preserve"> </w:t>
      </w:r>
      <w:r w:rsidRPr="009E6200">
        <w:t>свистящим дыханием,</w:t>
      </w:r>
      <w:r w:rsidR="00661EE7" w:rsidRPr="009E6200">
        <w:t xml:space="preserve"> </w:t>
      </w:r>
      <w:r w:rsidRPr="009E6200">
        <w:t>снижением</w:t>
      </w:r>
      <w:r w:rsidR="00661EE7" w:rsidRPr="009E6200">
        <w:t xml:space="preserve"> </w:t>
      </w:r>
      <w:r w:rsidRPr="009E6200">
        <w:t>насыщения</w:t>
      </w:r>
      <w:r w:rsidR="00661EE7" w:rsidRPr="009E6200">
        <w:t xml:space="preserve"> </w:t>
      </w:r>
      <w:r w:rsidRPr="009E6200">
        <w:t>крови</w:t>
      </w:r>
      <w:r w:rsidR="00661EE7" w:rsidRPr="009E6200">
        <w:t xml:space="preserve"> </w:t>
      </w:r>
      <w:r w:rsidRPr="009E6200">
        <w:t>кислородом,</w:t>
      </w:r>
      <w:r w:rsidR="00661EE7" w:rsidRPr="009E6200">
        <w:t xml:space="preserve"> </w:t>
      </w:r>
      <w:r w:rsidRPr="009E6200">
        <w:t>реакциями гиперчувствительности</w:t>
      </w:r>
      <w:r w:rsidR="00661EE7" w:rsidRPr="009E6200">
        <w:t xml:space="preserve"> </w:t>
      </w:r>
      <w:r w:rsidRPr="009E6200">
        <w:t>3</w:t>
      </w:r>
      <w:r w:rsidR="00661EE7" w:rsidRPr="009E6200">
        <w:t xml:space="preserve"> </w:t>
      </w:r>
      <w:r w:rsidRPr="009E6200">
        <w:t>степени,</w:t>
      </w:r>
      <w:r w:rsidR="00661EE7" w:rsidRPr="009E6200">
        <w:t xml:space="preserve"> </w:t>
      </w:r>
      <w:r w:rsidRPr="009E6200">
        <w:t>болями</w:t>
      </w:r>
      <w:r w:rsidR="00661EE7" w:rsidRPr="009E6200">
        <w:t xml:space="preserve"> </w:t>
      </w:r>
      <w:r w:rsidRPr="009E6200">
        <w:t>в</w:t>
      </w:r>
      <w:r w:rsidR="00661EE7" w:rsidRPr="009E6200">
        <w:t xml:space="preserve"> </w:t>
      </w:r>
      <w:r w:rsidRPr="009E6200">
        <w:t>груди,</w:t>
      </w:r>
      <w:r w:rsidR="00661EE7" w:rsidRPr="009E6200">
        <w:t xml:space="preserve"> </w:t>
      </w:r>
      <w:r w:rsidRPr="009E6200">
        <w:t>головной</w:t>
      </w:r>
      <w:r w:rsidR="00661EE7" w:rsidRPr="009E6200">
        <w:t xml:space="preserve"> </w:t>
      </w:r>
      <w:r w:rsidRPr="009E6200">
        <w:t>болью,</w:t>
      </w:r>
      <w:r w:rsidR="00661EE7" w:rsidRPr="009E6200">
        <w:t xml:space="preserve"> </w:t>
      </w:r>
      <w:r w:rsidRPr="009E6200">
        <w:t>ознобом</w:t>
      </w:r>
      <w:r w:rsidR="00661EE7" w:rsidRPr="009E6200">
        <w:t xml:space="preserve"> </w:t>
      </w:r>
      <w:r w:rsidRPr="009E6200">
        <w:t xml:space="preserve">и </w:t>
      </w:r>
      <w:r w:rsidR="00EE6A55" w:rsidRPr="009E6200">
        <w:t>обильным потоотделением.</w:t>
      </w:r>
    </w:p>
    <w:p w14:paraId="67BC8AE9" w14:textId="3B44F795" w:rsidR="003C1EF6" w:rsidRPr="009E6200" w:rsidRDefault="003C1EF6" w:rsidP="007B46F5">
      <w:pPr>
        <w:pStyle w:val="SDText"/>
        <w:ind w:firstLine="709"/>
        <w:jc w:val="both"/>
      </w:pPr>
      <w:r w:rsidRPr="009E6200">
        <w:t>В клинических исследованиях с применением ори</w:t>
      </w:r>
      <w:r w:rsidR="00EE6A55" w:rsidRPr="009E6200">
        <w:t>гинального препарата Авастин</w:t>
      </w:r>
      <w:r w:rsidR="00121FA5" w:rsidRPr="009E6200">
        <w:rPr>
          <w:vertAlign w:val="superscript"/>
        </w:rPr>
        <w:t>®</w:t>
      </w:r>
      <w:r w:rsidR="00EE6A55" w:rsidRPr="009E6200">
        <w:t xml:space="preserve"> </w:t>
      </w:r>
      <w:r w:rsidRPr="009E6200">
        <w:t xml:space="preserve">реакции на первое введение препарата развивались нечасто </w:t>
      </w:r>
      <w:r w:rsidR="00A13478" w:rsidRPr="009E6200">
        <w:t>(&lt;3</w:t>
      </w:r>
      <w:r w:rsidRPr="009E6200">
        <w:t>%), из них тяжелые реа</w:t>
      </w:r>
      <w:r w:rsidR="007B6831" w:rsidRPr="009E6200">
        <w:t>кции отмечались в 0,2% случаев.</w:t>
      </w:r>
    </w:p>
    <w:p w14:paraId="472A0B59" w14:textId="77777777" w:rsidR="003C1EF6" w:rsidRPr="009E6200" w:rsidRDefault="003C1EF6" w:rsidP="007B46F5">
      <w:pPr>
        <w:pStyle w:val="SDText"/>
        <w:ind w:firstLine="709"/>
        <w:jc w:val="both"/>
      </w:pPr>
      <w:r w:rsidRPr="009E6200">
        <w:t>При</w:t>
      </w:r>
      <w:r w:rsidR="00661EE7" w:rsidRPr="009E6200">
        <w:t xml:space="preserve"> </w:t>
      </w:r>
      <w:r w:rsidRPr="009E6200">
        <w:t>развитии</w:t>
      </w:r>
      <w:r w:rsidR="00661EE7" w:rsidRPr="009E6200">
        <w:t xml:space="preserve"> </w:t>
      </w:r>
      <w:r w:rsidRPr="009E6200">
        <w:t>тяжелых</w:t>
      </w:r>
      <w:r w:rsidR="00661EE7" w:rsidRPr="009E6200">
        <w:t xml:space="preserve"> </w:t>
      </w:r>
      <w:r w:rsidRPr="009E6200">
        <w:t>реакций</w:t>
      </w:r>
      <w:r w:rsidR="00661EE7" w:rsidRPr="009E6200">
        <w:t xml:space="preserve"> </w:t>
      </w:r>
      <w:r w:rsidRPr="009E6200">
        <w:t>на</w:t>
      </w:r>
      <w:r w:rsidR="00661EE7" w:rsidRPr="009E6200">
        <w:t xml:space="preserve"> </w:t>
      </w:r>
      <w:r w:rsidRPr="009E6200">
        <w:t>введение</w:t>
      </w:r>
      <w:r w:rsidR="00661EE7" w:rsidRPr="009E6200">
        <w:t xml:space="preserve"> </w:t>
      </w:r>
      <w:r w:rsidRPr="009E6200">
        <w:t>препарата</w:t>
      </w:r>
      <w:r w:rsidR="00661EE7" w:rsidRPr="009E6200">
        <w:t xml:space="preserve"> </w:t>
      </w:r>
      <w:r w:rsidRPr="009E6200">
        <w:t>следует</w:t>
      </w:r>
      <w:r w:rsidR="00661EE7" w:rsidRPr="009E6200">
        <w:t xml:space="preserve"> </w:t>
      </w:r>
      <w:r w:rsidRPr="009E6200">
        <w:t>прекратить инфузию и назначить соответст</w:t>
      </w:r>
      <w:r w:rsidR="007B6831" w:rsidRPr="009E6200">
        <w:t>вующее медикаментозное лечение.</w:t>
      </w:r>
    </w:p>
    <w:p w14:paraId="53B7C0D2" w14:textId="77777777" w:rsidR="00577BCF" w:rsidRDefault="00577BCF" w:rsidP="007B46F5">
      <w:pPr>
        <w:pStyle w:val="SDText"/>
        <w:jc w:val="both"/>
        <w:rPr>
          <w:b/>
          <w:i/>
        </w:rPr>
      </w:pPr>
    </w:p>
    <w:p w14:paraId="33023517" w14:textId="14DBEA49" w:rsidR="003C1EF6" w:rsidRPr="009E6200" w:rsidRDefault="003C1EF6" w:rsidP="007B46F5">
      <w:pPr>
        <w:pStyle w:val="SDText"/>
        <w:jc w:val="both"/>
        <w:rPr>
          <w:b/>
          <w:i/>
        </w:rPr>
      </w:pPr>
      <w:r w:rsidRPr="009E6200">
        <w:rPr>
          <w:b/>
          <w:i/>
        </w:rPr>
        <w:t>Недостаточность функции яичников/ферти</w:t>
      </w:r>
      <w:r w:rsidR="007B6831" w:rsidRPr="009E6200">
        <w:rPr>
          <w:b/>
          <w:i/>
        </w:rPr>
        <w:t>льность</w:t>
      </w:r>
    </w:p>
    <w:p w14:paraId="3036A8FD" w14:textId="77777777" w:rsidR="00577BCF" w:rsidRDefault="00577BCF" w:rsidP="007B46F5">
      <w:pPr>
        <w:pStyle w:val="SDText"/>
        <w:jc w:val="both"/>
      </w:pPr>
    </w:p>
    <w:p w14:paraId="76BB9270" w14:textId="70921B85" w:rsidR="003C1EF6" w:rsidRPr="009E6200" w:rsidRDefault="003C1EF6" w:rsidP="007B46F5">
      <w:pPr>
        <w:pStyle w:val="SDText"/>
        <w:ind w:firstLine="709"/>
        <w:jc w:val="both"/>
      </w:pPr>
      <w:r w:rsidRPr="009E6200">
        <w:t>При</w:t>
      </w:r>
      <w:r w:rsidR="00661EE7" w:rsidRPr="009E6200">
        <w:t xml:space="preserve"> </w:t>
      </w:r>
      <w:r w:rsidRPr="009E6200">
        <w:t>приеме</w:t>
      </w:r>
      <w:r w:rsidR="00661EE7" w:rsidRPr="009E6200">
        <w:t xml:space="preserve"> </w:t>
      </w:r>
      <w:r w:rsidRPr="009E6200">
        <w:t>RPH-001</w:t>
      </w:r>
      <w:r w:rsidR="00661EE7" w:rsidRPr="009E6200">
        <w:t xml:space="preserve"> </w:t>
      </w:r>
      <w:r w:rsidRPr="009E6200">
        <w:t>повышается</w:t>
      </w:r>
      <w:r w:rsidR="00661EE7" w:rsidRPr="009E6200">
        <w:t xml:space="preserve"> </w:t>
      </w:r>
      <w:r w:rsidRPr="009E6200">
        <w:t>риск</w:t>
      </w:r>
      <w:r w:rsidR="00661EE7" w:rsidRPr="009E6200">
        <w:t xml:space="preserve"> </w:t>
      </w:r>
      <w:r w:rsidRPr="009E6200">
        <w:t>развития</w:t>
      </w:r>
      <w:r w:rsidR="00661EE7" w:rsidRPr="009E6200">
        <w:t xml:space="preserve"> </w:t>
      </w:r>
      <w:r w:rsidRPr="009E6200">
        <w:t>недостаточноcти</w:t>
      </w:r>
      <w:r w:rsidR="00661EE7" w:rsidRPr="009E6200">
        <w:t xml:space="preserve"> </w:t>
      </w:r>
      <w:r w:rsidRPr="009E6200">
        <w:t>функции яичников и нарушения фертильности у женщин детородного возраста.</w:t>
      </w:r>
    </w:p>
    <w:p w14:paraId="14EDBFC9" w14:textId="623B7B2F" w:rsidR="003C1EF6" w:rsidRPr="009E6200" w:rsidRDefault="003C1EF6" w:rsidP="007B46F5">
      <w:pPr>
        <w:pStyle w:val="SDText"/>
        <w:ind w:firstLine="709"/>
        <w:jc w:val="both"/>
      </w:pPr>
      <w:r w:rsidRPr="009E6200">
        <w:t>В проведенном исследовании с применением оригинального препарата Авастин</w:t>
      </w:r>
      <w:r w:rsidR="00121FA5" w:rsidRPr="009E6200">
        <w:rPr>
          <w:vertAlign w:val="superscript"/>
        </w:rPr>
        <w:t>®</w:t>
      </w:r>
      <w:r w:rsidRPr="009E6200">
        <w:t xml:space="preserve"> в сочетании</w:t>
      </w:r>
      <w:r w:rsidR="002E10C4" w:rsidRPr="009E6200">
        <w:t xml:space="preserve"> с модифицированной</w:t>
      </w:r>
      <w:r w:rsidR="00661EE7" w:rsidRPr="009E6200">
        <w:t xml:space="preserve"> </w:t>
      </w:r>
      <w:r w:rsidR="002E10C4" w:rsidRPr="009E6200">
        <w:t>комбинацией химиотерапетических препаратов, состоящей из оксалиплатина, 5-фторурацила и фолината кальция</w:t>
      </w:r>
      <w:r w:rsidR="00661EE7" w:rsidRPr="009E6200">
        <w:t xml:space="preserve"> </w:t>
      </w:r>
      <w:r w:rsidR="00425A6C" w:rsidRPr="009E6200">
        <w:t>(</w:t>
      </w:r>
      <w:r w:rsidR="00425A6C" w:rsidRPr="009E6200">
        <w:rPr>
          <w:lang w:val="en-US"/>
        </w:rPr>
        <w:t>m</w:t>
      </w:r>
      <w:r w:rsidR="00425A6C" w:rsidRPr="009E6200">
        <w:t xml:space="preserve">odified, </w:t>
      </w:r>
      <w:r w:rsidR="007B6831" w:rsidRPr="009E6200">
        <w:rPr>
          <w:lang w:val="en-US"/>
        </w:rPr>
        <w:t>l</w:t>
      </w:r>
      <w:r w:rsidR="00425A6C" w:rsidRPr="009E6200">
        <w:t>evofolinic acid, 5-</w:t>
      </w:r>
      <w:r w:rsidR="007B6831" w:rsidRPr="009E6200">
        <w:rPr>
          <w:lang w:val="en-US"/>
        </w:rPr>
        <w:t>f</w:t>
      </w:r>
      <w:r w:rsidR="00425A6C" w:rsidRPr="009E6200">
        <w:t xml:space="preserve">luorouracil and oxaliplatin, </w:t>
      </w:r>
      <w:r w:rsidRPr="009E6200">
        <w:t>mFOLFOX</w:t>
      </w:r>
      <w:r w:rsidR="002E10C4" w:rsidRPr="009E6200">
        <w:t>)</w:t>
      </w:r>
      <w:r w:rsidR="00661EE7" w:rsidRPr="009E6200">
        <w:t xml:space="preserve"> </w:t>
      </w:r>
      <w:r w:rsidRPr="009E6200">
        <w:t>в</w:t>
      </w:r>
      <w:r w:rsidR="00661EE7" w:rsidRPr="009E6200">
        <w:t xml:space="preserve"> </w:t>
      </w:r>
      <w:r w:rsidRPr="009E6200">
        <w:t>качестве</w:t>
      </w:r>
      <w:r w:rsidR="00661EE7" w:rsidRPr="009E6200">
        <w:t xml:space="preserve"> </w:t>
      </w:r>
      <w:r w:rsidRPr="009E6200">
        <w:t>адъювантной</w:t>
      </w:r>
      <w:r w:rsidR="00661EE7" w:rsidRPr="009E6200">
        <w:t xml:space="preserve"> </w:t>
      </w:r>
      <w:r w:rsidRPr="009E6200">
        <w:t xml:space="preserve">терапии </w:t>
      </w:r>
      <w:r w:rsidR="00EE6A55" w:rsidRPr="009E6200">
        <w:t>к</w:t>
      </w:r>
      <w:r w:rsidRPr="009E6200">
        <w:t>олоректального</w:t>
      </w:r>
      <w:r w:rsidR="00661EE7" w:rsidRPr="009E6200">
        <w:t xml:space="preserve"> </w:t>
      </w:r>
      <w:r w:rsidRPr="009E6200">
        <w:t>рака</w:t>
      </w:r>
      <w:r w:rsidR="00661EE7" w:rsidRPr="009E6200">
        <w:t xml:space="preserve"> </w:t>
      </w:r>
      <w:r w:rsidRPr="009E6200">
        <w:t>у</w:t>
      </w:r>
      <w:r w:rsidR="00661EE7" w:rsidRPr="009E6200">
        <w:t xml:space="preserve"> </w:t>
      </w:r>
      <w:r w:rsidRPr="009E6200">
        <w:t>женщин</w:t>
      </w:r>
      <w:r w:rsidR="00661EE7" w:rsidRPr="009E6200">
        <w:t xml:space="preserve"> </w:t>
      </w:r>
      <w:r w:rsidRPr="009E6200">
        <w:t>в</w:t>
      </w:r>
      <w:r w:rsidR="00661EE7" w:rsidRPr="009E6200">
        <w:t xml:space="preserve"> </w:t>
      </w:r>
      <w:r w:rsidRPr="009E6200">
        <w:t>пременопаузе</w:t>
      </w:r>
      <w:r w:rsidR="00661EE7" w:rsidRPr="009E6200">
        <w:t xml:space="preserve"> </w:t>
      </w:r>
      <w:r w:rsidRPr="009E6200">
        <w:t>было</w:t>
      </w:r>
      <w:r w:rsidR="00661EE7" w:rsidRPr="009E6200">
        <w:t xml:space="preserve"> </w:t>
      </w:r>
      <w:r w:rsidRPr="009E6200">
        <w:t>показано,</w:t>
      </w:r>
      <w:r w:rsidR="00661EE7" w:rsidRPr="009E6200">
        <w:t xml:space="preserve"> </w:t>
      </w:r>
      <w:r w:rsidRPr="009E6200">
        <w:t>что недостаточность</w:t>
      </w:r>
      <w:r w:rsidR="00661EE7" w:rsidRPr="009E6200">
        <w:t xml:space="preserve"> </w:t>
      </w:r>
      <w:r w:rsidRPr="009E6200">
        <w:t>функции</w:t>
      </w:r>
      <w:r w:rsidR="00661EE7" w:rsidRPr="009E6200">
        <w:t xml:space="preserve"> </w:t>
      </w:r>
      <w:r w:rsidRPr="009E6200">
        <w:t>яичников</w:t>
      </w:r>
      <w:r w:rsidR="00661EE7" w:rsidRPr="009E6200">
        <w:t xml:space="preserve"> </w:t>
      </w:r>
      <w:r w:rsidRPr="009E6200">
        <w:t>развивалась</w:t>
      </w:r>
      <w:r w:rsidR="00661EE7" w:rsidRPr="009E6200">
        <w:t xml:space="preserve"> </w:t>
      </w:r>
      <w:r w:rsidRPr="009E6200">
        <w:t>чаще</w:t>
      </w:r>
      <w:r w:rsidR="00661EE7" w:rsidRPr="009E6200">
        <w:t xml:space="preserve"> </w:t>
      </w:r>
      <w:r w:rsidRPr="009E6200">
        <w:t>в</w:t>
      </w:r>
      <w:r w:rsidR="00661EE7" w:rsidRPr="009E6200">
        <w:t xml:space="preserve"> </w:t>
      </w:r>
      <w:r w:rsidRPr="009E6200">
        <w:t>г</w:t>
      </w:r>
      <w:r w:rsidR="00EE6A55" w:rsidRPr="009E6200">
        <w:t>руппе</w:t>
      </w:r>
      <w:r w:rsidR="00661EE7" w:rsidRPr="009E6200">
        <w:t xml:space="preserve"> </w:t>
      </w:r>
      <w:r w:rsidR="00EE6A55" w:rsidRPr="009E6200">
        <w:t>с</w:t>
      </w:r>
      <w:r w:rsidR="00661EE7" w:rsidRPr="009E6200">
        <w:t xml:space="preserve"> </w:t>
      </w:r>
      <w:r w:rsidR="0024542E">
        <w:t>Авастин</w:t>
      </w:r>
      <w:r w:rsidR="00121FA5" w:rsidRPr="009E6200">
        <w:rPr>
          <w:vertAlign w:val="superscript"/>
        </w:rPr>
        <w:t>®</w:t>
      </w:r>
      <w:r w:rsidR="00EE6A55" w:rsidRPr="009E6200">
        <w:t xml:space="preserve"> </w:t>
      </w:r>
      <w:r w:rsidRPr="009E6200">
        <w:t>(34%),</w:t>
      </w:r>
      <w:r w:rsidR="00661EE7" w:rsidRPr="009E6200">
        <w:t xml:space="preserve"> </w:t>
      </w:r>
      <w:r w:rsidRPr="009E6200">
        <w:t>по</w:t>
      </w:r>
      <w:r w:rsidR="00661EE7" w:rsidRPr="009E6200">
        <w:t xml:space="preserve"> </w:t>
      </w:r>
      <w:r w:rsidRPr="009E6200">
        <w:t>сравнению</w:t>
      </w:r>
      <w:r w:rsidR="00661EE7" w:rsidRPr="009E6200">
        <w:t xml:space="preserve"> </w:t>
      </w:r>
      <w:r w:rsidRPr="009E6200">
        <w:t>с</w:t>
      </w:r>
      <w:r w:rsidR="00661EE7" w:rsidRPr="009E6200">
        <w:t xml:space="preserve"> </w:t>
      </w:r>
      <w:r w:rsidRPr="009E6200">
        <w:t>контрольной</w:t>
      </w:r>
      <w:r w:rsidR="00661EE7" w:rsidRPr="009E6200">
        <w:t xml:space="preserve"> </w:t>
      </w:r>
      <w:r w:rsidRPr="009E6200">
        <w:t>группой</w:t>
      </w:r>
      <w:r w:rsidR="00661EE7" w:rsidRPr="009E6200">
        <w:t xml:space="preserve"> </w:t>
      </w:r>
      <w:r w:rsidRPr="009E6200">
        <w:t>(2%),</w:t>
      </w:r>
      <w:r w:rsidR="00661EE7" w:rsidRPr="009E6200">
        <w:t xml:space="preserve"> </w:t>
      </w:r>
      <w:r w:rsidRPr="009E6200">
        <w:t>получившей</w:t>
      </w:r>
      <w:r w:rsidR="00661EE7" w:rsidRPr="009E6200">
        <w:t xml:space="preserve"> </w:t>
      </w:r>
      <w:r w:rsidRPr="009E6200">
        <w:t>исключительно mFOLFOX химиотерапию.</w:t>
      </w:r>
    </w:p>
    <w:p w14:paraId="7FE34779" w14:textId="17F159F0" w:rsidR="003C1EF6" w:rsidRPr="009E6200" w:rsidRDefault="003C1EF6" w:rsidP="007B46F5">
      <w:pPr>
        <w:pStyle w:val="SDText"/>
        <w:jc w:val="both"/>
        <w:rPr>
          <w:b/>
          <w:i/>
        </w:rPr>
      </w:pPr>
      <w:r w:rsidRPr="009E6200">
        <w:rPr>
          <w:b/>
          <w:i/>
        </w:rPr>
        <w:t>Заст</w:t>
      </w:r>
      <w:r w:rsidR="007B6831" w:rsidRPr="009E6200">
        <w:rPr>
          <w:b/>
          <w:i/>
        </w:rPr>
        <w:t>ойная сердечная недостаточность</w:t>
      </w:r>
    </w:p>
    <w:p w14:paraId="4E8B8940" w14:textId="77777777" w:rsidR="00577BCF" w:rsidRDefault="00577BCF" w:rsidP="007B46F5">
      <w:pPr>
        <w:pStyle w:val="SDText"/>
        <w:jc w:val="both"/>
      </w:pPr>
    </w:p>
    <w:p w14:paraId="4D39FBC5" w14:textId="50BF1B6A" w:rsidR="003C1EF6" w:rsidRPr="009E6200" w:rsidRDefault="003C1EF6" w:rsidP="007B46F5">
      <w:pPr>
        <w:pStyle w:val="SDText"/>
        <w:ind w:firstLine="709"/>
        <w:jc w:val="both"/>
      </w:pPr>
      <w:r w:rsidRPr="009E6200">
        <w:t>RPH-001</w:t>
      </w:r>
      <w:r w:rsidR="00661EE7" w:rsidRPr="009E6200">
        <w:t xml:space="preserve"> </w:t>
      </w:r>
      <w:r w:rsidRPr="009E6200">
        <w:t>не</w:t>
      </w:r>
      <w:r w:rsidR="00661EE7" w:rsidRPr="009E6200">
        <w:t xml:space="preserve"> </w:t>
      </w:r>
      <w:r w:rsidRPr="009E6200">
        <w:t>предназначен</w:t>
      </w:r>
      <w:r w:rsidR="00661EE7" w:rsidRPr="009E6200">
        <w:t xml:space="preserve"> </w:t>
      </w:r>
      <w:r w:rsidRPr="009E6200">
        <w:t>для</w:t>
      </w:r>
      <w:r w:rsidR="00661EE7" w:rsidRPr="009E6200">
        <w:t xml:space="preserve"> </w:t>
      </w:r>
      <w:r w:rsidRPr="009E6200">
        <w:t>использования</w:t>
      </w:r>
      <w:r w:rsidR="00661EE7" w:rsidRPr="009E6200">
        <w:t xml:space="preserve"> </w:t>
      </w:r>
      <w:r w:rsidRPr="009E6200">
        <w:t>совместно</w:t>
      </w:r>
      <w:r w:rsidR="00661EE7" w:rsidRPr="009E6200">
        <w:t xml:space="preserve"> </w:t>
      </w:r>
      <w:r w:rsidRPr="009E6200">
        <w:t>с</w:t>
      </w:r>
      <w:r w:rsidR="00661EE7" w:rsidRPr="009E6200">
        <w:t xml:space="preserve"> </w:t>
      </w:r>
      <w:r w:rsidRPr="009E6200">
        <w:t>химиотерапией</w:t>
      </w:r>
      <w:r w:rsidR="002E10C4" w:rsidRPr="009E6200">
        <w:t>,</w:t>
      </w:r>
      <w:r w:rsidRPr="009E6200">
        <w:t xml:space="preserve"> основанной</w:t>
      </w:r>
      <w:r w:rsidR="00661EE7" w:rsidRPr="009E6200">
        <w:t xml:space="preserve"> </w:t>
      </w:r>
      <w:r w:rsidRPr="009E6200">
        <w:t>на</w:t>
      </w:r>
      <w:r w:rsidR="00661EE7" w:rsidRPr="009E6200">
        <w:t xml:space="preserve"> </w:t>
      </w:r>
      <w:r w:rsidRPr="009E6200">
        <w:t>препаратах</w:t>
      </w:r>
      <w:r w:rsidR="00661EE7" w:rsidRPr="009E6200">
        <w:t xml:space="preserve"> </w:t>
      </w:r>
      <w:r w:rsidRPr="009E6200">
        <w:t>антрациклинового</w:t>
      </w:r>
      <w:r w:rsidR="00661EE7" w:rsidRPr="009E6200">
        <w:t xml:space="preserve"> </w:t>
      </w:r>
      <w:r w:rsidRPr="009E6200">
        <w:t>ряда.</w:t>
      </w:r>
      <w:r w:rsidR="00661EE7" w:rsidRPr="009E6200">
        <w:t xml:space="preserve"> </w:t>
      </w:r>
      <w:r w:rsidRPr="009E6200">
        <w:t>Частота</w:t>
      </w:r>
      <w:r w:rsidR="00661EE7" w:rsidRPr="009E6200">
        <w:t xml:space="preserve"> </w:t>
      </w:r>
      <w:r w:rsidRPr="009E6200">
        <w:t>развития</w:t>
      </w:r>
      <w:r w:rsidR="00661EE7" w:rsidRPr="009E6200">
        <w:t xml:space="preserve"> </w:t>
      </w:r>
      <w:r w:rsidRPr="009E6200">
        <w:t>дисфункции левого</w:t>
      </w:r>
      <w:r w:rsidR="00661EE7" w:rsidRPr="009E6200">
        <w:t xml:space="preserve"> </w:t>
      </w:r>
      <w:r w:rsidRPr="009E6200">
        <w:t>желудочка</w:t>
      </w:r>
      <w:r w:rsidR="00661EE7" w:rsidRPr="009E6200">
        <w:t xml:space="preserve"> </w:t>
      </w:r>
      <w:r w:rsidRPr="009E6200">
        <w:t>степени</w:t>
      </w:r>
      <w:r w:rsidR="00661EE7" w:rsidRPr="009E6200">
        <w:t xml:space="preserve"> </w:t>
      </w:r>
      <w:r w:rsidRPr="009E6200">
        <w:t>3</w:t>
      </w:r>
      <w:r w:rsidR="00661EE7" w:rsidRPr="009E6200">
        <w:t xml:space="preserve"> </w:t>
      </w:r>
      <w:r w:rsidRPr="009E6200">
        <w:t>и</w:t>
      </w:r>
      <w:r w:rsidR="00661EE7" w:rsidRPr="009E6200">
        <w:t xml:space="preserve"> </w:t>
      </w:r>
      <w:r w:rsidRPr="009E6200">
        <w:t>выше</w:t>
      </w:r>
      <w:r w:rsidR="00661EE7" w:rsidRPr="009E6200">
        <w:t xml:space="preserve"> </w:t>
      </w:r>
      <w:r w:rsidR="00EE6A55" w:rsidRPr="009E6200">
        <w:t>была</w:t>
      </w:r>
      <w:r w:rsidR="00661EE7" w:rsidRPr="009E6200">
        <w:t xml:space="preserve"> </w:t>
      </w:r>
      <w:r w:rsidR="00EE6A55" w:rsidRPr="009E6200">
        <w:t>1%</w:t>
      </w:r>
      <w:r w:rsidR="00661EE7" w:rsidRPr="009E6200">
        <w:t xml:space="preserve"> </w:t>
      </w:r>
      <w:r w:rsidR="00EE6A55" w:rsidRPr="009E6200">
        <w:t>получавших</w:t>
      </w:r>
      <w:r w:rsidR="00661EE7" w:rsidRPr="009E6200">
        <w:t xml:space="preserve"> </w:t>
      </w:r>
      <w:r w:rsidR="00EE6A55" w:rsidRPr="009E6200">
        <w:t>Авастин</w:t>
      </w:r>
      <w:r w:rsidR="00121FA5" w:rsidRPr="009E6200">
        <w:rPr>
          <w:vertAlign w:val="superscript"/>
        </w:rPr>
        <w:t>®</w:t>
      </w:r>
      <w:r w:rsidR="00661EE7" w:rsidRPr="009E6200">
        <w:t xml:space="preserve"> </w:t>
      </w:r>
      <w:r w:rsidRPr="009E6200">
        <w:t>с хмиотерапией</w:t>
      </w:r>
      <w:r w:rsidR="00661EE7" w:rsidRPr="009E6200">
        <w:t xml:space="preserve"> </w:t>
      </w:r>
      <w:r w:rsidRPr="009E6200">
        <w:t>по</w:t>
      </w:r>
      <w:r w:rsidR="00661EE7" w:rsidRPr="009E6200">
        <w:t xml:space="preserve"> </w:t>
      </w:r>
      <w:r w:rsidRPr="009E6200">
        <w:t>сравнению</w:t>
      </w:r>
      <w:r w:rsidR="00661EE7" w:rsidRPr="009E6200">
        <w:t xml:space="preserve"> </w:t>
      </w:r>
      <w:r w:rsidRPr="009E6200">
        <w:t>с</w:t>
      </w:r>
      <w:r w:rsidR="00661EE7" w:rsidRPr="009E6200">
        <w:t xml:space="preserve"> </w:t>
      </w:r>
      <w:r w:rsidRPr="009E6200">
        <w:t>0.6%</w:t>
      </w:r>
      <w:r w:rsidR="00661EE7" w:rsidRPr="009E6200">
        <w:t xml:space="preserve"> </w:t>
      </w:r>
      <w:r w:rsidRPr="009E6200">
        <w:t>у</w:t>
      </w:r>
      <w:r w:rsidR="00661EE7" w:rsidRPr="009E6200">
        <w:t xml:space="preserve"> </w:t>
      </w:r>
      <w:r w:rsidRPr="009E6200">
        <w:t>пациентов</w:t>
      </w:r>
      <w:r w:rsidR="002E10C4" w:rsidRPr="009E6200">
        <w:t>,</w:t>
      </w:r>
      <w:r w:rsidR="00661EE7" w:rsidRPr="009E6200">
        <w:t xml:space="preserve"> </w:t>
      </w:r>
      <w:r w:rsidRPr="009E6200">
        <w:t>получавших</w:t>
      </w:r>
      <w:r w:rsidR="00661EE7" w:rsidRPr="009E6200">
        <w:t xml:space="preserve"> </w:t>
      </w:r>
      <w:r w:rsidRPr="009E6200">
        <w:t>только</w:t>
      </w:r>
      <w:r w:rsidR="00EE6A55" w:rsidRPr="009E6200">
        <w:t xml:space="preserve"> </w:t>
      </w:r>
      <w:r w:rsidRPr="009E6200">
        <w:t>химиотерапию.</w:t>
      </w:r>
      <w:r w:rsidR="00661EE7" w:rsidRPr="009E6200">
        <w:t xml:space="preserve"> </w:t>
      </w:r>
      <w:r w:rsidRPr="009E6200">
        <w:t>Среди</w:t>
      </w:r>
      <w:r w:rsidR="00661EE7" w:rsidRPr="009E6200">
        <w:t xml:space="preserve"> </w:t>
      </w:r>
      <w:r w:rsidRPr="009E6200">
        <w:t>пациентов</w:t>
      </w:r>
      <w:r w:rsidR="002E10C4" w:rsidRPr="009E6200">
        <w:t>,</w:t>
      </w:r>
      <w:r w:rsidR="00661EE7" w:rsidRPr="009E6200">
        <w:t xml:space="preserve"> </w:t>
      </w:r>
      <w:r w:rsidRPr="009E6200">
        <w:t>получавших</w:t>
      </w:r>
      <w:r w:rsidR="00661EE7" w:rsidRPr="009E6200">
        <w:t xml:space="preserve"> </w:t>
      </w:r>
      <w:r w:rsidRPr="009E6200">
        <w:t>ранее</w:t>
      </w:r>
      <w:r w:rsidR="00661EE7" w:rsidRPr="009E6200">
        <w:t xml:space="preserve"> </w:t>
      </w:r>
      <w:r w:rsidRPr="009E6200">
        <w:t>терапию</w:t>
      </w:r>
      <w:r w:rsidR="00661EE7" w:rsidRPr="009E6200">
        <w:t xml:space="preserve"> </w:t>
      </w:r>
      <w:r w:rsidRPr="009E6200">
        <w:t>препаратами антрациклинового</w:t>
      </w:r>
      <w:r w:rsidR="00661EE7" w:rsidRPr="009E6200">
        <w:t xml:space="preserve"> </w:t>
      </w:r>
      <w:r w:rsidRPr="009E6200">
        <w:t>ряда,</w:t>
      </w:r>
      <w:r w:rsidR="00661EE7" w:rsidRPr="009E6200">
        <w:t xml:space="preserve"> </w:t>
      </w:r>
      <w:r w:rsidRPr="009E6200">
        <w:t>частота</w:t>
      </w:r>
      <w:r w:rsidR="00661EE7" w:rsidRPr="009E6200">
        <w:t xml:space="preserve"> </w:t>
      </w:r>
      <w:r w:rsidRPr="009E6200">
        <w:t>развития</w:t>
      </w:r>
      <w:r w:rsidR="00661EE7" w:rsidRPr="009E6200">
        <w:t xml:space="preserve"> </w:t>
      </w:r>
      <w:r w:rsidRPr="009E6200">
        <w:t>застойной</w:t>
      </w:r>
      <w:r w:rsidR="00661EE7" w:rsidRPr="009E6200">
        <w:t xml:space="preserve"> </w:t>
      </w:r>
      <w:r w:rsidRPr="009E6200">
        <w:t>сердечной</w:t>
      </w:r>
      <w:r w:rsidR="00661EE7" w:rsidRPr="009E6200">
        <w:t xml:space="preserve"> </w:t>
      </w:r>
      <w:r w:rsidRPr="009E6200">
        <w:t>недостаточности была 4% у пациентов</w:t>
      </w:r>
      <w:r w:rsidR="002E10C4" w:rsidRPr="009E6200">
        <w:t>,</w:t>
      </w:r>
      <w:r w:rsidRPr="009E6200">
        <w:t xml:space="preserve"> получавших Авастин</w:t>
      </w:r>
      <w:r w:rsidR="00121FA5" w:rsidRPr="009E6200">
        <w:rPr>
          <w:vertAlign w:val="superscript"/>
        </w:rPr>
        <w:t>®</w:t>
      </w:r>
      <w:r w:rsidR="00EE6A55" w:rsidRPr="009E6200">
        <w:t xml:space="preserve"> </w:t>
      </w:r>
      <w:r w:rsidRPr="009E6200">
        <w:t>с химиотерапией по сравнению с 0</w:t>
      </w:r>
      <w:r w:rsidR="00EE6A55" w:rsidRPr="009E6200">
        <w:t>,</w:t>
      </w:r>
      <w:r w:rsidRPr="009E6200">
        <w:t>6% у пациентов</w:t>
      </w:r>
      <w:r w:rsidR="002E10C4" w:rsidRPr="009E6200">
        <w:t>,</w:t>
      </w:r>
      <w:r w:rsidRPr="009E6200">
        <w:t xml:space="preserve"> получавших только химиотерапию.</w:t>
      </w:r>
    </w:p>
    <w:p w14:paraId="447C967F" w14:textId="77777777" w:rsidR="003C1EF6" w:rsidRPr="009E6200" w:rsidRDefault="003C1EF6" w:rsidP="007B46F5">
      <w:pPr>
        <w:pStyle w:val="SDText"/>
        <w:ind w:firstLine="709"/>
        <w:jc w:val="both"/>
      </w:pPr>
      <w:r w:rsidRPr="009E6200">
        <w:t>У</w:t>
      </w:r>
      <w:r w:rsidR="00661EE7" w:rsidRPr="009E6200">
        <w:t xml:space="preserve"> </w:t>
      </w:r>
      <w:r w:rsidRPr="009E6200">
        <w:t>нелеченных</w:t>
      </w:r>
      <w:r w:rsidR="00661EE7" w:rsidRPr="009E6200">
        <w:t xml:space="preserve"> </w:t>
      </w:r>
      <w:r w:rsidRPr="009E6200">
        <w:t>пациентов</w:t>
      </w:r>
      <w:r w:rsidR="00661EE7" w:rsidRPr="009E6200">
        <w:t xml:space="preserve"> </w:t>
      </w:r>
      <w:r w:rsidRPr="009E6200">
        <w:t>со</w:t>
      </w:r>
      <w:r w:rsidR="00661EE7" w:rsidRPr="009E6200">
        <w:t xml:space="preserve"> </w:t>
      </w:r>
      <w:r w:rsidRPr="009E6200">
        <w:t>злокачественными</w:t>
      </w:r>
      <w:r w:rsidR="00661EE7" w:rsidRPr="009E6200">
        <w:t xml:space="preserve"> </w:t>
      </w:r>
      <w:r w:rsidRPr="009E6200">
        <w:t>заболеваниями</w:t>
      </w:r>
      <w:r w:rsidR="00661EE7" w:rsidRPr="009E6200">
        <w:t xml:space="preserve"> </w:t>
      </w:r>
      <w:r w:rsidRPr="009E6200">
        <w:t>крови,</w:t>
      </w:r>
      <w:r w:rsidR="00661EE7" w:rsidRPr="009E6200">
        <w:t xml:space="preserve"> </w:t>
      </w:r>
      <w:r w:rsidRPr="009E6200">
        <w:t>частота развития</w:t>
      </w:r>
      <w:r w:rsidR="00661EE7" w:rsidRPr="009E6200">
        <w:t xml:space="preserve"> </w:t>
      </w:r>
      <w:r w:rsidRPr="009E6200">
        <w:t>застойной</w:t>
      </w:r>
      <w:r w:rsidR="00661EE7" w:rsidRPr="009E6200">
        <w:t xml:space="preserve"> </w:t>
      </w:r>
      <w:r w:rsidRPr="009E6200">
        <w:t>сердечной</w:t>
      </w:r>
      <w:r w:rsidR="00661EE7" w:rsidRPr="009E6200">
        <w:t xml:space="preserve"> </w:t>
      </w:r>
      <w:r w:rsidRPr="009E6200">
        <w:t>недостаточности</w:t>
      </w:r>
      <w:r w:rsidR="00661EE7" w:rsidRPr="009E6200">
        <w:t xml:space="preserve"> </w:t>
      </w:r>
      <w:r w:rsidRPr="009E6200">
        <w:t>и</w:t>
      </w:r>
      <w:r w:rsidR="00661EE7" w:rsidRPr="009E6200">
        <w:t xml:space="preserve"> </w:t>
      </w:r>
      <w:r w:rsidRPr="009E6200">
        <w:t>снижение</w:t>
      </w:r>
      <w:r w:rsidR="00661EE7" w:rsidRPr="009E6200">
        <w:t xml:space="preserve"> </w:t>
      </w:r>
      <w:r w:rsidRPr="009E6200">
        <w:t>фракции</w:t>
      </w:r>
      <w:r w:rsidR="00661EE7" w:rsidRPr="009E6200">
        <w:t xml:space="preserve"> </w:t>
      </w:r>
      <w:r w:rsidRPr="009E6200">
        <w:t>выброса левого желудочка увеличивались у пациентов</w:t>
      </w:r>
      <w:r w:rsidR="002E10C4" w:rsidRPr="009E6200">
        <w:t>,</w:t>
      </w:r>
      <w:r w:rsidRPr="009E6200">
        <w:t xml:space="preserve"> получавших Авастин</w:t>
      </w:r>
      <w:r w:rsidR="00121FA5" w:rsidRPr="009E6200">
        <w:rPr>
          <w:vertAlign w:val="superscript"/>
        </w:rPr>
        <w:t>®</w:t>
      </w:r>
      <w:r w:rsidRPr="009E6200">
        <w:t xml:space="preserve"> совместно с химиотерапией</w:t>
      </w:r>
      <w:r w:rsidR="00661EE7" w:rsidRPr="009E6200">
        <w:t xml:space="preserve"> </w:t>
      </w:r>
      <w:r w:rsidRPr="009E6200">
        <w:t>препаратами</w:t>
      </w:r>
      <w:r w:rsidR="00661EE7" w:rsidRPr="009E6200">
        <w:t xml:space="preserve"> </w:t>
      </w:r>
      <w:r w:rsidRPr="009E6200">
        <w:t>антрациклинового</w:t>
      </w:r>
      <w:r w:rsidR="00661EE7" w:rsidRPr="009E6200">
        <w:t xml:space="preserve"> </w:t>
      </w:r>
      <w:r w:rsidRPr="009E6200">
        <w:t>ряда</w:t>
      </w:r>
      <w:r w:rsidR="00661EE7" w:rsidRPr="009E6200">
        <w:t xml:space="preserve"> </w:t>
      </w:r>
      <w:r w:rsidRPr="009E6200">
        <w:t>по</w:t>
      </w:r>
      <w:r w:rsidR="00661EE7" w:rsidRPr="009E6200">
        <w:t xml:space="preserve"> </w:t>
      </w:r>
      <w:r w:rsidRPr="009E6200">
        <w:t>сравнению</w:t>
      </w:r>
      <w:r w:rsidR="00661EE7" w:rsidRPr="009E6200">
        <w:t xml:space="preserve"> </w:t>
      </w:r>
      <w:r w:rsidRPr="009E6200">
        <w:t>с</w:t>
      </w:r>
      <w:r w:rsidR="00661EE7" w:rsidRPr="009E6200">
        <w:t xml:space="preserve"> </w:t>
      </w:r>
      <w:r w:rsidRPr="009E6200">
        <w:t>такой</w:t>
      </w:r>
      <w:r w:rsidR="00661EE7" w:rsidRPr="009E6200">
        <w:t xml:space="preserve"> </w:t>
      </w:r>
      <w:r w:rsidRPr="009E6200">
        <w:t>же химиотерапией и плацебо. Доля пациентов со снижением фракции выброса левого желудочка от начала исследования на 20% и выше или от 10 до &lt; 50%, была 10% в группе</w:t>
      </w:r>
      <w:r w:rsidR="00661EE7" w:rsidRPr="009E6200">
        <w:t xml:space="preserve"> </w:t>
      </w:r>
      <w:r w:rsidRPr="009E6200">
        <w:t>пациентов</w:t>
      </w:r>
      <w:r w:rsidR="00661EE7" w:rsidRPr="009E6200">
        <w:t xml:space="preserve"> </w:t>
      </w:r>
      <w:r w:rsidRPr="009E6200">
        <w:t>получавших</w:t>
      </w:r>
      <w:r w:rsidR="00661EE7" w:rsidRPr="009E6200">
        <w:t xml:space="preserve"> </w:t>
      </w:r>
      <w:r w:rsidRPr="009E6200">
        <w:t>Авастин</w:t>
      </w:r>
      <w:r w:rsidR="00121FA5" w:rsidRPr="009E6200">
        <w:rPr>
          <w:vertAlign w:val="superscript"/>
        </w:rPr>
        <w:t>®</w:t>
      </w:r>
      <w:r w:rsidR="00661EE7" w:rsidRPr="009E6200">
        <w:t xml:space="preserve"> </w:t>
      </w:r>
      <w:r w:rsidRPr="009E6200">
        <w:t>с</w:t>
      </w:r>
      <w:r w:rsidR="00661EE7" w:rsidRPr="009E6200">
        <w:t xml:space="preserve"> </w:t>
      </w:r>
      <w:r w:rsidRPr="009E6200">
        <w:t>химиотерапией</w:t>
      </w:r>
      <w:r w:rsidR="00661EE7" w:rsidRPr="009E6200">
        <w:t xml:space="preserve"> </w:t>
      </w:r>
      <w:r w:rsidRPr="009E6200">
        <w:t>по</w:t>
      </w:r>
      <w:r w:rsidR="00661EE7" w:rsidRPr="009E6200">
        <w:t xml:space="preserve"> </w:t>
      </w:r>
      <w:r w:rsidRPr="009E6200">
        <w:t>сравнению</w:t>
      </w:r>
      <w:r w:rsidR="00661EE7" w:rsidRPr="009E6200">
        <w:t xml:space="preserve"> </w:t>
      </w:r>
      <w:r w:rsidRPr="009E6200">
        <w:t>с</w:t>
      </w:r>
      <w:r w:rsidR="00661EE7" w:rsidRPr="009E6200">
        <w:t xml:space="preserve"> </w:t>
      </w:r>
      <w:r w:rsidRPr="009E6200">
        <w:t>5%</w:t>
      </w:r>
      <w:r w:rsidR="00661EE7" w:rsidRPr="009E6200">
        <w:t xml:space="preserve"> </w:t>
      </w:r>
      <w:r w:rsidRPr="009E6200">
        <w:t>у пациентов получавших только химиотерапию. Время до начала развития застойной сердечной</w:t>
      </w:r>
      <w:r w:rsidR="00661EE7" w:rsidRPr="009E6200">
        <w:t xml:space="preserve"> </w:t>
      </w:r>
      <w:r w:rsidRPr="009E6200">
        <w:t>недостаточности</w:t>
      </w:r>
      <w:r w:rsidR="00661EE7" w:rsidRPr="009E6200">
        <w:t xml:space="preserve"> </w:t>
      </w:r>
      <w:r w:rsidRPr="009E6200">
        <w:t>или</w:t>
      </w:r>
      <w:r w:rsidR="00661EE7" w:rsidRPr="009E6200">
        <w:t xml:space="preserve"> </w:t>
      </w:r>
      <w:r w:rsidRPr="009E6200">
        <w:t>дисфункции</w:t>
      </w:r>
      <w:r w:rsidR="00661EE7" w:rsidRPr="009E6200">
        <w:t xml:space="preserve"> </w:t>
      </w:r>
      <w:r w:rsidRPr="009E6200">
        <w:t>левого</w:t>
      </w:r>
      <w:r w:rsidR="00661EE7" w:rsidRPr="009E6200">
        <w:t xml:space="preserve"> </w:t>
      </w:r>
      <w:r w:rsidRPr="009E6200">
        <w:t>желудочка</w:t>
      </w:r>
      <w:r w:rsidR="00661EE7" w:rsidRPr="009E6200">
        <w:t xml:space="preserve"> </w:t>
      </w:r>
      <w:r w:rsidRPr="009E6200">
        <w:t>была</w:t>
      </w:r>
      <w:r w:rsidR="00661EE7" w:rsidRPr="009E6200">
        <w:t xml:space="preserve"> </w:t>
      </w:r>
      <w:r w:rsidRPr="009E6200">
        <w:t>от</w:t>
      </w:r>
      <w:r w:rsidR="00661EE7" w:rsidRPr="009E6200">
        <w:t xml:space="preserve"> </w:t>
      </w:r>
      <w:r w:rsidRPr="009E6200">
        <w:t>1</w:t>
      </w:r>
      <w:r w:rsidR="00661EE7" w:rsidRPr="009E6200">
        <w:t xml:space="preserve"> </w:t>
      </w:r>
      <w:r w:rsidRPr="009E6200">
        <w:t>до</w:t>
      </w:r>
      <w:r w:rsidR="00661EE7" w:rsidRPr="009E6200">
        <w:t xml:space="preserve"> </w:t>
      </w:r>
      <w:r w:rsidRPr="009E6200">
        <w:t>6 мес</w:t>
      </w:r>
      <w:r w:rsidR="00EE6A55" w:rsidRPr="009E6200">
        <w:t>.</w:t>
      </w:r>
      <w:r w:rsidR="00661EE7" w:rsidRPr="009E6200">
        <w:t xml:space="preserve"> </w:t>
      </w:r>
      <w:r w:rsidRPr="009E6200">
        <w:t>после</w:t>
      </w:r>
      <w:r w:rsidR="00661EE7" w:rsidRPr="009E6200">
        <w:t xml:space="preserve"> </w:t>
      </w:r>
      <w:r w:rsidRPr="009E6200">
        <w:t>получения</w:t>
      </w:r>
      <w:r w:rsidR="00661EE7" w:rsidRPr="009E6200">
        <w:t xml:space="preserve"> </w:t>
      </w:r>
      <w:r w:rsidRPr="009E6200">
        <w:t>первой</w:t>
      </w:r>
      <w:r w:rsidR="00661EE7" w:rsidRPr="009E6200">
        <w:t xml:space="preserve"> </w:t>
      </w:r>
      <w:r w:rsidRPr="009E6200">
        <w:t>дозы</w:t>
      </w:r>
      <w:r w:rsidR="00661EE7" w:rsidRPr="009E6200">
        <w:t xml:space="preserve"> </w:t>
      </w:r>
      <w:r w:rsidRPr="009E6200">
        <w:t>у</w:t>
      </w:r>
      <w:r w:rsidR="00661EE7" w:rsidRPr="009E6200">
        <w:t xml:space="preserve"> </w:t>
      </w:r>
      <w:r w:rsidRPr="009E6200">
        <w:t>85%</w:t>
      </w:r>
      <w:r w:rsidR="00661EE7" w:rsidRPr="009E6200">
        <w:t xml:space="preserve"> </w:t>
      </w:r>
      <w:r w:rsidRPr="009E6200">
        <w:t>пациентов</w:t>
      </w:r>
      <w:r w:rsidR="00661EE7" w:rsidRPr="009E6200">
        <w:t xml:space="preserve"> </w:t>
      </w:r>
      <w:r w:rsidRPr="009E6200">
        <w:t>и</w:t>
      </w:r>
      <w:r w:rsidR="00661EE7" w:rsidRPr="009E6200">
        <w:t xml:space="preserve"> </w:t>
      </w:r>
      <w:r w:rsidRPr="009E6200">
        <w:t>разрешилась</w:t>
      </w:r>
      <w:r w:rsidR="00661EE7" w:rsidRPr="009E6200">
        <w:t xml:space="preserve"> </w:t>
      </w:r>
      <w:r w:rsidRPr="009E6200">
        <w:t>у</w:t>
      </w:r>
      <w:r w:rsidR="00661EE7" w:rsidRPr="009E6200">
        <w:t xml:space="preserve"> </w:t>
      </w:r>
      <w:r w:rsidRPr="009E6200">
        <w:t>62% пациентов,</w:t>
      </w:r>
      <w:r w:rsidR="00661EE7" w:rsidRPr="009E6200">
        <w:t xml:space="preserve"> </w:t>
      </w:r>
      <w:r w:rsidRPr="009E6200">
        <w:t>у</w:t>
      </w:r>
      <w:r w:rsidR="00661EE7" w:rsidRPr="009E6200">
        <w:t xml:space="preserve"> </w:t>
      </w:r>
      <w:r w:rsidRPr="009E6200">
        <w:t>которых</w:t>
      </w:r>
      <w:r w:rsidR="00661EE7" w:rsidRPr="009E6200">
        <w:t xml:space="preserve"> </w:t>
      </w:r>
      <w:r w:rsidRPr="009E6200">
        <w:t>развилась</w:t>
      </w:r>
      <w:r w:rsidR="00661EE7" w:rsidRPr="009E6200">
        <w:t xml:space="preserve"> </w:t>
      </w:r>
      <w:r w:rsidRPr="009E6200">
        <w:t>застойная</w:t>
      </w:r>
      <w:r w:rsidR="00661EE7" w:rsidRPr="009E6200">
        <w:t xml:space="preserve"> </w:t>
      </w:r>
      <w:r w:rsidRPr="009E6200">
        <w:t>сердечная</w:t>
      </w:r>
      <w:r w:rsidR="00661EE7" w:rsidRPr="009E6200">
        <w:t xml:space="preserve"> </w:t>
      </w:r>
      <w:r w:rsidRPr="009E6200">
        <w:t>недостаточность</w:t>
      </w:r>
      <w:r w:rsidR="00661EE7" w:rsidRPr="009E6200">
        <w:t xml:space="preserve"> </w:t>
      </w:r>
      <w:r w:rsidRPr="009E6200">
        <w:t>в</w:t>
      </w:r>
      <w:r w:rsidR="00661EE7" w:rsidRPr="009E6200">
        <w:t xml:space="preserve"> </w:t>
      </w:r>
      <w:r w:rsidRPr="009E6200">
        <w:t>группе</w:t>
      </w:r>
      <w:r w:rsidR="00EE6A55" w:rsidRPr="009E6200">
        <w:t xml:space="preserve"> </w:t>
      </w:r>
      <w:r w:rsidRPr="009E6200">
        <w:t>Авастина</w:t>
      </w:r>
      <w:r w:rsidR="00121FA5" w:rsidRPr="009E6200">
        <w:rPr>
          <w:vertAlign w:val="superscript"/>
        </w:rPr>
        <w:t>®</w:t>
      </w:r>
      <w:r w:rsidR="00661EE7" w:rsidRPr="009E6200">
        <w:t xml:space="preserve"> </w:t>
      </w:r>
      <w:r w:rsidRPr="009E6200">
        <w:t>по</w:t>
      </w:r>
      <w:r w:rsidR="00661EE7" w:rsidRPr="009E6200">
        <w:t xml:space="preserve"> </w:t>
      </w:r>
      <w:r w:rsidRPr="009E6200">
        <w:t>сравнению</w:t>
      </w:r>
      <w:r w:rsidR="00661EE7" w:rsidRPr="009E6200">
        <w:t xml:space="preserve"> </w:t>
      </w:r>
      <w:r w:rsidRPr="009E6200">
        <w:t>с</w:t>
      </w:r>
      <w:r w:rsidR="00661EE7" w:rsidRPr="009E6200">
        <w:t xml:space="preserve"> </w:t>
      </w:r>
      <w:r w:rsidRPr="009E6200">
        <w:t>82%</w:t>
      </w:r>
      <w:r w:rsidR="00661EE7" w:rsidRPr="009E6200">
        <w:t xml:space="preserve"> </w:t>
      </w:r>
      <w:r w:rsidRPr="009E6200">
        <w:t>в</w:t>
      </w:r>
      <w:r w:rsidR="00661EE7" w:rsidRPr="009E6200">
        <w:t xml:space="preserve"> </w:t>
      </w:r>
      <w:r w:rsidRPr="009E6200">
        <w:t>группе</w:t>
      </w:r>
      <w:r w:rsidR="00661EE7" w:rsidRPr="009E6200">
        <w:t xml:space="preserve"> </w:t>
      </w:r>
      <w:r w:rsidRPr="009E6200">
        <w:t>плацебо.</w:t>
      </w:r>
      <w:r w:rsidR="00661EE7" w:rsidRPr="009E6200">
        <w:t xml:space="preserve"> </w:t>
      </w:r>
      <w:r w:rsidRPr="009E6200">
        <w:t>В</w:t>
      </w:r>
      <w:r w:rsidR="00661EE7" w:rsidRPr="009E6200">
        <w:t xml:space="preserve"> </w:t>
      </w:r>
      <w:r w:rsidRPr="009E6200">
        <w:t>случае</w:t>
      </w:r>
      <w:r w:rsidR="00661EE7" w:rsidRPr="009E6200">
        <w:t xml:space="preserve"> </w:t>
      </w:r>
      <w:r w:rsidRPr="009E6200">
        <w:t>развития</w:t>
      </w:r>
      <w:r w:rsidR="00661EE7" w:rsidRPr="009E6200">
        <w:t xml:space="preserve"> </w:t>
      </w:r>
      <w:r w:rsidRPr="009E6200">
        <w:t>застойной сердечной недостаточности следует прек</w:t>
      </w:r>
      <w:r w:rsidR="007B6831" w:rsidRPr="009E6200">
        <w:t>ратить прием препарата RPH-001.</w:t>
      </w:r>
    </w:p>
    <w:p w14:paraId="407CB227" w14:textId="77777777" w:rsidR="00577BCF" w:rsidRDefault="00577BCF" w:rsidP="007B46F5">
      <w:pPr>
        <w:pStyle w:val="SDText"/>
        <w:jc w:val="both"/>
        <w:rPr>
          <w:b/>
          <w:i/>
        </w:rPr>
      </w:pPr>
    </w:p>
    <w:p w14:paraId="7AA66F7C" w14:textId="6938BB77" w:rsidR="003C1EF6" w:rsidRPr="009E6200" w:rsidRDefault="00EE6A55" w:rsidP="007B46F5">
      <w:pPr>
        <w:pStyle w:val="SDText"/>
        <w:jc w:val="both"/>
        <w:rPr>
          <w:b/>
          <w:i/>
        </w:rPr>
      </w:pPr>
      <w:r w:rsidRPr="009E6200">
        <w:rPr>
          <w:b/>
          <w:i/>
        </w:rPr>
        <w:t>Н</w:t>
      </w:r>
      <w:r w:rsidR="003C1EF6" w:rsidRPr="009E6200">
        <w:rPr>
          <w:b/>
          <w:i/>
        </w:rPr>
        <w:t>ар</w:t>
      </w:r>
      <w:r w:rsidR="007B6831" w:rsidRPr="009E6200">
        <w:rPr>
          <w:b/>
          <w:i/>
        </w:rPr>
        <w:t>ушения со стороны органа зрения</w:t>
      </w:r>
    </w:p>
    <w:p w14:paraId="2D382117" w14:textId="77777777" w:rsidR="00577BCF" w:rsidRDefault="00577BCF" w:rsidP="007B46F5">
      <w:pPr>
        <w:pStyle w:val="SDText"/>
        <w:jc w:val="both"/>
      </w:pPr>
    </w:p>
    <w:p w14:paraId="5E0FD0B8" w14:textId="3310F948" w:rsidR="003C1EF6" w:rsidRPr="009E6200" w:rsidRDefault="003C1EF6" w:rsidP="007B46F5">
      <w:pPr>
        <w:pStyle w:val="SDText"/>
        <w:ind w:firstLine="709"/>
        <w:jc w:val="both"/>
      </w:pPr>
      <w:r w:rsidRPr="009E6200">
        <w:t>Сообщались</w:t>
      </w:r>
      <w:r w:rsidR="00661EE7" w:rsidRPr="009E6200">
        <w:t xml:space="preserve"> </w:t>
      </w:r>
      <w:r w:rsidRPr="009E6200">
        <w:t>отдельные</w:t>
      </w:r>
      <w:r w:rsidR="00661EE7" w:rsidRPr="009E6200">
        <w:t xml:space="preserve"> </w:t>
      </w:r>
      <w:r w:rsidRPr="009E6200">
        <w:t>случаи,</w:t>
      </w:r>
      <w:r w:rsidR="00661EE7" w:rsidRPr="009E6200">
        <w:t xml:space="preserve"> </w:t>
      </w:r>
      <w:r w:rsidRPr="009E6200">
        <w:t>а</w:t>
      </w:r>
      <w:r w:rsidR="00661EE7" w:rsidRPr="009E6200">
        <w:t xml:space="preserve"> </w:t>
      </w:r>
      <w:r w:rsidRPr="009E6200">
        <w:t>также</w:t>
      </w:r>
      <w:r w:rsidR="00661EE7" w:rsidRPr="009E6200">
        <w:t xml:space="preserve"> </w:t>
      </w:r>
      <w:r w:rsidRPr="009E6200">
        <w:t>серии</w:t>
      </w:r>
      <w:r w:rsidR="00661EE7" w:rsidRPr="009E6200">
        <w:t xml:space="preserve"> </w:t>
      </w:r>
      <w:r w:rsidRPr="009E6200">
        <w:t>случаев</w:t>
      </w:r>
      <w:r w:rsidR="00661EE7" w:rsidRPr="009E6200">
        <w:t xml:space="preserve"> </w:t>
      </w:r>
      <w:r w:rsidR="00EE6A55" w:rsidRPr="009E6200">
        <w:t>СНЯ</w:t>
      </w:r>
      <w:r w:rsidRPr="009E6200">
        <w:t xml:space="preserve"> со стороны органа зрения (включая инфекционный эндофтальмит и другие воспалительные</w:t>
      </w:r>
      <w:r w:rsidR="00661EE7" w:rsidRPr="009E6200">
        <w:t xml:space="preserve"> </w:t>
      </w:r>
      <w:r w:rsidRPr="009E6200">
        <w:t>заболевания)</w:t>
      </w:r>
      <w:r w:rsidR="00661EE7" w:rsidRPr="009E6200">
        <w:t xml:space="preserve"> </w:t>
      </w:r>
      <w:r w:rsidRPr="009E6200">
        <w:t>после</w:t>
      </w:r>
      <w:r w:rsidR="00661EE7" w:rsidRPr="009E6200">
        <w:t xml:space="preserve"> </w:t>
      </w:r>
      <w:r w:rsidRPr="009E6200">
        <w:t>незарегистрированного</w:t>
      </w:r>
      <w:r w:rsidR="00661EE7" w:rsidRPr="009E6200">
        <w:t xml:space="preserve"> </w:t>
      </w:r>
      <w:r w:rsidRPr="009E6200">
        <w:t xml:space="preserve">интравитреального </w:t>
      </w:r>
      <w:r w:rsidR="00EE6A55" w:rsidRPr="009E6200">
        <w:t>введения</w:t>
      </w:r>
      <w:r w:rsidR="00661EE7" w:rsidRPr="009E6200">
        <w:t xml:space="preserve"> </w:t>
      </w:r>
      <w:r w:rsidR="00EE6A55" w:rsidRPr="009E6200">
        <w:t>препарата</w:t>
      </w:r>
      <w:r w:rsidR="00661EE7" w:rsidRPr="009E6200">
        <w:t xml:space="preserve"> </w:t>
      </w:r>
      <w:r w:rsidR="00EE6A55" w:rsidRPr="009E6200">
        <w:t>Авастин</w:t>
      </w:r>
      <w:r w:rsidR="00121FA5" w:rsidRPr="009E6200">
        <w:rPr>
          <w:vertAlign w:val="superscript"/>
        </w:rPr>
        <w:t>®</w:t>
      </w:r>
      <w:r w:rsidRPr="009E6200">
        <w:t>.</w:t>
      </w:r>
      <w:r w:rsidR="00661EE7" w:rsidRPr="009E6200">
        <w:t xml:space="preserve"> </w:t>
      </w:r>
      <w:r w:rsidRPr="009E6200">
        <w:t>Некоторые</w:t>
      </w:r>
      <w:r w:rsidR="00661EE7" w:rsidRPr="009E6200">
        <w:t xml:space="preserve"> </w:t>
      </w:r>
      <w:r w:rsidRPr="009E6200">
        <w:t>из</w:t>
      </w:r>
      <w:r w:rsidR="00661EE7" w:rsidRPr="009E6200">
        <w:t xml:space="preserve"> </w:t>
      </w:r>
      <w:r w:rsidRPr="009E6200">
        <w:t>этих</w:t>
      </w:r>
      <w:r w:rsidR="00661EE7" w:rsidRPr="009E6200">
        <w:t xml:space="preserve"> </w:t>
      </w:r>
      <w:r w:rsidRPr="009E6200">
        <w:t>явлений</w:t>
      </w:r>
      <w:r w:rsidR="00661EE7" w:rsidRPr="009E6200">
        <w:t xml:space="preserve"> </w:t>
      </w:r>
      <w:r w:rsidRPr="009E6200">
        <w:t>привели</w:t>
      </w:r>
      <w:r w:rsidR="00661EE7" w:rsidRPr="009E6200">
        <w:t xml:space="preserve"> </w:t>
      </w:r>
      <w:r w:rsidRPr="009E6200">
        <w:t>к</w:t>
      </w:r>
      <w:r w:rsidR="00661EE7" w:rsidRPr="009E6200">
        <w:t xml:space="preserve"> </w:t>
      </w:r>
      <w:r w:rsidRPr="009E6200">
        <w:t>потере остроты</w:t>
      </w:r>
      <w:r w:rsidR="00661EE7" w:rsidRPr="009E6200">
        <w:t xml:space="preserve"> </w:t>
      </w:r>
      <w:r w:rsidRPr="009E6200">
        <w:t>зрения</w:t>
      </w:r>
      <w:r w:rsidR="00661EE7" w:rsidRPr="009E6200">
        <w:t xml:space="preserve"> </w:t>
      </w:r>
      <w:r w:rsidRPr="009E6200">
        <w:t>различной</w:t>
      </w:r>
      <w:r w:rsidR="00661EE7" w:rsidRPr="009E6200">
        <w:t xml:space="preserve"> </w:t>
      </w:r>
      <w:r w:rsidRPr="009E6200">
        <w:t>степени</w:t>
      </w:r>
      <w:r w:rsidR="00661EE7" w:rsidRPr="009E6200">
        <w:t xml:space="preserve"> </w:t>
      </w:r>
      <w:r w:rsidRPr="009E6200">
        <w:t>тяжести,</w:t>
      </w:r>
      <w:r w:rsidR="00661EE7" w:rsidRPr="009E6200">
        <w:t xml:space="preserve"> </w:t>
      </w:r>
      <w:r w:rsidRPr="009E6200">
        <w:t>включая</w:t>
      </w:r>
      <w:r w:rsidR="00661EE7" w:rsidRPr="009E6200">
        <w:t xml:space="preserve"> </w:t>
      </w:r>
      <w:r w:rsidRPr="009E6200">
        <w:t>стойкую</w:t>
      </w:r>
      <w:r w:rsidR="00661EE7" w:rsidRPr="009E6200">
        <w:t xml:space="preserve"> </w:t>
      </w:r>
      <w:r w:rsidRPr="009E6200">
        <w:t>слепоту.</w:t>
      </w:r>
      <w:r w:rsidR="00661EE7" w:rsidRPr="009E6200">
        <w:t xml:space="preserve"> </w:t>
      </w:r>
      <w:r w:rsidRPr="009E6200">
        <w:t xml:space="preserve">Препарат </w:t>
      </w:r>
      <w:r w:rsidR="00EE6A55" w:rsidRPr="009E6200">
        <w:t>Авастин</w:t>
      </w:r>
      <w:r w:rsidR="00121FA5" w:rsidRPr="009E6200">
        <w:rPr>
          <w:vertAlign w:val="superscript"/>
        </w:rPr>
        <w:t>®</w:t>
      </w:r>
      <w:r w:rsidR="00661EE7" w:rsidRPr="009E6200">
        <w:t xml:space="preserve"> </w:t>
      </w:r>
      <w:r w:rsidRPr="009E6200">
        <w:t xml:space="preserve">не предназначен </w:t>
      </w:r>
      <w:r w:rsidR="007B6831" w:rsidRPr="009E6200">
        <w:t>для интравитреального введения.</w:t>
      </w:r>
    </w:p>
    <w:p w14:paraId="22C12CDC" w14:textId="77777777" w:rsidR="00577BCF" w:rsidRDefault="00577BCF" w:rsidP="007B46F5">
      <w:pPr>
        <w:pStyle w:val="SDText"/>
        <w:jc w:val="both"/>
        <w:rPr>
          <w:b/>
          <w:i/>
        </w:rPr>
      </w:pPr>
    </w:p>
    <w:p w14:paraId="1FC7199B" w14:textId="0B219797" w:rsidR="003C1EF6" w:rsidRPr="009E6200" w:rsidRDefault="003C1EF6" w:rsidP="007B46F5">
      <w:pPr>
        <w:pStyle w:val="SDText"/>
        <w:jc w:val="both"/>
        <w:rPr>
          <w:b/>
          <w:i/>
        </w:rPr>
      </w:pPr>
      <w:r w:rsidRPr="009E6200">
        <w:rPr>
          <w:b/>
          <w:i/>
        </w:rPr>
        <w:t>Нейтропения</w:t>
      </w:r>
    </w:p>
    <w:p w14:paraId="3942C419" w14:textId="77777777" w:rsidR="00577BCF" w:rsidRDefault="00577BCF" w:rsidP="007B46F5">
      <w:pPr>
        <w:pStyle w:val="SDText"/>
        <w:jc w:val="both"/>
      </w:pPr>
    </w:p>
    <w:p w14:paraId="342E2554" w14:textId="7FBE0E97" w:rsidR="003C1EF6" w:rsidRPr="009E6200" w:rsidRDefault="003C1EF6" w:rsidP="007B46F5">
      <w:pPr>
        <w:pStyle w:val="SDText"/>
        <w:ind w:firstLine="709"/>
        <w:jc w:val="both"/>
      </w:pPr>
      <w:r w:rsidRPr="009E6200">
        <w:t>При</w:t>
      </w:r>
      <w:r w:rsidR="00661EE7" w:rsidRPr="009E6200">
        <w:t xml:space="preserve"> </w:t>
      </w:r>
      <w:r w:rsidRPr="009E6200">
        <w:t>терапии</w:t>
      </w:r>
      <w:r w:rsidR="00661EE7" w:rsidRPr="009E6200">
        <w:t xml:space="preserve"> </w:t>
      </w:r>
      <w:r w:rsidRPr="009E6200">
        <w:t>препаратом</w:t>
      </w:r>
      <w:r w:rsidR="00661EE7" w:rsidRPr="009E6200">
        <w:t xml:space="preserve"> </w:t>
      </w:r>
      <w:r w:rsidRPr="009E6200">
        <w:t>Авастин</w:t>
      </w:r>
      <w:r w:rsidR="00121FA5" w:rsidRPr="009E6200">
        <w:rPr>
          <w:vertAlign w:val="superscript"/>
        </w:rPr>
        <w:t>®</w:t>
      </w:r>
      <w:r w:rsidR="00661EE7" w:rsidRPr="009E6200">
        <w:t xml:space="preserve"> </w:t>
      </w:r>
      <w:r w:rsidRPr="009E6200">
        <w:t>в</w:t>
      </w:r>
      <w:r w:rsidR="00661EE7" w:rsidRPr="009E6200">
        <w:t xml:space="preserve"> </w:t>
      </w:r>
      <w:r w:rsidRPr="009E6200">
        <w:t>комбинации</w:t>
      </w:r>
      <w:r w:rsidR="00661EE7" w:rsidRPr="009E6200">
        <w:t xml:space="preserve"> </w:t>
      </w:r>
      <w:r w:rsidRPr="009E6200">
        <w:t>с</w:t>
      </w:r>
      <w:r w:rsidR="00661EE7" w:rsidRPr="009E6200">
        <w:t xml:space="preserve"> </w:t>
      </w:r>
      <w:r w:rsidRPr="009E6200">
        <w:t>миелотоксичными</w:t>
      </w:r>
      <w:r w:rsidR="00661EE7" w:rsidRPr="009E6200">
        <w:t xml:space="preserve"> </w:t>
      </w:r>
      <w:r w:rsidRPr="009E6200">
        <w:t>режимами химиотерапии</w:t>
      </w:r>
      <w:r w:rsidR="00661EE7" w:rsidRPr="009E6200">
        <w:t xml:space="preserve"> </w:t>
      </w:r>
      <w:r w:rsidRPr="009E6200">
        <w:t>наблюдалось</w:t>
      </w:r>
      <w:r w:rsidR="00661EE7" w:rsidRPr="009E6200">
        <w:t xml:space="preserve"> </w:t>
      </w:r>
      <w:r w:rsidRPr="009E6200">
        <w:t>повышение</w:t>
      </w:r>
      <w:r w:rsidR="00661EE7" w:rsidRPr="009E6200">
        <w:t xml:space="preserve"> </w:t>
      </w:r>
      <w:r w:rsidRPr="009E6200">
        <w:t>частоты</w:t>
      </w:r>
      <w:r w:rsidR="00661EE7" w:rsidRPr="009E6200">
        <w:t xml:space="preserve"> </w:t>
      </w:r>
      <w:r w:rsidRPr="009E6200">
        <w:t>развития</w:t>
      </w:r>
      <w:r w:rsidR="00661EE7" w:rsidRPr="009E6200">
        <w:t xml:space="preserve"> </w:t>
      </w:r>
      <w:r w:rsidRPr="009E6200">
        <w:t>тяжелой</w:t>
      </w:r>
      <w:r w:rsidR="00661EE7" w:rsidRPr="009E6200">
        <w:t xml:space="preserve"> </w:t>
      </w:r>
      <w:r w:rsidRPr="009E6200">
        <w:t>нейтропении, фебрильной нейтропении или инфекций с тяжелой нейтропенией (включ</w:t>
      </w:r>
      <w:r w:rsidR="007B6831" w:rsidRPr="009E6200">
        <w:t>ая случаи с летальным исходом).</w:t>
      </w:r>
    </w:p>
    <w:p w14:paraId="42F88B75" w14:textId="77777777" w:rsidR="00577BCF" w:rsidRDefault="00577BCF" w:rsidP="007B46F5">
      <w:pPr>
        <w:pStyle w:val="SDText"/>
        <w:jc w:val="both"/>
        <w:rPr>
          <w:b/>
          <w:i/>
        </w:rPr>
      </w:pPr>
    </w:p>
    <w:p w14:paraId="695ACF12" w14:textId="6625609E" w:rsidR="003C1EF6" w:rsidRPr="009E6200" w:rsidRDefault="007B6831" w:rsidP="007B46F5">
      <w:pPr>
        <w:pStyle w:val="SDText"/>
        <w:jc w:val="both"/>
        <w:rPr>
          <w:b/>
          <w:i/>
        </w:rPr>
      </w:pPr>
      <w:r w:rsidRPr="009E6200">
        <w:rPr>
          <w:b/>
          <w:i/>
        </w:rPr>
        <w:t>Остеонекроз челюсти</w:t>
      </w:r>
    </w:p>
    <w:p w14:paraId="3A5A9EB8" w14:textId="77777777" w:rsidR="00577BCF" w:rsidRDefault="00577BCF" w:rsidP="007B46F5">
      <w:pPr>
        <w:pStyle w:val="SDText"/>
        <w:jc w:val="both"/>
      </w:pPr>
    </w:p>
    <w:p w14:paraId="5BC6D149" w14:textId="1F7DDB81" w:rsidR="003C1EF6" w:rsidRPr="009E6200" w:rsidRDefault="003C1EF6" w:rsidP="007B46F5">
      <w:pPr>
        <w:pStyle w:val="SDText"/>
        <w:ind w:firstLine="709"/>
        <w:jc w:val="both"/>
      </w:pPr>
      <w:r w:rsidRPr="009E6200">
        <w:t>Сообщалось</w:t>
      </w:r>
      <w:r w:rsidR="00661EE7" w:rsidRPr="009E6200">
        <w:t xml:space="preserve"> </w:t>
      </w:r>
      <w:r w:rsidRPr="009E6200">
        <w:t>о</w:t>
      </w:r>
      <w:r w:rsidR="00661EE7" w:rsidRPr="009E6200">
        <w:t xml:space="preserve"> </w:t>
      </w:r>
      <w:r w:rsidRPr="009E6200">
        <w:t>случаях</w:t>
      </w:r>
      <w:r w:rsidR="00661EE7" w:rsidRPr="009E6200">
        <w:t xml:space="preserve"> </w:t>
      </w:r>
      <w:r w:rsidRPr="009E6200">
        <w:t>остеонекроза</w:t>
      </w:r>
      <w:r w:rsidR="00661EE7" w:rsidRPr="009E6200">
        <w:t xml:space="preserve"> </w:t>
      </w:r>
      <w:r w:rsidRPr="009E6200">
        <w:t>челюсти</w:t>
      </w:r>
      <w:r w:rsidR="00661EE7" w:rsidRPr="009E6200">
        <w:t xml:space="preserve"> </w:t>
      </w:r>
      <w:r w:rsidRPr="009E6200">
        <w:t>у</w:t>
      </w:r>
      <w:r w:rsidR="00661EE7" w:rsidRPr="009E6200">
        <w:t xml:space="preserve"> </w:t>
      </w:r>
      <w:r w:rsidRPr="009E6200">
        <w:t>онкологических</w:t>
      </w:r>
      <w:r w:rsidR="00661EE7" w:rsidRPr="009E6200">
        <w:t xml:space="preserve"> </w:t>
      </w:r>
      <w:r w:rsidRPr="009E6200">
        <w:t xml:space="preserve">пациентов, </w:t>
      </w:r>
      <w:r w:rsidR="00EE6A55" w:rsidRPr="009E6200">
        <w:t>получавших</w:t>
      </w:r>
      <w:r w:rsidR="00661EE7" w:rsidRPr="009E6200">
        <w:t xml:space="preserve"> </w:t>
      </w:r>
      <w:r w:rsidR="00EE6A55" w:rsidRPr="009E6200">
        <w:t>препарат</w:t>
      </w:r>
      <w:r w:rsidR="00661EE7" w:rsidRPr="009E6200">
        <w:t xml:space="preserve"> </w:t>
      </w:r>
      <w:r w:rsidR="00EE6A55" w:rsidRPr="009E6200">
        <w:t>Авастин</w:t>
      </w:r>
      <w:r w:rsidR="00121FA5" w:rsidRPr="009E6200">
        <w:rPr>
          <w:vertAlign w:val="superscript"/>
        </w:rPr>
        <w:t>®</w:t>
      </w:r>
      <w:r w:rsidRPr="009E6200">
        <w:t>.</w:t>
      </w:r>
      <w:r w:rsidR="00661EE7" w:rsidRPr="009E6200">
        <w:t xml:space="preserve"> </w:t>
      </w:r>
      <w:r w:rsidRPr="009E6200">
        <w:t>Большинство</w:t>
      </w:r>
      <w:r w:rsidR="00661EE7" w:rsidRPr="009E6200">
        <w:t xml:space="preserve"> </w:t>
      </w:r>
      <w:r w:rsidRPr="009E6200">
        <w:t>из</w:t>
      </w:r>
      <w:r w:rsidR="00661EE7" w:rsidRPr="009E6200">
        <w:t xml:space="preserve"> </w:t>
      </w:r>
      <w:r w:rsidRPr="009E6200">
        <w:t>этих</w:t>
      </w:r>
      <w:r w:rsidR="00661EE7" w:rsidRPr="009E6200">
        <w:t xml:space="preserve"> </w:t>
      </w:r>
      <w:r w:rsidRPr="009E6200">
        <w:t>пациентов</w:t>
      </w:r>
      <w:r w:rsidR="00661EE7" w:rsidRPr="009E6200">
        <w:t xml:space="preserve"> </w:t>
      </w:r>
      <w:r w:rsidRPr="009E6200">
        <w:t>получали бисфосфонаты</w:t>
      </w:r>
      <w:r w:rsidR="00661EE7" w:rsidRPr="009E6200">
        <w:t xml:space="preserve"> </w:t>
      </w:r>
      <w:r w:rsidRPr="009E6200">
        <w:t>внутривенно</w:t>
      </w:r>
      <w:r w:rsidR="00661EE7" w:rsidRPr="009E6200">
        <w:t xml:space="preserve"> </w:t>
      </w:r>
      <w:r w:rsidRPr="009E6200">
        <w:t>ранее</w:t>
      </w:r>
      <w:r w:rsidR="00661EE7" w:rsidRPr="009E6200">
        <w:t xml:space="preserve"> </w:t>
      </w:r>
      <w:r w:rsidRPr="009E6200">
        <w:t>или</w:t>
      </w:r>
      <w:r w:rsidR="00661EE7" w:rsidRPr="009E6200">
        <w:t xml:space="preserve"> </w:t>
      </w:r>
      <w:r w:rsidRPr="009E6200">
        <w:t>в</w:t>
      </w:r>
      <w:r w:rsidR="00661EE7" w:rsidRPr="009E6200">
        <w:t xml:space="preserve"> </w:t>
      </w:r>
      <w:r w:rsidRPr="009E6200">
        <w:t>качестве</w:t>
      </w:r>
      <w:r w:rsidR="00661EE7" w:rsidRPr="009E6200">
        <w:t xml:space="preserve"> </w:t>
      </w:r>
      <w:r w:rsidRPr="009E6200">
        <w:t>сопутствующей</w:t>
      </w:r>
      <w:r w:rsidR="00661EE7" w:rsidRPr="009E6200">
        <w:t xml:space="preserve"> </w:t>
      </w:r>
      <w:r w:rsidRPr="009E6200">
        <w:t>терапии; остеонекроз</w:t>
      </w:r>
      <w:r w:rsidR="00661EE7" w:rsidRPr="009E6200">
        <w:t xml:space="preserve"> </w:t>
      </w:r>
      <w:r w:rsidRPr="009E6200">
        <w:t>челюсти</w:t>
      </w:r>
      <w:r w:rsidR="00661EE7" w:rsidRPr="009E6200">
        <w:t xml:space="preserve"> </w:t>
      </w:r>
      <w:r w:rsidRPr="009E6200">
        <w:t>является</w:t>
      </w:r>
      <w:r w:rsidR="00661EE7" w:rsidRPr="009E6200">
        <w:t xml:space="preserve"> </w:t>
      </w:r>
      <w:r w:rsidRPr="009E6200">
        <w:t>идентифицированным</w:t>
      </w:r>
      <w:r w:rsidR="00661EE7" w:rsidRPr="009E6200">
        <w:t xml:space="preserve"> </w:t>
      </w:r>
      <w:r w:rsidRPr="009E6200">
        <w:t>риском</w:t>
      </w:r>
      <w:r w:rsidR="00661EE7" w:rsidRPr="009E6200">
        <w:t xml:space="preserve"> </w:t>
      </w:r>
      <w:r w:rsidRPr="009E6200">
        <w:t>для</w:t>
      </w:r>
      <w:r w:rsidR="00661EE7" w:rsidRPr="009E6200">
        <w:t xml:space="preserve"> </w:t>
      </w:r>
      <w:r w:rsidRPr="009E6200">
        <w:t>бисфосфонатов. Необходимо</w:t>
      </w:r>
      <w:r w:rsidR="00661EE7" w:rsidRPr="009E6200">
        <w:t xml:space="preserve"> </w:t>
      </w:r>
      <w:r w:rsidRPr="009E6200">
        <w:t>соблюдать</w:t>
      </w:r>
      <w:r w:rsidR="00661EE7" w:rsidRPr="009E6200">
        <w:t xml:space="preserve"> </w:t>
      </w:r>
      <w:r w:rsidRPr="009E6200">
        <w:t>осторожность</w:t>
      </w:r>
      <w:r w:rsidR="00661EE7" w:rsidRPr="009E6200">
        <w:t xml:space="preserve"> </w:t>
      </w:r>
      <w:r w:rsidRPr="009E6200">
        <w:t>при</w:t>
      </w:r>
      <w:r w:rsidR="00661EE7" w:rsidRPr="009E6200">
        <w:t xml:space="preserve"> </w:t>
      </w:r>
      <w:r w:rsidRPr="009E6200">
        <w:t>одновременном</w:t>
      </w:r>
      <w:r w:rsidR="00661EE7" w:rsidRPr="009E6200">
        <w:t xml:space="preserve"> </w:t>
      </w:r>
      <w:r w:rsidRPr="009E6200">
        <w:t>или</w:t>
      </w:r>
      <w:r w:rsidR="00661EE7" w:rsidRPr="009E6200">
        <w:t xml:space="preserve"> </w:t>
      </w:r>
      <w:r w:rsidRPr="009E6200">
        <w:t xml:space="preserve">последовательном </w:t>
      </w:r>
      <w:r w:rsidR="00EE6A55" w:rsidRPr="009E6200">
        <w:t>применении</w:t>
      </w:r>
      <w:r w:rsidR="00661EE7" w:rsidRPr="009E6200">
        <w:t xml:space="preserve"> </w:t>
      </w:r>
      <w:r w:rsidR="00EE6A55" w:rsidRPr="009E6200">
        <w:t>препарата</w:t>
      </w:r>
      <w:r w:rsidR="00661EE7" w:rsidRPr="009E6200">
        <w:t xml:space="preserve"> </w:t>
      </w:r>
      <w:r w:rsidR="00EE6A55" w:rsidRPr="009E6200">
        <w:t>Авастин</w:t>
      </w:r>
      <w:r w:rsidR="00121FA5" w:rsidRPr="009E6200">
        <w:rPr>
          <w:vertAlign w:val="superscript"/>
        </w:rPr>
        <w:t>®</w:t>
      </w:r>
      <w:r w:rsidR="00661EE7" w:rsidRPr="009E6200">
        <w:t xml:space="preserve"> </w:t>
      </w:r>
      <w:r w:rsidRPr="009E6200">
        <w:t>и</w:t>
      </w:r>
      <w:r w:rsidR="00661EE7" w:rsidRPr="009E6200">
        <w:t xml:space="preserve"> </w:t>
      </w:r>
      <w:r w:rsidRPr="009E6200">
        <w:t>бисфосфонатов</w:t>
      </w:r>
      <w:r w:rsidR="00661EE7" w:rsidRPr="009E6200">
        <w:t xml:space="preserve"> </w:t>
      </w:r>
      <w:r w:rsidRPr="009E6200">
        <w:t>внутривенно.</w:t>
      </w:r>
      <w:r w:rsidR="00661EE7" w:rsidRPr="009E6200">
        <w:t xml:space="preserve"> </w:t>
      </w:r>
      <w:r w:rsidRPr="009E6200">
        <w:t>Инвазивные стоматологические</w:t>
      </w:r>
      <w:r w:rsidR="00661EE7" w:rsidRPr="009E6200">
        <w:t xml:space="preserve"> </w:t>
      </w:r>
      <w:r w:rsidRPr="009E6200">
        <w:t>процедуры</w:t>
      </w:r>
      <w:r w:rsidR="00661EE7" w:rsidRPr="009E6200">
        <w:t xml:space="preserve"> </w:t>
      </w:r>
      <w:r w:rsidRPr="009E6200">
        <w:t>также</w:t>
      </w:r>
      <w:r w:rsidR="00661EE7" w:rsidRPr="009E6200">
        <w:t xml:space="preserve"> </w:t>
      </w:r>
      <w:r w:rsidRPr="009E6200">
        <w:t>являются</w:t>
      </w:r>
      <w:r w:rsidR="00661EE7" w:rsidRPr="009E6200">
        <w:t xml:space="preserve"> </w:t>
      </w:r>
      <w:r w:rsidRPr="009E6200">
        <w:t>идентифицированным</w:t>
      </w:r>
      <w:r w:rsidR="00661EE7" w:rsidRPr="009E6200">
        <w:t xml:space="preserve"> </w:t>
      </w:r>
      <w:r w:rsidRPr="009E6200">
        <w:t>фактором</w:t>
      </w:r>
      <w:r w:rsidR="00EE6A55" w:rsidRPr="009E6200">
        <w:t xml:space="preserve"> </w:t>
      </w:r>
      <w:r w:rsidRPr="009E6200">
        <w:t>риска.</w:t>
      </w:r>
      <w:r w:rsidR="00661EE7" w:rsidRPr="009E6200">
        <w:t xml:space="preserve"> </w:t>
      </w:r>
      <w:r w:rsidRPr="009E6200">
        <w:t>До</w:t>
      </w:r>
      <w:r w:rsidR="00661EE7" w:rsidRPr="009E6200">
        <w:t xml:space="preserve"> </w:t>
      </w:r>
      <w:r w:rsidRPr="009E6200">
        <w:t>начал</w:t>
      </w:r>
      <w:r w:rsidR="00EE6A55" w:rsidRPr="009E6200">
        <w:t>а</w:t>
      </w:r>
      <w:r w:rsidR="00661EE7" w:rsidRPr="009E6200">
        <w:t xml:space="preserve"> </w:t>
      </w:r>
      <w:r w:rsidR="00EE6A55" w:rsidRPr="009E6200">
        <w:t>лечения</w:t>
      </w:r>
      <w:r w:rsidR="00661EE7" w:rsidRPr="009E6200">
        <w:t xml:space="preserve"> </w:t>
      </w:r>
      <w:r w:rsidR="00EE6A55" w:rsidRPr="009E6200">
        <w:t>препаратом</w:t>
      </w:r>
      <w:r w:rsidR="00661EE7" w:rsidRPr="009E6200">
        <w:t xml:space="preserve"> </w:t>
      </w:r>
      <w:r w:rsidR="00EE6A55" w:rsidRPr="009E6200">
        <w:t>Авастин</w:t>
      </w:r>
      <w:r w:rsidR="00121FA5" w:rsidRPr="009E6200">
        <w:rPr>
          <w:vertAlign w:val="superscript"/>
        </w:rPr>
        <w:t>®</w:t>
      </w:r>
      <w:r w:rsidR="00661EE7" w:rsidRPr="009E6200">
        <w:t xml:space="preserve"> </w:t>
      </w:r>
      <w:r w:rsidRPr="009E6200">
        <w:t>следует</w:t>
      </w:r>
      <w:r w:rsidR="00661EE7" w:rsidRPr="009E6200">
        <w:t xml:space="preserve"> </w:t>
      </w:r>
      <w:r w:rsidRPr="009E6200">
        <w:t>провести стоматологическое</w:t>
      </w:r>
      <w:r w:rsidR="00661EE7" w:rsidRPr="009E6200">
        <w:t xml:space="preserve"> </w:t>
      </w:r>
      <w:r w:rsidRPr="009E6200">
        <w:t>обследование</w:t>
      </w:r>
      <w:r w:rsidR="00661EE7" w:rsidRPr="009E6200">
        <w:t xml:space="preserve"> </w:t>
      </w:r>
      <w:r w:rsidRPr="009E6200">
        <w:t>и</w:t>
      </w:r>
      <w:r w:rsidR="00661EE7" w:rsidRPr="009E6200">
        <w:t xml:space="preserve"> </w:t>
      </w:r>
      <w:r w:rsidRPr="009E6200">
        <w:t>соответствующие</w:t>
      </w:r>
      <w:r w:rsidR="00661EE7" w:rsidRPr="009E6200">
        <w:t xml:space="preserve"> </w:t>
      </w:r>
      <w:r w:rsidRPr="009E6200">
        <w:t>профилактические стоматологические</w:t>
      </w:r>
      <w:r w:rsidR="00661EE7" w:rsidRPr="009E6200">
        <w:t xml:space="preserve"> </w:t>
      </w:r>
      <w:r w:rsidRPr="009E6200">
        <w:t>мероприятия.</w:t>
      </w:r>
      <w:r w:rsidR="00661EE7" w:rsidRPr="009E6200">
        <w:t xml:space="preserve"> </w:t>
      </w:r>
      <w:r w:rsidRPr="009E6200">
        <w:t>По</w:t>
      </w:r>
      <w:r w:rsidR="00661EE7" w:rsidRPr="009E6200">
        <w:t xml:space="preserve"> </w:t>
      </w:r>
      <w:r w:rsidRPr="009E6200">
        <w:t>возможности</w:t>
      </w:r>
      <w:r w:rsidR="00661EE7" w:rsidRPr="009E6200">
        <w:t xml:space="preserve"> </w:t>
      </w:r>
      <w:r w:rsidRPr="009E6200">
        <w:t>следует</w:t>
      </w:r>
      <w:r w:rsidR="00661EE7" w:rsidRPr="009E6200">
        <w:t xml:space="preserve"> </w:t>
      </w:r>
      <w:r w:rsidRPr="009E6200">
        <w:t>избегать</w:t>
      </w:r>
      <w:r w:rsidR="00661EE7" w:rsidRPr="009E6200">
        <w:t xml:space="preserve"> </w:t>
      </w:r>
      <w:r w:rsidRPr="009E6200">
        <w:t>проведения инвазивных</w:t>
      </w:r>
      <w:r w:rsidR="00661EE7" w:rsidRPr="009E6200">
        <w:t xml:space="preserve"> </w:t>
      </w:r>
      <w:r w:rsidRPr="009E6200">
        <w:t>стоматологических</w:t>
      </w:r>
      <w:r w:rsidR="00661EE7" w:rsidRPr="009E6200">
        <w:t xml:space="preserve"> </w:t>
      </w:r>
      <w:r w:rsidRPr="009E6200">
        <w:t>процедур</w:t>
      </w:r>
      <w:r w:rsidR="00661EE7" w:rsidRPr="009E6200">
        <w:t xml:space="preserve"> </w:t>
      </w:r>
      <w:r w:rsidRPr="009E6200">
        <w:t>у</w:t>
      </w:r>
      <w:r w:rsidR="00661EE7" w:rsidRPr="009E6200">
        <w:t xml:space="preserve"> </w:t>
      </w:r>
      <w:r w:rsidRPr="009E6200">
        <w:t>пациентов,</w:t>
      </w:r>
      <w:r w:rsidR="00661EE7" w:rsidRPr="009E6200">
        <w:t xml:space="preserve"> </w:t>
      </w:r>
      <w:r w:rsidRPr="009E6200">
        <w:t>ранее</w:t>
      </w:r>
      <w:r w:rsidR="00661EE7" w:rsidRPr="009E6200">
        <w:t xml:space="preserve"> </w:t>
      </w:r>
      <w:r w:rsidRPr="009E6200">
        <w:t>получавших</w:t>
      </w:r>
      <w:r w:rsidR="00661EE7" w:rsidRPr="009E6200">
        <w:t xml:space="preserve"> </w:t>
      </w:r>
      <w:r w:rsidRPr="009E6200">
        <w:t xml:space="preserve">или получающих в настоящее </w:t>
      </w:r>
      <w:r w:rsidR="007B6831" w:rsidRPr="009E6200">
        <w:t>время бисфосфонаты внутривенно.</w:t>
      </w:r>
    </w:p>
    <w:p w14:paraId="32BD147F" w14:textId="77777777" w:rsidR="00577BCF" w:rsidRDefault="00577BCF" w:rsidP="007B46F5">
      <w:pPr>
        <w:pStyle w:val="SDText"/>
        <w:jc w:val="both"/>
        <w:rPr>
          <w:b/>
          <w:i/>
        </w:rPr>
      </w:pPr>
    </w:p>
    <w:p w14:paraId="7557BF00" w14:textId="0AA3388C" w:rsidR="003C1EF6" w:rsidRPr="009E6200" w:rsidRDefault="003C1EF6" w:rsidP="007B46F5">
      <w:pPr>
        <w:pStyle w:val="SDText"/>
        <w:jc w:val="both"/>
        <w:rPr>
          <w:b/>
          <w:i/>
        </w:rPr>
      </w:pPr>
      <w:r w:rsidRPr="009E6200">
        <w:rPr>
          <w:b/>
          <w:i/>
        </w:rPr>
        <w:t>Инфекции</w:t>
      </w:r>
      <w:r w:rsidR="00661EE7" w:rsidRPr="009E6200">
        <w:rPr>
          <w:b/>
          <w:i/>
        </w:rPr>
        <w:t xml:space="preserve"> </w:t>
      </w:r>
    </w:p>
    <w:p w14:paraId="151BACA3" w14:textId="77777777" w:rsidR="00577BCF" w:rsidRDefault="00577BCF" w:rsidP="007B46F5">
      <w:pPr>
        <w:pStyle w:val="SDText"/>
        <w:jc w:val="both"/>
      </w:pPr>
    </w:p>
    <w:p w14:paraId="424748E7" w14:textId="3165452D" w:rsidR="003C1EF6" w:rsidRPr="009E6200" w:rsidRDefault="003C1EF6" w:rsidP="007B46F5">
      <w:pPr>
        <w:pStyle w:val="SDText"/>
        <w:ind w:firstLine="709"/>
        <w:jc w:val="both"/>
      </w:pPr>
      <w:r w:rsidRPr="009E6200">
        <w:t>При</w:t>
      </w:r>
      <w:r w:rsidR="00661EE7" w:rsidRPr="009E6200">
        <w:t xml:space="preserve"> </w:t>
      </w:r>
      <w:r w:rsidRPr="009E6200">
        <w:t>изучении</w:t>
      </w:r>
      <w:r w:rsidR="00661EE7" w:rsidRPr="009E6200">
        <w:t xml:space="preserve"> </w:t>
      </w:r>
      <w:r w:rsidRPr="009E6200">
        <w:t>препарата</w:t>
      </w:r>
      <w:r w:rsidR="00661EE7" w:rsidRPr="009E6200">
        <w:t xml:space="preserve"> </w:t>
      </w:r>
      <w:r w:rsidRPr="009E6200">
        <w:t>Авастин</w:t>
      </w:r>
      <w:r w:rsidR="00121FA5" w:rsidRPr="009E6200">
        <w:rPr>
          <w:vertAlign w:val="superscript"/>
        </w:rPr>
        <w:t>®</w:t>
      </w:r>
      <w:r w:rsidR="00661EE7" w:rsidRPr="009E6200">
        <w:t xml:space="preserve"> </w:t>
      </w:r>
      <w:r w:rsidRPr="009E6200">
        <w:t>в</w:t>
      </w:r>
      <w:r w:rsidR="00661EE7" w:rsidRPr="009E6200">
        <w:t xml:space="preserve"> </w:t>
      </w:r>
      <w:r w:rsidRPr="009E6200">
        <w:t>комбинации</w:t>
      </w:r>
      <w:r w:rsidR="00661EE7" w:rsidRPr="009E6200">
        <w:t xml:space="preserve"> </w:t>
      </w:r>
      <w:r w:rsidRPr="009E6200">
        <w:t>с</w:t>
      </w:r>
      <w:r w:rsidR="00661EE7" w:rsidRPr="009E6200">
        <w:t xml:space="preserve"> </w:t>
      </w:r>
      <w:r w:rsidRPr="009E6200">
        <w:t>химиотерапией</w:t>
      </w:r>
      <w:r w:rsidR="00661EE7" w:rsidRPr="009E6200">
        <w:t xml:space="preserve"> </w:t>
      </w:r>
      <w:r w:rsidRPr="009E6200">
        <w:t>и</w:t>
      </w:r>
      <w:r w:rsidR="00661EE7" w:rsidRPr="009E6200">
        <w:t xml:space="preserve"> </w:t>
      </w:r>
      <w:r w:rsidRPr="009E6200">
        <w:t>лучевой терапией</w:t>
      </w:r>
      <w:r w:rsidR="00661EE7" w:rsidRPr="009E6200">
        <w:t xml:space="preserve"> </w:t>
      </w:r>
      <w:r w:rsidRPr="009E6200">
        <w:t>у</w:t>
      </w:r>
      <w:r w:rsidR="00661EE7" w:rsidRPr="009E6200">
        <w:t xml:space="preserve"> </w:t>
      </w:r>
      <w:r w:rsidRPr="009E6200">
        <w:t>пациентов</w:t>
      </w:r>
      <w:r w:rsidR="00661EE7" w:rsidRPr="009E6200">
        <w:t xml:space="preserve"> </w:t>
      </w:r>
      <w:r w:rsidRPr="009E6200">
        <w:t>с</w:t>
      </w:r>
      <w:r w:rsidR="00661EE7" w:rsidRPr="009E6200">
        <w:t xml:space="preserve"> </w:t>
      </w:r>
      <w:r w:rsidRPr="009E6200">
        <w:t>впервые</w:t>
      </w:r>
      <w:r w:rsidR="00661EE7" w:rsidRPr="009E6200">
        <w:t xml:space="preserve"> </w:t>
      </w:r>
      <w:r w:rsidRPr="009E6200">
        <w:t>диагностированной</w:t>
      </w:r>
      <w:r w:rsidR="00661EE7" w:rsidRPr="009E6200">
        <w:t xml:space="preserve"> </w:t>
      </w:r>
      <w:r w:rsidRPr="009E6200">
        <w:t>глиобластомой</w:t>
      </w:r>
      <w:r w:rsidR="00661EE7" w:rsidRPr="009E6200">
        <w:t xml:space="preserve"> </w:t>
      </w:r>
      <w:r w:rsidRPr="009E6200">
        <w:t>частота инфекций</w:t>
      </w:r>
      <w:r w:rsidR="00661EE7" w:rsidRPr="009E6200">
        <w:t xml:space="preserve"> </w:t>
      </w:r>
      <w:r w:rsidRPr="009E6200">
        <w:t>любой</w:t>
      </w:r>
      <w:r w:rsidR="00661EE7" w:rsidRPr="009E6200">
        <w:t xml:space="preserve"> </w:t>
      </w:r>
      <w:r w:rsidR="00EE6A55" w:rsidRPr="009E6200">
        <w:t>степени</w:t>
      </w:r>
      <w:r w:rsidR="00661EE7" w:rsidRPr="009E6200">
        <w:t xml:space="preserve"> </w:t>
      </w:r>
      <w:r w:rsidR="00EE6A55" w:rsidRPr="009E6200">
        <w:t>тяжести</w:t>
      </w:r>
      <w:r w:rsidR="00661EE7" w:rsidRPr="009E6200">
        <w:t xml:space="preserve"> </w:t>
      </w:r>
      <w:r w:rsidR="00EE6A55" w:rsidRPr="009E6200">
        <w:t>составила</w:t>
      </w:r>
      <w:r w:rsidR="00661EE7" w:rsidRPr="009E6200">
        <w:t xml:space="preserve"> </w:t>
      </w:r>
      <w:r w:rsidR="00EE6A55" w:rsidRPr="009E6200">
        <w:t>54,4%</w:t>
      </w:r>
      <w:r w:rsidR="00661EE7" w:rsidRPr="009E6200">
        <w:t xml:space="preserve"> </w:t>
      </w:r>
      <w:r w:rsidR="00EE6A55" w:rsidRPr="009E6200">
        <w:t>(12,8%</w:t>
      </w:r>
      <w:r w:rsidR="00661EE7" w:rsidRPr="009E6200">
        <w:t xml:space="preserve"> </w:t>
      </w:r>
      <w:r w:rsidR="00EE6A55" w:rsidRPr="009E6200">
        <w:t>для</w:t>
      </w:r>
      <w:r w:rsidR="00661EE7" w:rsidRPr="009E6200">
        <w:t xml:space="preserve"> </w:t>
      </w:r>
      <w:r w:rsidR="00EE6A55" w:rsidRPr="009E6200">
        <w:t>инфекций</w:t>
      </w:r>
      <w:r w:rsidR="00661EE7" w:rsidRPr="009E6200">
        <w:t xml:space="preserve"> </w:t>
      </w:r>
      <w:r w:rsidR="00EE6A55" w:rsidRPr="009E6200">
        <w:t>3–</w:t>
      </w:r>
      <w:r w:rsidR="007B6831" w:rsidRPr="009E6200">
        <w:t>5 степени тяжести).</w:t>
      </w:r>
    </w:p>
    <w:p w14:paraId="323275D5" w14:textId="77777777" w:rsidR="00577BCF" w:rsidRDefault="00577BCF" w:rsidP="007B46F5">
      <w:pPr>
        <w:pStyle w:val="SDText"/>
        <w:jc w:val="both"/>
        <w:rPr>
          <w:b/>
          <w:i/>
        </w:rPr>
      </w:pPr>
    </w:p>
    <w:p w14:paraId="43C4A0F5" w14:textId="115CDA61" w:rsidR="003C1EF6" w:rsidRPr="009E6200" w:rsidRDefault="003C1EF6" w:rsidP="007B46F5">
      <w:pPr>
        <w:pStyle w:val="SDText"/>
        <w:jc w:val="both"/>
        <w:rPr>
          <w:b/>
          <w:i/>
        </w:rPr>
      </w:pPr>
      <w:r w:rsidRPr="009E6200">
        <w:rPr>
          <w:b/>
          <w:i/>
        </w:rPr>
        <w:t>Нарушения со стороны лабораторных показателей</w:t>
      </w:r>
      <w:r w:rsidR="00661EE7" w:rsidRPr="009E6200">
        <w:rPr>
          <w:b/>
          <w:i/>
        </w:rPr>
        <w:t xml:space="preserve"> </w:t>
      </w:r>
    </w:p>
    <w:p w14:paraId="3C8B716F" w14:textId="77777777" w:rsidR="00577BCF" w:rsidRDefault="00577BCF" w:rsidP="007B46F5">
      <w:pPr>
        <w:pStyle w:val="SDText"/>
        <w:jc w:val="both"/>
      </w:pPr>
    </w:p>
    <w:p w14:paraId="695FA514" w14:textId="35BD5C51" w:rsidR="003C1EF6" w:rsidRPr="009E6200" w:rsidRDefault="003C1EF6" w:rsidP="007B46F5">
      <w:pPr>
        <w:pStyle w:val="SDText"/>
        <w:ind w:firstLine="709"/>
        <w:jc w:val="both"/>
      </w:pPr>
      <w:r w:rsidRPr="009E6200">
        <w:t>При</w:t>
      </w:r>
      <w:r w:rsidR="00661EE7" w:rsidRPr="009E6200">
        <w:t xml:space="preserve"> </w:t>
      </w:r>
      <w:r w:rsidRPr="009E6200">
        <w:t>изучении</w:t>
      </w:r>
      <w:r w:rsidR="00661EE7" w:rsidRPr="009E6200">
        <w:t xml:space="preserve"> </w:t>
      </w:r>
      <w:r w:rsidR="00EE6A55" w:rsidRPr="009E6200">
        <w:t>применения</w:t>
      </w:r>
      <w:r w:rsidR="00661EE7" w:rsidRPr="009E6200">
        <w:t xml:space="preserve"> </w:t>
      </w:r>
      <w:r w:rsidR="00EE6A55" w:rsidRPr="009E6200">
        <w:t>препарата</w:t>
      </w:r>
      <w:r w:rsidR="00661EE7" w:rsidRPr="009E6200">
        <w:t xml:space="preserve"> </w:t>
      </w:r>
      <w:r w:rsidR="00EE6A55" w:rsidRPr="009E6200">
        <w:t>Авастин</w:t>
      </w:r>
      <w:r w:rsidR="00121FA5" w:rsidRPr="009E6200">
        <w:rPr>
          <w:vertAlign w:val="superscript"/>
        </w:rPr>
        <w:t>®</w:t>
      </w:r>
      <w:r w:rsidR="00661EE7" w:rsidRPr="009E6200">
        <w:t xml:space="preserve"> </w:t>
      </w:r>
      <w:r w:rsidRPr="009E6200">
        <w:t>отмечалось</w:t>
      </w:r>
      <w:r w:rsidR="00661EE7" w:rsidRPr="009E6200">
        <w:t xml:space="preserve"> </w:t>
      </w:r>
      <w:r w:rsidRPr="009E6200">
        <w:t>транзиторное повышение</w:t>
      </w:r>
      <w:r w:rsidR="00661EE7" w:rsidRPr="009E6200">
        <w:t xml:space="preserve"> </w:t>
      </w:r>
      <w:r w:rsidRPr="009E6200">
        <w:t>концентрации</w:t>
      </w:r>
      <w:r w:rsidR="00661EE7" w:rsidRPr="009E6200">
        <w:t xml:space="preserve"> </w:t>
      </w:r>
      <w:r w:rsidRPr="009E6200">
        <w:t>с</w:t>
      </w:r>
      <w:r w:rsidR="00EE6A55" w:rsidRPr="009E6200">
        <w:t>ывороточного</w:t>
      </w:r>
      <w:r w:rsidR="00661EE7" w:rsidRPr="009E6200">
        <w:t xml:space="preserve"> </w:t>
      </w:r>
      <w:r w:rsidR="00EE6A55" w:rsidRPr="009E6200">
        <w:t>креатинина</w:t>
      </w:r>
      <w:r w:rsidR="00661EE7" w:rsidRPr="009E6200">
        <w:t xml:space="preserve"> </w:t>
      </w:r>
      <w:r w:rsidR="00EE6A55" w:rsidRPr="009E6200">
        <w:t>(в</w:t>
      </w:r>
      <w:r w:rsidR="00661EE7" w:rsidRPr="009E6200">
        <w:t xml:space="preserve"> </w:t>
      </w:r>
      <w:r w:rsidR="00EE6A55" w:rsidRPr="009E6200">
        <w:t>1,5–1,</w:t>
      </w:r>
      <w:r w:rsidRPr="009E6200">
        <w:t>9</w:t>
      </w:r>
      <w:r w:rsidR="00661EE7" w:rsidRPr="009E6200">
        <w:t xml:space="preserve"> </w:t>
      </w:r>
      <w:r w:rsidRPr="009E6200">
        <w:t>раз</w:t>
      </w:r>
      <w:r w:rsidR="00661EE7" w:rsidRPr="009E6200">
        <w:t xml:space="preserve"> </w:t>
      </w:r>
      <w:r w:rsidRPr="009E6200">
        <w:t>выше</w:t>
      </w:r>
      <w:r w:rsidR="00661EE7" w:rsidRPr="009E6200">
        <w:t xml:space="preserve"> </w:t>
      </w:r>
      <w:r w:rsidRPr="009E6200">
        <w:t>в сравнении с исходной концентрацией) с наличием или отсутствием протеинурии. Наблюдаемое</w:t>
      </w:r>
      <w:r w:rsidR="00661EE7" w:rsidRPr="009E6200">
        <w:t xml:space="preserve"> </w:t>
      </w:r>
      <w:r w:rsidRPr="009E6200">
        <w:t>повышение</w:t>
      </w:r>
      <w:r w:rsidR="00661EE7" w:rsidRPr="009E6200">
        <w:t xml:space="preserve"> </w:t>
      </w:r>
      <w:r w:rsidRPr="009E6200">
        <w:t>концентрации</w:t>
      </w:r>
      <w:r w:rsidR="00661EE7" w:rsidRPr="009E6200">
        <w:t xml:space="preserve"> </w:t>
      </w:r>
      <w:r w:rsidRPr="009E6200">
        <w:t>сывороточного</w:t>
      </w:r>
      <w:r w:rsidR="00661EE7" w:rsidRPr="009E6200">
        <w:t xml:space="preserve"> </w:t>
      </w:r>
      <w:r w:rsidRPr="009E6200">
        <w:t>креатинина</w:t>
      </w:r>
      <w:r w:rsidR="00661EE7" w:rsidRPr="009E6200">
        <w:t xml:space="preserve"> </w:t>
      </w:r>
      <w:r w:rsidRPr="009E6200">
        <w:t>не сопровождалось</w:t>
      </w:r>
      <w:r w:rsidR="00661EE7" w:rsidRPr="009E6200">
        <w:t xml:space="preserve"> </w:t>
      </w:r>
      <w:r w:rsidRPr="009E6200">
        <w:t>более</w:t>
      </w:r>
      <w:r w:rsidR="00661EE7" w:rsidRPr="009E6200">
        <w:t xml:space="preserve"> </w:t>
      </w:r>
      <w:r w:rsidRPr="009E6200">
        <w:t>высокой</w:t>
      </w:r>
      <w:r w:rsidR="00661EE7" w:rsidRPr="009E6200">
        <w:t xml:space="preserve"> </w:t>
      </w:r>
      <w:r w:rsidRPr="009E6200">
        <w:t>частотой</w:t>
      </w:r>
      <w:r w:rsidR="00661EE7" w:rsidRPr="009E6200">
        <w:t xml:space="preserve"> </w:t>
      </w:r>
      <w:r w:rsidRPr="009E6200">
        <w:t>клинических</w:t>
      </w:r>
      <w:r w:rsidR="00661EE7" w:rsidRPr="009E6200">
        <w:t xml:space="preserve"> </w:t>
      </w:r>
      <w:r w:rsidRPr="009E6200">
        <w:t>проявлений</w:t>
      </w:r>
      <w:r w:rsidR="00661EE7" w:rsidRPr="009E6200">
        <w:t xml:space="preserve"> </w:t>
      </w:r>
      <w:r w:rsidRPr="009E6200">
        <w:t>нарушения функции почек у пациентов, получа</w:t>
      </w:r>
      <w:r w:rsidR="00EE6A55" w:rsidRPr="009E6200">
        <w:t>вших лечение препаратом Авастин</w:t>
      </w:r>
      <w:r w:rsidR="00121FA5" w:rsidRPr="009E6200">
        <w:rPr>
          <w:vertAlign w:val="superscript"/>
        </w:rPr>
        <w:t>®</w:t>
      </w:r>
      <w:r w:rsidR="007B6831" w:rsidRPr="009E6200">
        <w:t>.</w:t>
      </w:r>
    </w:p>
    <w:p w14:paraId="5AED7487" w14:textId="77777777" w:rsidR="00577BCF" w:rsidRDefault="00577BCF" w:rsidP="007B46F5">
      <w:pPr>
        <w:pStyle w:val="SDText"/>
        <w:jc w:val="both"/>
        <w:rPr>
          <w:b/>
          <w:i/>
        </w:rPr>
      </w:pPr>
    </w:p>
    <w:p w14:paraId="154CD473" w14:textId="7706CCD8" w:rsidR="003C1EF6" w:rsidRPr="009E6200" w:rsidRDefault="007B6831" w:rsidP="007B46F5">
      <w:pPr>
        <w:pStyle w:val="SDText"/>
        <w:jc w:val="both"/>
        <w:rPr>
          <w:b/>
          <w:i/>
        </w:rPr>
      </w:pPr>
      <w:r w:rsidRPr="009E6200">
        <w:rPr>
          <w:b/>
          <w:i/>
        </w:rPr>
        <w:t>Эмбриофетальная токсичность</w:t>
      </w:r>
    </w:p>
    <w:p w14:paraId="2BF317B0" w14:textId="77777777" w:rsidR="00577BCF" w:rsidRDefault="00577BCF" w:rsidP="007B46F5">
      <w:pPr>
        <w:pStyle w:val="SDText"/>
        <w:jc w:val="both"/>
      </w:pPr>
    </w:p>
    <w:p w14:paraId="3F7EEDA2" w14:textId="267685AD" w:rsidR="003C1EF6" w:rsidRPr="009E6200" w:rsidRDefault="003C1EF6" w:rsidP="007B46F5">
      <w:pPr>
        <w:pStyle w:val="SDText"/>
        <w:ind w:firstLine="709"/>
        <w:jc w:val="both"/>
      </w:pPr>
      <w:r w:rsidRPr="009E6200">
        <w:t>Бевацизумаб может вызвать повреждения плода исходя из его механизма действия и</w:t>
      </w:r>
      <w:r w:rsidR="00661EE7" w:rsidRPr="009E6200">
        <w:t xml:space="preserve"> </w:t>
      </w:r>
      <w:r w:rsidRPr="009E6200">
        <w:t>данных</w:t>
      </w:r>
      <w:r w:rsidR="00661EE7" w:rsidRPr="009E6200">
        <w:t xml:space="preserve"> </w:t>
      </w:r>
      <w:r w:rsidRPr="009E6200">
        <w:t>полученных</w:t>
      </w:r>
      <w:r w:rsidR="00661EE7" w:rsidRPr="009E6200">
        <w:t xml:space="preserve"> </w:t>
      </w:r>
      <w:r w:rsidRPr="009E6200">
        <w:t>из</w:t>
      </w:r>
      <w:r w:rsidR="00661EE7" w:rsidRPr="009E6200">
        <w:t xml:space="preserve"> </w:t>
      </w:r>
      <w:r w:rsidRPr="009E6200">
        <w:t>исследований</w:t>
      </w:r>
      <w:r w:rsidR="00661EE7" w:rsidRPr="009E6200">
        <w:t xml:space="preserve"> </w:t>
      </w:r>
      <w:r w:rsidRPr="009E6200">
        <w:t>на</w:t>
      </w:r>
      <w:r w:rsidR="00661EE7" w:rsidRPr="009E6200">
        <w:t xml:space="preserve"> </w:t>
      </w:r>
      <w:r w:rsidRPr="009E6200">
        <w:t>животных.</w:t>
      </w:r>
      <w:r w:rsidR="00661EE7" w:rsidRPr="009E6200">
        <w:t xml:space="preserve"> </w:t>
      </w:r>
      <w:r w:rsidRPr="009E6200">
        <w:t>Врожденные</w:t>
      </w:r>
      <w:r w:rsidR="00661EE7" w:rsidRPr="009E6200">
        <w:t xml:space="preserve"> </w:t>
      </w:r>
      <w:r w:rsidRPr="009E6200">
        <w:t>аномалии развития</w:t>
      </w:r>
      <w:r w:rsidR="00661EE7" w:rsidRPr="009E6200">
        <w:t xml:space="preserve"> </w:t>
      </w:r>
      <w:r w:rsidRPr="009E6200">
        <w:t>наблюдались</w:t>
      </w:r>
      <w:r w:rsidR="00661EE7" w:rsidRPr="009E6200">
        <w:t xml:space="preserve"> </w:t>
      </w:r>
      <w:r w:rsidRPr="009E6200">
        <w:t>при</w:t>
      </w:r>
      <w:r w:rsidR="00661EE7" w:rsidRPr="009E6200">
        <w:t xml:space="preserve"> </w:t>
      </w:r>
      <w:r w:rsidRPr="009E6200">
        <w:t>назначении</w:t>
      </w:r>
      <w:r w:rsidR="00661EE7" w:rsidRPr="009E6200">
        <w:t xml:space="preserve"> </w:t>
      </w:r>
      <w:r w:rsidRPr="009E6200">
        <w:t>бевацизумаба</w:t>
      </w:r>
      <w:r w:rsidR="00661EE7" w:rsidRPr="009E6200">
        <w:t xml:space="preserve"> </w:t>
      </w:r>
      <w:r w:rsidRPr="009E6200">
        <w:t>беременным</w:t>
      </w:r>
      <w:r w:rsidR="00661EE7" w:rsidRPr="009E6200">
        <w:t xml:space="preserve"> </w:t>
      </w:r>
      <w:r w:rsidRPr="009E6200">
        <w:t>крольчихам</w:t>
      </w:r>
      <w:r w:rsidR="00661EE7" w:rsidRPr="009E6200">
        <w:t xml:space="preserve"> </w:t>
      </w:r>
      <w:r w:rsidRPr="009E6200">
        <w:t>во время периода органогенеза каждые 3 дня в дозе 10 мг/кг. Кроме того</w:t>
      </w:r>
      <w:r w:rsidR="007B6831" w:rsidRPr="009E6200">
        <w:t>,</w:t>
      </w:r>
      <w:r w:rsidRPr="009E6200">
        <w:t xml:space="preserve"> на животных была</w:t>
      </w:r>
      <w:r w:rsidR="00661EE7" w:rsidRPr="009E6200">
        <w:t xml:space="preserve"> </w:t>
      </w:r>
      <w:r w:rsidRPr="009E6200">
        <w:t>показана</w:t>
      </w:r>
      <w:r w:rsidR="00661EE7" w:rsidRPr="009E6200">
        <w:t xml:space="preserve"> </w:t>
      </w:r>
      <w:r w:rsidRPr="009E6200">
        <w:t>связь</w:t>
      </w:r>
      <w:r w:rsidR="00661EE7" w:rsidRPr="009E6200">
        <w:t xml:space="preserve"> </w:t>
      </w:r>
      <w:r w:rsidRPr="009E6200">
        <w:t>между</w:t>
      </w:r>
      <w:r w:rsidR="00661EE7" w:rsidRPr="009E6200">
        <w:t xml:space="preserve"> </w:t>
      </w:r>
      <w:r w:rsidRPr="009E6200">
        <w:t>ангиогенезом</w:t>
      </w:r>
      <w:r w:rsidR="00661EE7" w:rsidRPr="009E6200">
        <w:t xml:space="preserve"> </w:t>
      </w:r>
      <w:r w:rsidRPr="009E6200">
        <w:t>и</w:t>
      </w:r>
      <w:r w:rsidR="00661EE7" w:rsidRPr="009E6200">
        <w:t xml:space="preserve"> </w:t>
      </w:r>
      <w:r w:rsidR="002E10C4" w:rsidRPr="009E6200">
        <w:t xml:space="preserve">фактором роста сосудистого эндотелия (Vascular Endothelial Cell Growth Factor, </w:t>
      </w:r>
      <w:r w:rsidRPr="009E6200">
        <w:t>VEGF</w:t>
      </w:r>
      <w:r w:rsidR="002E10C4" w:rsidRPr="009E6200">
        <w:t>)</w:t>
      </w:r>
      <w:r w:rsidR="00661EE7" w:rsidRPr="009E6200">
        <w:t xml:space="preserve"> </w:t>
      </w:r>
      <w:r w:rsidRPr="009E6200">
        <w:t>и</w:t>
      </w:r>
      <w:r w:rsidR="00661EE7" w:rsidRPr="009E6200">
        <w:t xml:space="preserve"> </w:t>
      </w:r>
      <w:r w:rsidR="002E10C4" w:rsidRPr="009E6200">
        <w:t xml:space="preserve">рецептором фактора роста сосудистого эндотелия 2 (vascular endothelial growth factor receptor 2, </w:t>
      </w:r>
      <w:r w:rsidRPr="009E6200">
        <w:t>VEGFR</w:t>
      </w:r>
      <w:r w:rsidR="00661EE7" w:rsidRPr="009E6200">
        <w:t xml:space="preserve"> </w:t>
      </w:r>
      <w:r w:rsidRPr="009E6200">
        <w:t>2</w:t>
      </w:r>
      <w:r w:rsidR="002E10C4" w:rsidRPr="009E6200">
        <w:t>)</w:t>
      </w:r>
      <w:r w:rsidR="00661EE7" w:rsidRPr="009E6200">
        <w:t xml:space="preserve"> </w:t>
      </w:r>
      <w:r w:rsidRPr="009E6200">
        <w:t>и</w:t>
      </w:r>
      <w:r w:rsidR="00661EE7" w:rsidRPr="009E6200">
        <w:t xml:space="preserve"> </w:t>
      </w:r>
      <w:r w:rsidRPr="009E6200">
        <w:t>критическими аспектами</w:t>
      </w:r>
      <w:r w:rsidR="00661EE7" w:rsidRPr="009E6200">
        <w:t xml:space="preserve"> </w:t>
      </w:r>
      <w:r w:rsidRPr="009E6200">
        <w:t>женской</w:t>
      </w:r>
      <w:r w:rsidR="00661EE7" w:rsidRPr="009E6200">
        <w:t xml:space="preserve"> </w:t>
      </w:r>
      <w:r w:rsidRPr="009E6200">
        <w:t>репродуктивной</w:t>
      </w:r>
      <w:r w:rsidR="00661EE7" w:rsidRPr="009E6200">
        <w:t xml:space="preserve"> </w:t>
      </w:r>
      <w:r w:rsidRPr="009E6200">
        <w:t>функции,</w:t>
      </w:r>
      <w:r w:rsidR="00661EE7" w:rsidRPr="009E6200">
        <w:t xml:space="preserve"> </w:t>
      </w:r>
      <w:r w:rsidRPr="009E6200">
        <w:t>развитием</w:t>
      </w:r>
      <w:r w:rsidR="00661EE7" w:rsidRPr="009E6200">
        <w:t xml:space="preserve"> </w:t>
      </w:r>
      <w:r w:rsidRPr="009E6200">
        <w:t>плода</w:t>
      </w:r>
      <w:r w:rsidR="00661EE7" w:rsidRPr="009E6200">
        <w:t xml:space="preserve"> </w:t>
      </w:r>
      <w:r w:rsidRPr="009E6200">
        <w:t>и</w:t>
      </w:r>
      <w:r w:rsidR="00661EE7" w:rsidRPr="009E6200">
        <w:t xml:space="preserve"> </w:t>
      </w:r>
      <w:r w:rsidRPr="009E6200">
        <w:t>постнатальным развитием.</w:t>
      </w:r>
      <w:r w:rsidR="00661EE7" w:rsidRPr="009E6200">
        <w:t xml:space="preserve"> </w:t>
      </w:r>
      <w:r w:rsidRPr="009E6200">
        <w:t>Исследователю</w:t>
      </w:r>
      <w:r w:rsidR="00661EE7" w:rsidRPr="009E6200">
        <w:t xml:space="preserve"> </w:t>
      </w:r>
      <w:r w:rsidRPr="009E6200">
        <w:t>необходимо</w:t>
      </w:r>
      <w:r w:rsidR="00661EE7" w:rsidRPr="009E6200">
        <w:t xml:space="preserve"> </w:t>
      </w:r>
      <w:r w:rsidRPr="009E6200">
        <w:t>поставить</w:t>
      </w:r>
      <w:r w:rsidR="00661EE7" w:rsidRPr="009E6200">
        <w:t xml:space="preserve"> </w:t>
      </w:r>
      <w:r w:rsidRPr="009E6200">
        <w:t>в</w:t>
      </w:r>
      <w:r w:rsidR="00661EE7" w:rsidRPr="009E6200">
        <w:t xml:space="preserve"> </w:t>
      </w:r>
      <w:r w:rsidRPr="009E6200">
        <w:t>известность</w:t>
      </w:r>
      <w:r w:rsidR="00661EE7" w:rsidRPr="009E6200">
        <w:t xml:space="preserve"> </w:t>
      </w:r>
      <w:r w:rsidRPr="009E6200">
        <w:t>беременных женщин</w:t>
      </w:r>
      <w:r w:rsidR="00661EE7" w:rsidRPr="009E6200">
        <w:t xml:space="preserve"> </w:t>
      </w:r>
      <w:r w:rsidRPr="009E6200">
        <w:t>о потенциальном риске для плода. Посоветуйте женщинам детородного возраста использовать эффективные методы контрацепции во время и в течении 6 мес</w:t>
      </w:r>
      <w:r w:rsidR="00EE6A55" w:rsidRPr="009E6200">
        <w:t>.</w:t>
      </w:r>
      <w:r w:rsidRPr="009E6200">
        <w:t xml:space="preserve"> после окончания терапии бевацизумабом.</w:t>
      </w:r>
    </w:p>
    <w:p w14:paraId="465C5ABB" w14:textId="77777777" w:rsidR="00577BCF" w:rsidRDefault="00577BCF" w:rsidP="007B46F5">
      <w:pPr>
        <w:pStyle w:val="SDText"/>
        <w:jc w:val="both"/>
        <w:rPr>
          <w:b/>
          <w:i/>
        </w:rPr>
      </w:pPr>
    </w:p>
    <w:p w14:paraId="036F3FFD" w14:textId="7AA5D153" w:rsidR="003C1EF6" w:rsidRPr="009E6200" w:rsidRDefault="007B6831" w:rsidP="007B46F5">
      <w:pPr>
        <w:pStyle w:val="SDText"/>
        <w:jc w:val="both"/>
        <w:rPr>
          <w:b/>
          <w:i/>
        </w:rPr>
      </w:pPr>
      <w:r w:rsidRPr="009E6200">
        <w:rPr>
          <w:b/>
          <w:i/>
        </w:rPr>
        <w:t>Рабдомиолиз</w:t>
      </w:r>
    </w:p>
    <w:p w14:paraId="71037F26" w14:textId="77777777" w:rsidR="00577BCF" w:rsidRDefault="00577BCF" w:rsidP="007B46F5">
      <w:pPr>
        <w:pStyle w:val="SDText"/>
        <w:jc w:val="both"/>
      </w:pPr>
    </w:p>
    <w:p w14:paraId="5DF6821C" w14:textId="2AE6BD93" w:rsidR="003C1EF6" w:rsidRPr="009E6200" w:rsidRDefault="003C1EF6" w:rsidP="007B46F5">
      <w:pPr>
        <w:pStyle w:val="SDText"/>
        <w:ind w:firstLine="709"/>
        <w:jc w:val="both"/>
      </w:pPr>
      <w:r w:rsidRPr="009E6200">
        <w:t>В постмаркетинговом периоде сообщалось о случаях развития рабдомиолиза мышц (особенно</w:t>
      </w:r>
      <w:r w:rsidR="00661EE7" w:rsidRPr="009E6200">
        <w:t xml:space="preserve"> </w:t>
      </w:r>
      <w:r w:rsidRPr="009E6200">
        <w:t>у</w:t>
      </w:r>
      <w:r w:rsidR="00661EE7" w:rsidRPr="009E6200">
        <w:t xml:space="preserve"> </w:t>
      </w:r>
      <w:r w:rsidRPr="009E6200">
        <w:t>мужчин,</w:t>
      </w:r>
      <w:r w:rsidR="00661EE7" w:rsidRPr="009E6200">
        <w:t xml:space="preserve"> </w:t>
      </w:r>
      <w:r w:rsidRPr="009E6200">
        <w:t>старше</w:t>
      </w:r>
      <w:r w:rsidR="00661EE7" w:rsidRPr="009E6200">
        <w:t xml:space="preserve"> </w:t>
      </w:r>
      <w:r w:rsidR="00EE6A55" w:rsidRPr="009E6200">
        <w:t>60</w:t>
      </w:r>
      <w:r w:rsidR="00661EE7" w:rsidRPr="009E6200">
        <w:t xml:space="preserve"> </w:t>
      </w:r>
      <w:r w:rsidR="00EE6A55" w:rsidRPr="009E6200">
        <w:t>лет,</w:t>
      </w:r>
      <w:r w:rsidR="00661EE7" w:rsidRPr="009E6200">
        <w:t xml:space="preserve"> </w:t>
      </w:r>
      <w:r w:rsidR="00EE6A55" w:rsidRPr="009E6200">
        <w:t>принимавших</w:t>
      </w:r>
      <w:r w:rsidR="00661EE7" w:rsidRPr="009E6200">
        <w:t xml:space="preserve"> </w:t>
      </w:r>
      <w:r w:rsidR="00EE6A55" w:rsidRPr="009E6200">
        <w:t>Авастин</w:t>
      </w:r>
      <w:r w:rsidR="00121FA5" w:rsidRPr="009E6200">
        <w:rPr>
          <w:vertAlign w:val="superscript"/>
        </w:rPr>
        <w:t>®</w:t>
      </w:r>
      <w:r w:rsidR="00661EE7" w:rsidRPr="009E6200">
        <w:t xml:space="preserve"> </w:t>
      </w:r>
      <w:r w:rsidRPr="009E6200">
        <w:t>больше</w:t>
      </w:r>
      <w:r w:rsidR="00661EE7" w:rsidRPr="009E6200">
        <w:t xml:space="preserve"> </w:t>
      </w:r>
      <w:r w:rsidRPr="009E6200">
        <w:t>1</w:t>
      </w:r>
      <w:r w:rsidR="00661EE7" w:rsidRPr="009E6200">
        <w:t xml:space="preserve"> </w:t>
      </w:r>
      <w:r w:rsidRPr="009E6200">
        <w:t>мес</w:t>
      </w:r>
      <w:r w:rsidR="00EE6A55" w:rsidRPr="009E6200">
        <w:t>.</w:t>
      </w:r>
      <w:r w:rsidRPr="009E6200">
        <w:t>, дополнительно</w:t>
      </w:r>
      <w:r w:rsidR="00661EE7" w:rsidRPr="009E6200">
        <w:t xml:space="preserve"> </w:t>
      </w:r>
      <w:r w:rsidRPr="009E6200">
        <w:t>получающих</w:t>
      </w:r>
      <w:r w:rsidR="00661EE7" w:rsidRPr="009E6200">
        <w:t xml:space="preserve"> </w:t>
      </w:r>
      <w:r w:rsidRPr="009E6200">
        <w:t>оксалиплатин</w:t>
      </w:r>
      <w:r w:rsidR="00661EE7" w:rsidRPr="009E6200">
        <w:t xml:space="preserve"> </w:t>
      </w:r>
      <w:r w:rsidRPr="009E6200">
        <w:t>или</w:t>
      </w:r>
      <w:r w:rsidR="00661EE7" w:rsidRPr="009E6200">
        <w:t xml:space="preserve"> </w:t>
      </w:r>
      <w:r w:rsidRPr="009E6200">
        <w:t>у</w:t>
      </w:r>
      <w:r w:rsidR="00661EE7" w:rsidRPr="009E6200">
        <w:t xml:space="preserve"> </w:t>
      </w:r>
      <w:r w:rsidRPr="009E6200">
        <w:t>которых</w:t>
      </w:r>
      <w:r w:rsidR="00661EE7" w:rsidRPr="009E6200">
        <w:t xml:space="preserve"> </w:t>
      </w:r>
      <w:r w:rsidRPr="009E6200">
        <w:t>развился</w:t>
      </w:r>
      <w:r w:rsidR="00661EE7" w:rsidRPr="009E6200">
        <w:t xml:space="preserve"> </w:t>
      </w:r>
      <w:r w:rsidRPr="009E6200">
        <w:t>рецидив</w:t>
      </w:r>
      <w:r w:rsidR="00661EE7" w:rsidRPr="009E6200">
        <w:t xml:space="preserve"> </w:t>
      </w:r>
      <w:r w:rsidRPr="009E6200">
        <w:t>рака толстой</w:t>
      </w:r>
      <w:r w:rsidR="00661EE7" w:rsidRPr="009E6200">
        <w:t xml:space="preserve"> </w:t>
      </w:r>
      <w:r w:rsidRPr="009E6200">
        <w:t>кишки).</w:t>
      </w:r>
      <w:r w:rsidR="00661EE7" w:rsidRPr="009E6200">
        <w:t xml:space="preserve"> </w:t>
      </w:r>
      <w:r w:rsidRPr="009E6200">
        <w:t>Согласно</w:t>
      </w:r>
      <w:r w:rsidR="00661EE7" w:rsidRPr="009E6200">
        <w:t xml:space="preserve"> </w:t>
      </w:r>
      <w:r w:rsidRPr="009E6200">
        <w:t>данным</w:t>
      </w:r>
      <w:r w:rsidR="00661EE7" w:rsidRPr="009E6200">
        <w:t xml:space="preserve"> </w:t>
      </w:r>
      <w:r w:rsidRPr="009E6200">
        <w:t>FDA</w:t>
      </w:r>
      <w:r w:rsidR="00661EE7" w:rsidRPr="009E6200">
        <w:t xml:space="preserve"> </w:t>
      </w:r>
      <w:r w:rsidRPr="009E6200">
        <w:t>частота</w:t>
      </w:r>
      <w:r w:rsidR="00661EE7" w:rsidRPr="009E6200">
        <w:t xml:space="preserve"> </w:t>
      </w:r>
      <w:r w:rsidRPr="009E6200">
        <w:t>развития</w:t>
      </w:r>
      <w:r w:rsidR="00661EE7" w:rsidRPr="009E6200">
        <w:t xml:space="preserve"> </w:t>
      </w:r>
      <w:r w:rsidRPr="009E6200">
        <w:t>рабдомиолиза</w:t>
      </w:r>
      <w:r w:rsidR="00661EE7" w:rsidRPr="009E6200">
        <w:t xml:space="preserve"> </w:t>
      </w:r>
      <w:r w:rsidR="00A13478" w:rsidRPr="009E6200">
        <w:t>у пациентов,</w:t>
      </w:r>
      <w:r w:rsidRPr="009E6200">
        <w:t xml:space="preserve"> принимавших авастин составила примерно 0,1%. Также в исследовании RPH-001</w:t>
      </w:r>
      <w:r w:rsidR="00661EE7" w:rsidRPr="009E6200">
        <w:t xml:space="preserve"> </w:t>
      </w:r>
      <w:r w:rsidRPr="009E6200">
        <w:t>было</w:t>
      </w:r>
      <w:r w:rsidR="00661EE7" w:rsidRPr="009E6200">
        <w:t xml:space="preserve"> </w:t>
      </w:r>
      <w:r w:rsidRPr="009E6200">
        <w:t>зарегистрировано</w:t>
      </w:r>
      <w:r w:rsidR="00661EE7" w:rsidRPr="009E6200">
        <w:t xml:space="preserve"> </w:t>
      </w:r>
      <w:r w:rsidRPr="009E6200">
        <w:t>СНЯ</w:t>
      </w:r>
      <w:r w:rsidR="00661EE7" w:rsidRPr="009E6200">
        <w:t xml:space="preserve"> </w:t>
      </w:r>
      <w:r w:rsidRPr="009E6200">
        <w:t>«Рабдомиолиз.</w:t>
      </w:r>
      <w:r w:rsidR="00661EE7" w:rsidRPr="009E6200">
        <w:t xml:space="preserve"> </w:t>
      </w:r>
      <w:r w:rsidRPr="009E6200">
        <w:t>Острый</w:t>
      </w:r>
      <w:r w:rsidR="00661EE7" w:rsidRPr="009E6200">
        <w:t xml:space="preserve"> </w:t>
      </w:r>
      <w:r w:rsidRPr="009E6200">
        <w:t xml:space="preserve">токсический гепатит» с повышением цифр </w:t>
      </w:r>
      <w:r w:rsidR="002E10C4" w:rsidRPr="009E6200">
        <w:t>креатинфосфокиназы (</w:t>
      </w:r>
      <w:r w:rsidRPr="009E6200">
        <w:t>КФК</w:t>
      </w:r>
      <w:r w:rsidR="002E10C4" w:rsidRPr="009E6200">
        <w:t>)</w:t>
      </w:r>
      <w:r w:rsidRPr="009E6200">
        <w:t xml:space="preserve"> до 27210 ед/л без клинических проявлений.</w:t>
      </w:r>
    </w:p>
    <w:p w14:paraId="54EA44A9" w14:textId="77777777" w:rsidR="002E10C4" w:rsidRPr="009E6200" w:rsidRDefault="002E10C4" w:rsidP="007B46F5">
      <w:pPr>
        <w:pStyle w:val="SDText"/>
        <w:jc w:val="both"/>
      </w:pPr>
    </w:p>
    <w:p w14:paraId="3A58F517" w14:textId="77777777" w:rsidR="003C1EF6" w:rsidRPr="009E6200" w:rsidRDefault="003C1EF6" w:rsidP="007B46F5">
      <w:pPr>
        <w:pStyle w:val="SDText"/>
        <w:jc w:val="both"/>
        <w:rPr>
          <w:b/>
        </w:rPr>
      </w:pPr>
      <w:r w:rsidRPr="009E6200">
        <w:rPr>
          <w:b/>
        </w:rPr>
        <w:t xml:space="preserve">Взаимодействие с другими лекарственными средствами </w:t>
      </w:r>
    </w:p>
    <w:p w14:paraId="545FEC55" w14:textId="77777777" w:rsidR="00577BCF" w:rsidRDefault="00577BCF" w:rsidP="007B46F5">
      <w:pPr>
        <w:pStyle w:val="SDText"/>
        <w:jc w:val="both"/>
        <w:rPr>
          <w:i/>
          <w:iCs/>
          <w:u w:val="single"/>
          <w:lang w:eastAsia="ru-RU" w:bidi="ru-RU"/>
        </w:rPr>
      </w:pPr>
    </w:p>
    <w:p w14:paraId="7715731C" w14:textId="77777777" w:rsidR="00577BCF" w:rsidRPr="007B46F5" w:rsidRDefault="0004635E" w:rsidP="007B46F5">
      <w:pPr>
        <w:pStyle w:val="SDText"/>
        <w:jc w:val="both"/>
        <w:rPr>
          <w:i/>
          <w:iCs/>
          <w:lang w:eastAsia="ru-RU" w:bidi="ru-RU"/>
        </w:rPr>
      </w:pPr>
      <w:r w:rsidRPr="007B46F5">
        <w:rPr>
          <w:i/>
          <w:iCs/>
          <w:lang w:eastAsia="ru-RU" w:bidi="ru-RU"/>
        </w:rPr>
        <w:t xml:space="preserve">Влияние противоопухолевых препаратов на фармакокинетику </w:t>
      </w:r>
      <w:r w:rsidR="00054633" w:rsidRPr="007B46F5">
        <w:rPr>
          <w:i/>
          <w:iCs/>
          <w:lang w:eastAsia="ru-RU" w:bidi="ru-RU"/>
        </w:rPr>
        <w:t>бевацизумаба</w:t>
      </w:r>
      <w:r w:rsidRPr="007B46F5">
        <w:rPr>
          <w:i/>
          <w:iCs/>
          <w:lang w:eastAsia="ru-RU" w:bidi="ru-RU"/>
        </w:rPr>
        <w:t xml:space="preserve"> </w:t>
      </w:r>
    </w:p>
    <w:p w14:paraId="72F38B4C" w14:textId="6C99C92F" w:rsidR="0004635E" w:rsidRPr="007B46F5" w:rsidRDefault="0004635E" w:rsidP="007B46F5">
      <w:pPr>
        <w:pStyle w:val="SDText"/>
        <w:ind w:firstLine="709"/>
        <w:jc w:val="both"/>
        <w:rPr>
          <w:lang w:eastAsia="ru-RU" w:bidi="ru-RU"/>
        </w:rPr>
      </w:pPr>
      <w:r w:rsidRPr="007B46F5">
        <w:rPr>
          <w:lang w:eastAsia="ru-RU" w:bidi="ru-RU"/>
        </w:rPr>
        <w:t>Не было зарегистрировано клинически значимого влияния на фармакокинетику</w:t>
      </w:r>
      <w:r w:rsidR="00054633" w:rsidRPr="007B46F5">
        <w:rPr>
          <w:lang w:eastAsia="ru-RU" w:bidi="ru-RU"/>
        </w:rPr>
        <w:t xml:space="preserve"> оригинального</w:t>
      </w:r>
      <w:r w:rsidRPr="007B46F5">
        <w:rPr>
          <w:lang w:eastAsia="ru-RU" w:bidi="ru-RU"/>
        </w:rPr>
        <w:t xml:space="preserve"> препарата </w:t>
      </w:r>
      <w:r w:rsidR="00054633" w:rsidRPr="007B46F5">
        <w:rPr>
          <w:lang w:eastAsia="ru-RU" w:bidi="ru-RU"/>
        </w:rPr>
        <w:t>Авастин</w:t>
      </w:r>
      <w:r w:rsidR="00054633" w:rsidRPr="007B46F5">
        <w:rPr>
          <w:vertAlign w:val="superscript"/>
          <w:lang w:eastAsia="ru-RU" w:bidi="ru-RU"/>
        </w:rPr>
        <w:t>®</w:t>
      </w:r>
      <w:r w:rsidR="00054633" w:rsidRPr="007B46F5">
        <w:rPr>
          <w:lang w:eastAsia="ru-RU" w:bidi="ru-RU"/>
        </w:rPr>
        <w:t xml:space="preserve"> </w:t>
      </w:r>
      <w:r w:rsidRPr="007B46F5">
        <w:rPr>
          <w:lang w:eastAsia="ru-RU" w:bidi="ru-RU"/>
        </w:rPr>
        <w:t xml:space="preserve">при совместном с химиотерапией применении. Не обнаружено статистически или клинически значимых различий клиренса </w:t>
      </w:r>
      <w:r w:rsidR="00054633" w:rsidRPr="007B46F5">
        <w:rPr>
          <w:lang w:eastAsia="ru-RU" w:bidi="ru-RU"/>
        </w:rPr>
        <w:t>оригинального препарата Авастин</w:t>
      </w:r>
      <w:r w:rsidR="00054633" w:rsidRPr="007B46F5">
        <w:rPr>
          <w:vertAlign w:val="superscript"/>
          <w:lang w:eastAsia="ru-RU" w:bidi="ru-RU"/>
        </w:rPr>
        <w:t xml:space="preserve">® </w:t>
      </w:r>
      <w:r w:rsidRPr="007B46F5">
        <w:rPr>
          <w:lang w:eastAsia="ru-RU" w:bidi="ru-RU"/>
        </w:rPr>
        <w:t xml:space="preserve">у пациентов, получавших монотерапию, и у пациентов, получавших </w:t>
      </w:r>
      <w:r w:rsidR="00054633" w:rsidRPr="007B46F5">
        <w:rPr>
          <w:lang w:eastAsia="ru-RU" w:bidi="ru-RU"/>
        </w:rPr>
        <w:t>оригинальный препарат Авастин</w:t>
      </w:r>
      <w:r w:rsidR="00054633" w:rsidRPr="007B46F5">
        <w:rPr>
          <w:vertAlign w:val="superscript"/>
          <w:lang w:eastAsia="ru-RU" w:bidi="ru-RU"/>
        </w:rPr>
        <w:t>®</w:t>
      </w:r>
      <w:r w:rsidRPr="007B46F5">
        <w:rPr>
          <w:lang w:eastAsia="ru-RU" w:bidi="ru-RU"/>
        </w:rPr>
        <w:t xml:space="preserve"> в комбинации с интерфероном альфа-2а, эрлотинибом или химиотерапевтическими препаратами (ИФЛ, ФУ/ЛВ, карбоплатин/паклитаксел, капецитабин, доксорубицин или цисплатин/гемцитабин).</w:t>
      </w:r>
    </w:p>
    <w:p w14:paraId="62C80795" w14:textId="77777777" w:rsidR="00577BCF" w:rsidRPr="007B46F5" w:rsidRDefault="00577BCF" w:rsidP="007B46F5">
      <w:pPr>
        <w:pStyle w:val="SDText"/>
        <w:ind w:firstLine="709"/>
        <w:jc w:val="both"/>
        <w:rPr>
          <w:lang w:eastAsia="ru-RU" w:bidi="ru-RU"/>
        </w:rPr>
      </w:pPr>
    </w:p>
    <w:p w14:paraId="0433D794" w14:textId="2927FE7D" w:rsidR="0004635E" w:rsidRPr="007B46F5" w:rsidRDefault="0004635E" w:rsidP="007B46F5">
      <w:pPr>
        <w:pStyle w:val="SDText"/>
        <w:jc w:val="both"/>
        <w:rPr>
          <w:lang w:eastAsia="ru-RU" w:bidi="ru-RU"/>
        </w:rPr>
      </w:pPr>
      <w:r w:rsidRPr="007B46F5">
        <w:rPr>
          <w:i/>
          <w:iCs/>
          <w:lang w:eastAsia="ru-RU" w:bidi="ru-RU"/>
        </w:rPr>
        <w:t xml:space="preserve">Влияние </w:t>
      </w:r>
      <w:r w:rsidR="00054633" w:rsidRPr="007B46F5">
        <w:rPr>
          <w:i/>
          <w:iCs/>
          <w:lang w:eastAsia="ru-RU" w:bidi="ru-RU"/>
        </w:rPr>
        <w:t>бевацизумаба</w:t>
      </w:r>
      <w:r w:rsidRPr="007B46F5">
        <w:rPr>
          <w:i/>
          <w:iCs/>
          <w:lang w:eastAsia="ru-RU" w:bidi="ru-RU"/>
        </w:rPr>
        <w:t xml:space="preserve"> на фармакокинетику </w:t>
      </w:r>
      <w:r w:rsidR="00054633" w:rsidRPr="007B46F5">
        <w:rPr>
          <w:i/>
          <w:iCs/>
          <w:lang w:eastAsia="ru-RU" w:bidi="ru-RU"/>
        </w:rPr>
        <w:t>д</w:t>
      </w:r>
      <w:r w:rsidRPr="007B46F5">
        <w:rPr>
          <w:i/>
          <w:iCs/>
          <w:lang w:eastAsia="ru-RU" w:bidi="ru-RU"/>
        </w:rPr>
        <w:t>ругих противоопухолевых препаратов</w:t>
      </w:r>
    </w:p>
    <w:p w14:paraId="53E1EAB5" w14:textId="5BC7F43F" w:rsidR="0004635E" w:rsidRPr="007B46F5" w:rsidRDefault="0004635E" w:rsidP="007B46F5">
      <w:pPr>
        <w:pStyle w:val="SDText"/>
        <w:ind w:firstLine="709"/>
        <w:jc w:val="both"/>
        <w:rPr>
          <w:lang w:eastAsia="ru-RU" w:bidi="ru-RU"/>
        </w:rPr>
      </w:pPr>
      <w:r w:rsidRPr="007B46F5">
        <w:rPr>
          <w:lang w:eastAsia="ru-RU" w:bidi="ru-RU"/>
        </w:rPr>
        <w:t xml:space="preserve">Не было зарегистрировано клинически значимого влияния </w:t>
      </w:r>
      <w:r w:rsidR="00054633" w:rsidRPr="007B46F5">
        <w:rPr>
          <w:lang w:eastAsia="ru-RU" w:bidi="ru-RU"/>
        </w:rPr>
        <w:t>оригинального препарата Авастин</w:t>
      </w:r>
      <w:r w:rsidR="00054633" w:rsidRPr="007B46F5">
        <w:rPr>
          <w:vertAlign w:val="superscript"/>
          <w:lang w:eastAsia="ru-RU" w:bidi="ru-RU"/>
        </w:rPr>
        <w:t>®</w:t>
      </w:r>
      <w:r w:rsidRPr="007B46F5">
        <w:rPr>
          <w:lang w:eastAsia="ru-RU" w:bidi="ru-RU"/>
        </w:rPr>
        <w:t xml:space="preserve"> на фармакокинетику сопутствующих препаратов: интерферон альфа-2а, эрлотиниб (и его активный метаболит </w:t>
      </w:r>
      <w:r w:rsidRPr="007B46F5">
        <w:rPr>
          <w:lang w:eastAsia="ru-RU" w:bidi="en-US"/>
        </w:rPr>
        <w:t xml:space="preserve">OSI-420); </w:t>
      </w:r>
      <w:r w:rsidRPr="007B46F5">
        <w:rPr>
          <w:lang w:eastAsia="ru-RU" w:bidi="ru-RU"/>
        </w:rPr>
        <w:t xml:space="preserve">или химиотерапевтических препаратов: иринотекан (и его активный метаболит </w:t>
      </w:r>
      <w:r w:rsidRPr="007B46F5">
        <w:rPr>
          <w:lang w:eastAsia="ru-RU" w:bidi="en-US"/>
        </w:rPr>
        <w:t xml:space="preserve">SN38), </w:t>
      </w:r>
      <w:r w:rsidRPr="007B46F5">
        <w:rPr>
          <w:lang w:eastAsia="ru-RU" w:bidi="ru-RU"/>
        </w:rPr>
        <w:t xml:space="preserve">капецитабин, оксалиплатин (определялось по свободному и общему уровню платины) и цисплатин. Достоверных данных о влиянии </w:t>
      </w:r>
      <w:r w:rsidR="00054633" w:rsidRPr="007B46F5">
        <w:rPr>
          <w:lang w:eastAsia="ru-RU" w:bidi="ru-RU"/>
        </w:rPr>
        <w:t>оригинального препарата Авастин</w:t>
      </w:r>
      <w:r w:rsidR="00054633" w:rsidRPr="007B46F5">
        <w:rPr>
          <w:vertAlign w:val="superscript"/>
          <w:lang w:eastAsia="ru-RU" w:bidi="ru-RU"/>
        </w:rPr>
        <w:t>®</w:t>
      </w:r>
      <w:r w:rsidRPr="007B46F5">
        <w:rPr>
          <w:lang w:eastAsia="ru-RU" w:bidi="ru-RU"/>
        </w:rPr>
        <w:t xml:space="preserve"> на фармакокинетику гемцитабина нет.</w:t>
      </w:r>
    </w:p>
    <w:p w14:paraId="1C05A233" w14:textId="77777777" w:rsidR="00577BCF" w:rsidRPr="007B46F5" w:rsidRDefault="00577BCF" w:rsidP="007B46F5">
      <w:pPr>
        <w:pStyle w:val="SDText"/>
        <w:jc w:val="both"/>
        <w:rPr>
          <w:i/>
          <w:iCs/>
          <w:lang w:eastAsia="ru-RU" w:bidi="ru-RU"/>
        </w:rPr>
      </w:pPr>
    </w:p>
    <w:p w14:paraId="1CF60676" w14:textId="44CD88CB" w:rsidR="0004635E" w:rsidRPr="007B46F5" w:rsidRDefault="0004635E" w:rsidP="007B46F5">
      <w:pPr>
        <w:pStyle w:val="SDText"/>
        <w:jc w:val="both"/>
        <w:rPr>
          <w:lang w:eastAsia="ru-RU" w:bidi="ru-RU"/>
        </w:rPr>
      </w:pPr>
      <w:r w:rsidRPr="007B46F5">
        <w:rPr>
          <w:i/>
          <w:iCs/>
          <w:lang w:eastAsia="ru-RU" w:bidi="ru-RU"/>
        </w:rPr>
        <w:t xml:space="preserve">Комбинация </w:t>
      </w:r>
      <w:r w:rsidR="00054633" w:rsidRPr="007B46F5">
        <w:rPr>
          <w:i/>
          <w:iCs/>
          <w:lang w:eastAsia="ru-RU" w:bidi="ru-RU"/>
        </w:rPr>
        <w:t>бевацизумаба</w:t>
      </w:r>
      <w:r w:rsidRPr="007B46F5">
        <w:rPr>
          <w:lang w:eastAsia="ru-RU" w:bidi="ru-RU"/>
        </w:rPr>
        <w:t xml:space="preserve"> </w:t>
      </w:r>
      <w:r w:rsidRPr="007B46F5">
        <w:rPr>
          <w:i/>
          <w:iCs/>
          <w:lang w:eastAsia="ru-RU" w:bidi="ru-RU"/>
        </w:rPr>
        <w:t xml:space="preserve"> и сунитиниба</w:t>
      </w:r>
    </w:p>
    <w:p w14:paraId="1D2E2B40" w14:textId="77777777" w:rsidR="00577BCF" w:rsidRPr="007B46F5" w:rsidRDefault="0004635E" w:rsidP="007B46F5">
      <w:pPr>
        <w:pStyle w:val="SDText"/>
        <w:ind w:firstLine="709"/>
        <w:jc w:val="both"/>
        <w:rPr>
          <w:lang w:eastAsia="ru-RU" w:bidi="ru-RU"/>
        </w:rPr>
      </w:pPr>
      <w:r w:rsidRPr="007B46F5">
        <w:rPr>
          <w:lang w:eastAsia="ru-RU" w:bidi="ru-RU"/>
        </w:rPr>
        <w:t xml:space="preserve">При применении </w:t>
      </w:r>
      <w:r w:rsidR="00054633" w:rsidRPr="007B46F5">
        <w:rPr>
          <w:lang w:eastAsia="ru-RU" w:bidi="ru-RU"/>
        </w:rPr>
        <w:t>оригинального препарата Авастин</w:t>
      </w:r>
      <w:r w:rsidR="00054633" w:rsidRPr="007B46F5">
        <w:rPr>
          <w:vertAlign w:val="superscript"/>
          <w:lang w:eastAsia="ru-RU" w:bidi="ru-RU"/>
        </w:rPr>
        <w:t>®</w:t>
      </w:r>
      <w:r w:rsidRPr="007B46F5">
        <w:rPr>
          <w:lang w:eastAsia="ru-RU" w:bidi="ru-RU"/>
        </w:rPr>
        <w:t xml:space="preserve"> (10 мг/кг один раз в 2 недели) в комбинации с сунитинибом (50 мг ежедневно) у пациентов с метастатическим почечно-клеточным раком зарегистрированы случаи развития микроангиопатической гемолитической анемии (МАГА). МАГА относится к подгруппе гемолитических анемий, которая может проявляться фрагментацией эритроцитов, анемией и тромбоцитопенией. У некоторых пациентов дополнительно отмечаются неврологические нарушения, повышение концентрации креатинина, артериальная гипертензия, включая гипертонический криз. Эти симптомы были обратимы после прекращения терапии бевацизумабом и сунитинибом. </w:t>
      </w:r>
    </w:p>
    <w:p w14:paraId="70D68BBA" w14:textId="77777777" w:rsidR="00577BCF" w:rsidRPr="007B46F5" w:rsidRDefault="00577BCF" w:rsidP="007B46F5">
      <w:pPr>
        <w:pStyle w:val="SDText"/>
        <w:jc w:val="both"/>
        <w:rPr>
          <w:lang w:eastAsia="ru-RU" w:bidi="ru-RU"/>
        </w:rPr>
      </w:pPr>
    </w:p>
    <w:p w14:paraId="5F2E99A7" w14:textId="77777777" w:rsidR="00577BCF" w:rsidRPr="007B46F5" w:rsidRDefault="0004635E" w:rsidP="007B46F5">
      <w:pPr>
        <w:pStyle w:val="SDText"/>
        <w:jc w:val="both"/>
        <w:rPr>
          <w:i/>
          <w:iCs/>
          <w:lang w:eastAsia="ru-RU" w:bidi="ru-RU"/>
        </w:rPr>
      </w:pPr>
      <w:r w:rsidRPr="007B46F5">
        <w:rPr>
          <w:i/>
          <w:iCs/>
          <w:lang w:eastAsia="ru-RU" w:bidi="ru-RU"/>
        </w:rPr>
        <w:t xml:space="preserve">Комбинация с химиотерапией на основе препаратов платины или таксанов </w:t>
      </w:r>
    </w:p>
    <w:p w14:paraId="25629524" w14:textId="59CE4D40" w:rsidR="0004635E" w:rsidRPr="007B46F5" w:rsidRDefault="0004635E" w:rsidP="007B46F5">
      <w:pPr>
        <w:pStyle w:val="SDText"/>
        <w:ind w:firstLine="709"/>
        <w:jc w:val="both"/>
        <w:rPr>
          <w:lang w:eastAsia="ru-RU" w:bidi="ru-RU"/>
        </w:rPr>
      </w:pPr>
      <w:r w:rsidRPr="007B46F5">
        <w:rPr>
          <w:lang w:eastAsia="ru-RU" w:bidi="ru-RU"/>
        </w:rPr>
        <w:t>Повышение частоты развития тяжелой нейтропении, фебрильной нейтропении или инфекций с или без тяжелой нейтропении (включая случаи с летальным исходом) наблюдались в основном у пациентов, получавших химиотерапию на основе таксанов или препаратов платины для лечения немелкоклеточного рака легкого и метастатического рака молочной железы.</w:t>
      </w:r>
    </w:p>
    <w:p w14:paraId="70F5B2C2" w14:textId="77777777" w:rsidR="00577BCF" w:rsidRPr="007B46F5" w:rsidRDefault="00577BCF" w:rsidP="007B46F5">
      <w:pPr>
        <w:pStyle w:val="SDText"/>
        <w:jc w:val="both"/>
        <w:rPr>
          <w:i/>
          <w:iCs/>
          <w:lang w:eastAsia="ru-RU" w:bidi="ru-RU"/>
        </w:rPr>
      </w:pPr>
    </w:p>
    <w:p w14:paraId="5200495D" w14:textId="02D2EDB4" w:rsidR="0004635E" w:rsidRPr="007B46F5" w:rsidRDefault="0004635E" w:rsidP="007B46F5">
      <w:pPr>
        <w:pStyle w:val="SDText"/>
        <w:jc w:val="both"/>
        <w:rPr>
          <w:lang w:eastAsia="ru-RU" w:bidi="ru-RU"/>
        </w:rPr>
      </w:pPr>
      <w:r w:rsidRPr="007B46F5">
        <w:rPr>
          <w:i/>
          <w:iCs/>
          <w:lang w:eastAsia="ru-RU" w:bidi="ru-RU"/>
        </w:rPr>
        <w:t>Лучевая терапия</w:t>
      </w:r>
    </w:p>
    <w:p w14:paraId="700B52F8" w14:textId="393F15F0" w:rsidR="0004635E" w:rsidRPr="009E6200" w:rsidRDefault="0004635E" w:rsidP="007B46F5">
      <w:pPr>
        <w:pStyle w:val="SDText"/>
        <w:ind w:firstLine="709"/>
        <w:jc w:val="both"/>
        <w:rPr>
          <w:lang w:eastAsia="ru-RU" w:bidi="ru-RU"/>
        </w:rPr>
      </w:pPr>
      <w:r w:rsidRPr="009E6200">
        <w:rPr>
          <w:lang w:eastAsia="ru-RU" w:bidi="ru-RU"/>
        </w:rPr>
        <w:t xml:space="preserve">При изучении препарата </w:t>
      </w:r>
      <w:r w:rsidR="00054633" w:rsidRPr="009E6200">
        <w:rPr>
          <w:lang w:eastAsia="ru-RU" w:bidi="ru-RU"/>
        </w:rPr>
        <w:t>оригинального препарата Авастин</w:t>
      </w:r>
      <w:r w:rsidR="00054633" w:rsidRPr="009E6200">
        <w:rPr>
          <w:vertAlign w:val="superscript"/>
          <w:lang w:eastAsia="ru-RU" w:bidi="ru-RU"/>
        </w:rPr>
        <w:t xml:space="preserve">® </w:t>
      </w:r>
      <w:r w:rsidRPr="009E6200">
        <w:rPr>
          <w:lang w:eastAsia="ru-RU" w:bidi="ru-RU"/>
        </w:rPr>
        <w:t xml:space="preserve">в комбинации с лучевой терапией и химиотерапией (темозоломидом) у пациентов с впервые диагностированной глиобластомой новых нежелательных явлений, ассоциированных с </w:t>
      </w:r>
      <w:r w:rsidR="00054633" w:rsidRPr="009E6200">
        <w:rPr>
          <w:lang w:eastAsia="ru-RU" w:bidi="ru-RU"/>
        </w:rPr>
        <w:t>оригинальным препаратом Авастин</w:t>
      </w:r>
      <w:r w:rsidR="00054633" w:rsidRPr="009E6200">
        <w:rPr>
          <w:vertAlign w:val="superscript"/>
          <w:lang w:eastAsia="ru-RU" w:bidi="ru-RU"/>
        </w:rPr>
        <w:t>®</w:t>
      </w:r>
      <w:r w:rsidRPr="009E6200">
        <w:rPr>
          <w:lang w:eastAsia="ru-RU" w:bidi="ru-RU"/>
        </w:rPr>
        <w:t xml:space="preserve">, не зарегистрировано. Безопасность и эффективность </w:t>
      </w:r>
      <w:r w:rsidR="00054633" w:rsidRPr="009E6200">
        <w:rPr>
          <w:lang w:eastAsia="ru-RU" w:bidi="ru-RU"/>
        </w:rPr>
        <w:t>оригинального препарата Авастин</w:t>
      </w:r>
      <w:r w:rsidR="00054633" w:rsidRPr="009E6200">
        <w:rPr>
          <w:vertAlign w:val="superscript"/>
          <w:lang w:eastAsia="ru-RU" w:bidi="ru-RU"/>
        </w:rPr>
        <w:t>®</w:t>
      </w:r>
      <w:r w:rsidRPr="009E6200">
        <w:rPr>
          <w:lang w:eastAsia="ru-RU" w:bidi="ru-RU"/>
        </w:rPr>
        <w:t xml:space="preserve"> в комбинации с лучевой терапией при других показаниях не установлена.</w:t>
      </w:r>
    </w:p>
    <w:p w14:paraId="2B3508E4" w14:textId="77777777" w:rsidR="00577BCF" w:rsidRDefault="00577BCF" w:rsidP="007B46F5">
      <w:pPr>
        <w:pStyle w:val="SDText"/>
        <w:jc w:val="both"/>
        <w:rPr>
          <w:i/>
          <w:iCs/>
          <w:u w:val="single"/>
          <w:lang w:eastAsia="ru-RU" w:bidi="ru-RU"/>
        </w:rPr>
      </w:pPr>
    </w:p>
    <w:p w14:paraId="7D7ADA4B" w14:textId="38C65198" w:rsidR="0004635E" w:rsidRPr="007B46F5" w:rsidRDefault="0004635E" w:rsidP="007B46F5">
      <w:pPr>
        <w:pStyle w:val="SDText"/>
        <w:jc w:val="both"/>
        <w:rPr>
          <w:lang w:eastAsia="ru-RU" w:bidi="ru-RU"/>
        </w:rPr>
      </w:pPr>
      <w:r w:rsidRPr="007B46F5">
        <w:rPr>
          <w:i/>
          <w:iCs/>
          <w:lang w:eastAsia="ru-RU" w:bidi="ru-RU"/>
        </w:rPr>
        <w:t>Моноклональные антитела, специфичные к рецепторам эпи</w:t>
      </w:r>
      <w:r w:rsidR="00054633" w:rsidRPr="007B46F5">
        <w:rPr>
          <w:i/>
          <w:iCs/>
          <w:lang w:eastAsia="ru-RU" w:bidi="ru-RU"/>
        </w:rPr>
        <w:t>д</w:t>
      </w:r>
      <w:r w:rsidRPr="007B46F5">
        <w:rPr>
          <w:i/>
          <w:iCs/>
          <w:lang w:eastAsia="ru-RU" w:bidi="ru-RU"/>
        </w:rPr>
        <w:t xml:space="preserve">ермального фактора роста </w:t>
      </w:r>
      <w:r w:rsidRPr="007B46F5">
        <w:rPr>
          <w:i/>
          <w:iCs/>
          <w:lang w:eastAsia="ru-RU" w:bidi="en-US"/>
        </w:rPr>
        <w:t xml:space="preserve">(EGFR) </w:t>
      </w:r>
      <w:r w:rsidRPr="007B46F5">
        <w:rPr>
          <w:i/>
          <w:iCs/>
          <w:lang w:eastAsia="ru-RU" w:bidi="ru-RU"/>
        </w:rPr>
        <w:t>человека, в комбинации с химиотерапевтическими режимами, содержащими бевацизумаб</w:t>
      </w:r>
    </w:p>
    <w:p w14:paraId="6D156628" w14:textId="0E13FD6C" w:rsidR="0004635E" w:rsidRPr="009E6200" w:rsidRDefault="0004635E" w:rsidP="007B46F5">
      <w:pPr>
        <w:pStyle w:val="SDText"/>
        <w:ind w:firstLine="709"/>
        <w:jc w:val="both"/>
        <w:rPr>
          <w:lang w:eastAsia="ru-RU" w:bidi="ru-RU"/>
        </w:rPr>
      </w:pPr>
      <w:r w:rsidRPr="009E6200">
        <w:rPr>
          <w:lang w:eastAsia="ru-RU" w:bidi="ru-RU"/>
        </w:rPr>
        <w:t xml:space="preserve">Исследования взаимодействия не проводились. Не следует применять моноклональные антитела к </w:t>
      </w:r>
      <w:r w:rsidRPr="009E6200">
        <w:rPr>
          <w:lang w:eastAsia="ru-RU" w:bidi="en-US"/>
        </w:rPr>
        <w:t xml:space="preserve">EGFR </w:t>
      </w:r>
      <w:r w:rsidRPr="009E6200">
        <w:rPr>
          <w:lang w:eastAsia="ru-RU" w:bidi="ru-RU"/>
        </w:rPr>
        <w:t>для лечения метастатического колоректального рака в комбинации с химиотерапевтическими режимами, содержащими бевацизумаб.</w:t>
      </w:r>
    </w:p>
    <w:p w14:paraId="68FCF08F" w14:textId="77777777" w:rsidR="0004635E" w:rsidRPr="009E6200" w:rsidRDefault="0004635E" w:rsidP="007B46F5">
      <w:pPr>
        <w:pStyle w:val="SDText"/>
        <w:ind w:firstLine="709"/>
        <w:jc w:val="both"/>
        <w:rPr>
          <w:lang w:eastAsia="ru-RU" w:bidi="ru-RU"/>
        </w:rPr>
      </w:pPr>
      <w:r w:rsidRPr="009E6200">
        <w:rPr>
          <w:lang w:eastAsia="ru-RU" w:bidi="ru-RU"/>
        </w:rPr>
        <w:t xml:space="preserve">Результаты рандомизированных исследований 3 фазы у пациентов с метастатическим колоректальным раком предполагают, что применение моноклональных антител к </w:t>
      </w:r>
      <w:r w:rsidRPr="009E6200">
        <w:rPr>
          <w:lang w:eastAsia="ru-RU" w:bidi="en-US"/>
        </w:rPr>
        <w:t xml:space="preserve">EGFR </w:t>
      </w:r>
      <w:r w:rsidRPr="009E6200">
        <w:rPr>
          <w:lang w:eastAsia="ru-RU" w:bidi="ru-RU"/>
        </w:rPr>
        <w:t>(панитумумаб и цетуксимаб) в комбинации с бевацизумабом и химиотерапией ассоциируется со снижением показателей выживаемости без прогрессирования и/или общей выживаемости и увеличением токсичности при сравнении с применением только бевацизумаба и химиотерапии.</w:t>
      </w:r>
    </w:p>
    <w:p w14:paraId="228E4E03" w14:textId="750BF2E4" w:rsidR="003C1EF6" w:rsidRPr="009E6200" w:rsidRDefault="0004635E" w:rsidP="007B46F5">
      <w:pPr>
        <w:pStyle w:val="SDText"/>
        <w:ind w:firstLine="709"/>
        <w:jc w:val="both"/>
      </w:pPr>
      <w:r w:rsidRPr="009E6200">
        <w:rPr>
          <w:lang w:eastAsia="ru-RU" w:bidi="ru-RU"/>
        </w:rPr>
        <w:t xml:space="preserve">Препарат </w:t>
      </w:r>
      <w:r w:rsidRPr="009E6200">
        <w:rPr>
          <w:lang w:val="en-US" w:eastAsia="ru-RU" w:bidi="ru-RU"/>
        </w:rPr>
        <w:t>RPH</w:t>
      </w:r>
      <w:r w:rsidRPr="009E6200">
        <w:rPr>
          <w:lang w:eastAsia="ru-RU" w:bidi="ru-RU"/>
        </w:rPr>
        <w:t>-001 фармацевтически несовместим с растворами декстрозы</w:t>
      </w:r>
      <w:r w:rsidR="007B6831" w:rsidRPr="009E6200">
        <w:t>.</w:t>
      </w:r>
    </w:p>
    <w:p w14:paraId="2A9B144A" w14:textId="77777777" w:rsidR="00577BCF" w:rsidRDefault="00577BCF" w:rsidP="007B46F5">
      <w:pPr>
        <w:pStyle w:val="SDText"/>
        <w:jc w:val="both"/>
        <w:rPr>
          <w:b/>
        </w:rPr>
      </w:pPr>
    </w:p>
    <w:p w14:paraId="48538782" w14:textId="4B6CDE5B" w:rsidR="003C1EF6" w:rsidRPr="009E6200" w:rsidRDefault="003C1EF6" w:rsidP="007B46F5">
      <w:pPr>
        <w:pStyle w:val="SDText"/>
        <w:jc w:val="both"/>
        <w:rPr>
          <w:b/>
        </w:rPr>
      </w:pPr>
      <w:r w:rsidRPr="009E6200">
        <w:rPr>
          <w:b/>
        </w:rPr>
        <w:t xml:space="preserve">Использование во время </w:t>
      </w:r>
      <w:r w:rsidR="007B6831" w:rsidRPr="009E6200">
        <w:rPr>
          <w:b/>
        </w:rPr>
        <w:t>беременности и кормления грудью</w:t>
      </w:r>
    </w:p>
    <w:p w14:paraId="3A04DE74" w14:textId="77777777" w:rsidR="00577BCF" w:rsidRDefault="00577BCF" w:rsidP="007B46F5">
      <w:pPr>
        <w:pStyle w:val="SDText"/>
        <w:jc w:val="both"/>
      </w:pPr>
    </w:p>
    <w:p w14:paraId="47825C78" w14:textId="7AD78B38" w:rsidR="003C1EF6" w:rsidRPr="009E6200" w:rsidRDefault="003C1EF6" w:rsidP="007B46F5">
      <w:pPr>
        <w:pStyle w:val="SDText"/>
        <w:ind w:firstLine="709"/>
        <w:jc w:val="both"/>
      </w:pPr>
      <w:r w:rsidRPr="009E6200">
        <w:t>Не</w:t>
      </w:r>
      <w:r w:rsidR="00661EE7" w:rsidRPr="009E6200">
        <w:t xml:space="preserve"> </w:t>
      </w:r>
      <w:r w:rsidRPr="009E6200">
        <w:t>следует</w:t>
      </w:r>
      <w:r w:rsidR="00661EE7" w:rsidRPr="009E6200">
        <w:t xml:space="preserve"> </w:t>
      </w:r>
      <w:r w:rsidRPr="009E6200">
        <w:t>применять</w:t>
      </w:r>
      <w:r w:rsidR="00661EE7" w:rsidRPr="009E6200">
        <w:t xml:space="preserve"> </w:t>
      </w:r>
      <w:r w:rsidRPr="009E6200">
        <w:t>RPH-001</w:t>
      </w:r>
      <w:r w:rsidR="00661EE7" w:rsidRPr="009E6200">
        <w:t xml:space="preserve"> </w:t>
      </w:r>
      <w:r w:rsidRPr="009E6200">
        <w:t>при</w:t>
      </w:r>
      <w:r w:rsidR="00661EE7" w:rsidRPr="009E6200">
        <w:t xml:space="preserve"> </w:t>
      </w:r>
      <w:r w:rsidRPr="009E6200">
        <w:t>беременности,</w:t>
      </w:r>
      <w:r w:rsidR="00661EE7" w:rsidRPr="009E6200">
        <w:t xml:space="preserve"> </w:t>
      </w:r>
      <w:r w:rsidRPr="009E6200">
        <w:t>т.к.</w:t>
      </w:r>
      <w:r w:rsidR="00661EE7" w:rsidRPr="009E6200">
        <w:t xml:space="preserve"> </w:t>
      </w:r>
      <w:r w:rsidRPr="009E6200">
        <w:t>препарат</w:t>
      </w:r>
      <w:r w:rsidR="00661EE7" w:rsidRPr="009E6200">
        <w:t xml:space="preserve"> </w:t>
      </w:r>
      <w:r w:rsidRPr="009E6200">
        <w:t>является иммуноглобул</w:t>
      </w:r>
      <w:r w:rsidR="00EE6A55" w:rsidRPr="009E6200">
        <w:t xml:space="preserve">ином </w:t>
      </w:r>
      <w:r w:rsidR="007B6831" w:rsidRPr="009E6200">
        <w:t xml:space="preserve">класса </w:t>
      </w:r>
      <w:r w:rsidR="007B6831" w:rsidRPr="009E6200">
        <w:rPr>
          <w:lang w:val="en-US"/>
        </w:rPr>
        <w:t>G</w:t>
      </w:r>
      <w:r w:rsidR="007B6831" w:rsidRPr="009E6200">
        <w:rPr>
          <w:vertAlign w:val="subscript"/>
        </w:rPr>
        <w:t>1</w:t>
      </w:r>
      <w:r w:rsidR="007B6831" w:rsidRPr="009E6200">
        <w:t xml:space="preserve"> (</w:t>
      </w:r>
      <w:r w:rsidR="0074080F" w:rsidRPr="009E6200">
        <w:t xml:space="preserve">immunoglobulin </w:t>
      </w:r>
      <w:r w:rsidR="0074080F" w:rsidRPr="009E6200">
        <w:rPr>
          <w:lang w:val="en-US"/>
        </w:rPr>
        <w:t>G</w:t>
      </w:r>
      <w:r w:rsidR="0074080F" w:rsidRPr="009E6200">
        <w:rPr>
          <w:vertAlign w:val="subscript"/>
        </w:rPr>
        <w:t>1</w:t>
      </w:r>
      <w:r w:rsidR="0074080F" w:rsidRPr="009E6200">
        <w:t xml:space="preserve">, </w:t>
      </w:r>
      <w:r w:rsidR="00EE6A55" w:rsidRPr="009E6200">
        <w:t>IgG</w:t>
      </w:r>
      <w:r w:rsidR="00EE6A55" w:rsidRPr="009E6200">
        <w:rPr>
          <w:vertAlign w:val="subscript"/>
        </w:rPr>
        <w:t>1</w:t>
      </w:r>
      <w:r w:rsidR="007B6831" w:rsidRPr="009E6200">
        <w:t>)</w:t>
      </w:r>
      <w:r w:rsidR="00661EE7" w:rsidRPr="009E6200">
        <w:t xml:space="preserve"> </w:t>
      </w:r>
      <w:r w:rsidRPr="009E6200">
        <w:t>и возможна передача от матери к плоду с последующим возможным тератогенным воздействием на разви</w:t>
      </w:r>
      <w:r w:rsidR="00EE6A55" w:rsidRPr="009E6200">
        <w:t>тие плода. Женщины детородного в</w:t>
      </w:r>
      <w:r w:rsidRPr="009E6200">
        <w:t>озраста</w:t>
      </w:r>
      <w:r w:rsidR="00661EE7" w:rsidRPr="009E6200">
        <w:t xml:space="preserve"> </w:t>
      </w:r>
      <w:r w:rsidRPr="009E6200">
        <w:t>во</w:t>
      </w:r>
      <w:r w:rsidR="00661EE7" w:rsidRPr="009E6200">
        <w:t xml:space="preserve"> </w:t>
      </w:r>
      <w:r w:rsidRPr="009E6200">
        <w:t>время</w:t>
      </w:r>
      <w:r w:rsidR="00661EE7" w:rsidRPr="009E6200">
        <w:t xml:space="preserve"> </w:t>
      </w:r>
      <w:r w:rsidRPr="009E6200">
        <w:t>лечения</w:t>
      </w:r>
      <w:r w:rsidR="00661EE7" w:rsidRPr="009E6200">
        <w:t xml:space="preserve"> </w:t>
      </w:r>
      <w:r w:rsidRPr="009E6200">
        <w:t>RPH-001</w:t>
      </w:r>
      <w:r w:rsidR="00661EE7" w:rsidRPr="009E6200">
        <w:t xml:space="preserve"> </w:t>
      </w:r>
      <w:r w:rsidRPr="009E6200">
        <w:t>и</w:t>
      </w:r>
      <w:r w:rsidR="00661EE7" w:rsidRPr="009E6200">
        <w:t xml:space="preserve"> </w:t>
      </w:r>
      <w:r w:rsidRPr="009E6200">
        <w:t>в</w:t>
      </w:r>
      <w:r w:rsidR="00661EE7" w:rsidRPr="009E6200">
        <w:t xml:space="preserve"> </w:t>
      </w:r>
      <w:r w:rsidRPr="009E6200">
        <w:t>течение</w:t>
      </w:r>
      <w:r w:rsidR="00661EE7" w:rsidRPr="009E6200">
        <w:t xml:space="preserve"> </w:t>
      </w:r>
      <w:r w:rsidRPr="009E6200">
        <w:t>не</w:t>
      </w:r>
      <w:r w:rsidR="00661EE7" w:rsidRPr="009E6200">
        <w:t xml:space="preserve"> </w:t>
      </w:r>
      <w:r w:rsidRPr="009E6200">
        <w:t>менее</w:t>
      </w:r>
      <w:r w:rsidR="00661EE7" w:rsidRPr="009E6200">
        <w:t xml:space="preserve"> </w:t>
      </w:r>
      <w:r w:rsidRPr="009E6200">
        <w:t>6 мес</w:t>
      </w:r>
      <w:r w:rsidR="00EE6A55" w:rsidRPr="009E6200">
        <w:t>.</w:t>
      </w:r>
      <w:r w:rsidR="00661EE7" w:rsidRPr="009E6200">
        <w:t xml:space="preserve"> </w:t>
      </w:r>
      <w:r w:rsidR="00EE6A55" w:rsidRPr="009E6200">
        <w:t>П</w:t>
      </w:r>
      <w:r w:rsidRPr="009E6200">
        <w:t>осле</w:t>
      </w:r>
      <w:r w:rsidR="00EE6A55" w:rsidRPr="009E6200">
        <w:t xml:space="preserve"> </w:t>
      </w:r>
      <w:r w:rsidRPr="009E6200">
        <w:t>последнего</w:t>
      </w:r>
      <w:r w:rsidR="00661EE7" w:rsidRPr="009E6200">
        <w:t xml:space="preserve"> </w:t>
      </w:r>
      <w:r w:rsidRPr="009E6200">
        <w:t>приема</w:t>
      </w:r>
      <w:r w:rsidR="00661EE7" w:rsidRPr="009E6200">
        <w:t xml:space="preserve"> </w:t>
      </w:r>
      <w:r w:rsidRPr="009E6200">
        <w:t>препарата</w:t>
      </w:r>
      <w:r w:rsidR="00661EE7" w:rsidRPr="009E6200">
        <w:t xml:space="preserve"> </w:t>
      </w:r>
      <w:r w:rsidRPr="009E6200">
        <w:t>должны</w:t>
      </w:r>
      <w:r w:rsidR="00661EE7" w:rsidRPr="009E6200">
        <w:t xml:space="preserve"> </w:t>
      </w:r>
      <w:r w:rsidRPr="009E6200">
        <w:t>использовать</w:t>
      </w:r>
      <w:r w:rsidR="00661EE7" w:rsidRPr="009E6200">
        <w:t xml:space="preserve"> </w:t>
      </w:r>
      <w:r w:rsidRPr="009E6200">
        <w:t>надежные</w:t>
      </w:r>
      <w:r w:rsidR="00661EE7" w:rsidRPr="009E6200">
        <w:t xml:space="preserve"> </w:t>
      </w:r>
      <w:r w:rsidR="007B6831" w:rsidRPr="009E6200">
        <w:t>методы контрацепции.</w:t>
      </w:r>
    </w:p>
    <w:p w14:paraId="6F22440D" w14:textId="77777777" w:rsidR="003C1EF6" w:rsidRPr="009E6200" w:rsidRDefault="003C1EF6" w:rsidP="007B46F5">
      <w:pPr>
        <w:pStyle w:val="SDText"/>
        <w:ind w:firstLine="709"/>
        <w:jc w:val="both"/>
      </w:pPr>
      <w:r w:rsidRPr="009E6200">
        <w:t>Специальных исследований о безопасности применения оригинального препарата Авастин</w:t>
      </w:r>
      <w:r w:rsidR="00121FA5" w:rsidRPr="009E6200">
        <w:rPr>
          <w:vertAlign w:val="superscript"/>
        </w:rPr>
        <w:t>®</w:t>
      </w:r>
      <w:r w:rsidR="00661EE7" w:rsidRPr="009E6200">
        <w:t xml:space="preserve"> </w:t>
      </w:r>
      <w:r w:rsidRPr="009E6200">
        <w:t>у</w:t>
      </w:r>
      <w:r w:rsidR="00661EE7" w:rsidRPr="009E6200">
        <w:t xml:space="preserve"> </w:t>
      </w:r>
      <w:r w:rsidRPr="009E6200">
        <w:t>женщин</w:t>
      </w:r>
      <w:r w:rsidR="00661EE7" w:rsidRPr="009E6200">
        <w:t xml:space="preserve"> </w:t>
      </w:r>
      <w:r w:rsidRPr="009E6200">
        <w:t>во</w:t>
      </w:r>
      <w:r w:rsidR="00661EE7" w:rsidRPr="009E6200">
        <w:t xml:space="preserve"> </w:t>
      </w:r>
      <w:r w:rsidRPr="009E6200">
        <w:t>время</w:t>
      </w:r>
      <w:r w:rsidR="00661EE7" w:rsidRPr="009E6200">
        <w:t xml:space="preserve"> </w:t>
      </w:r>
      <w:r w:rsidRPr="009E6200">
        <w:t>беременности</w:t>
      </w:r>
      <w:r w:rsidR="00661EE7" w:rsidRPr="009E6200">
        <w:t xml:space="preserve"> </w:t>
      </w:r>
      <w:r w:rsidRPr="009E6200">
        <w:t>не</w:t>
      </w:r>
      <w:r w:rsidR="00661EE7" w:rsidRPr="009E6200">
        <w:t xml:space="preserve"> </w:t>
      </w:r>
      <w:r w:rsidRPr="009E6200">
        <w:t>проводилось.</w:t>
      </w:r>
      <w:r w:rsidR="00661EE7" w:rsidRPr="009E6200">
        <w:t xml:space="preserve"> </w:t>
      </w:r>
      <w:r w:rsidRPr="009E6200">
        <w:t>Доклинические исследования</w:t>
      </w:r>
      <w:r w:rsidR="00661EE7" w:rsidRPr="009E6200">
        <w:t xml:space="preserve"> </w:t>
      </w:r>
      <w:r w:rsidRPr="009E6200">
        <w:t>Авастина</w:t>
      </w:r>
      <w:r w:rsidR="00121FA5" w:rsidRPr="009E6200">
        <w:rPr>
          <w:vertAlign w:val="superscript"/>
        </w:rPr>
        <w:t>®</w:t>
      </w:r>
      <w:r w:rsidR="00661EE7" w:rsidRPr="009E6200">
        <w:t xml:space="preserve"> </w:t>
      </w:r>
      <w:r w:rsidRPr="009E6200">
        <w:t>на</w:t>
      </w:r>
      <w:r w:rsidR="00661EE7" w:rsidRPr="009E6200">
        <w:t xml:space="preserve"> </w:t>
      </w:r>
      <w:r w:rsidRPr="009E6200">
        <w:t>кроликах</w:t>
      </w:r>
      <w:r w:rsidR="00661EE7" w:rsidRPr="009E6200">
        <w:t xml:space="preserve"> </w:t>
      </w:r>
      <w:r w:rsidRPr="009E6200">
        <w:t>в</w:t>
      </w:r>
      <w:r w:rsidR="00661EE7" w:rsidRPr="009E6200">
        <w:t xml:space="preserve"> </w:t>
      </w:r>
      <w:r w:rsidRPr="009E6200">
        <w:t>дозах</w:t>
      </w:r>
      <w:r w:rsidR="00661EE7" w:rsidRPr="009E6200">
        <w:t xml:space="preserve"> </w:t>
      </w:r>
      <w:r w:rsidR="00EE6A55" w:rsidRPr="009E6200">
        <w:t>в</w:t>
      </w:r>
      <w:r w:rsidR="00661EE7" w:rsidRPr="009E6200">
        <w:t xml:space="preserve"> </w:t>
      </w:r>
      <w:r w:rsidR="00EE6A55" w:rsidRPr="009E6200">
        <w:t>1–</w:t>
      </w:r>
      <w:r w:rsidRPr="009E6200">
        <w:t>12</w:t>
      </w:r>
      <w:r w:rsidR="00661EE7" w:rsidRPr="009E6200">
        <w:t xml:space="preserve"> </w:t>
      </w:r>
      <w:r w:rsidRPr="009E6200">
        <w:t>раз</w:t>
      </w:r>
      <w:r w:rsidR="00661EE7" w:rsidRPr="009E6200">
        <w:t xml:space="preserve"> </w:t>
      </w:r>
      <w:r w:rsidRPr="009E6200">
        <w:t>превышающих рекомендуемую</w:t>
      </w:r>
      <w:r w:rsidR="00661EE7" w:rsidRPr="009E6200">
        <w:t xml:space="preserve"> </w:t>
      </w:r>
      <w:r w:rsidRPr="009E6200">
        <w:t>терапевтическую</w:t>
      </w:r>
      <w:r w:rsidR="00661EE7" w:rsidRPr="009E6200">
        <w:t xml:space="preserve"> </w:t>
      </w:r>
      <w:r w:rsidRPr="009E6200">
        <w:t>дозу</w:t>
      </w:r>
      <w:r w:rsidR="00661EE7" w:rsidRPr="009E6200">
        <w:t xml:space="preserve"> </w:t>
      </w:r>
      <w:r w:rsidRPr="009E6200">
        <w:t>у</w:t>
      </w:r>
      <w:r w:rsidR="00661EE7" w:rsidRPr="009E6200">
        <w:t xml:space="preserve"> </w:t>
      </w:r>
      <w:r w:rsidRPr="009E6200">
        <w:t>человека</w:t>
      </w:r>
      <w:r w:rsidR="00661EE7" w:rsidRPr="009E6200">
        <w:t xml:space="preserve"> </w:t>
      </w:r>
      <w:r w:rsidRPr="009E6200">
        <w:t>выявили</w:t>
      </w:r>
      <w:r w:rsidR="00661EE7" w:rsidRPr="009E6200">
        <w:t xml:space="preserve"> </w:t>
      </w:r>
      <w:r w:rsidRPr="009E6200">
        <w:t>тератогенный</w:t>
      </w:r>
      <w:r w:rsidR="00661EE7" w:rsidRPr="009E6200">
        <w:t xml:space="preserve"> </w:t>
      </w:r>
      <w:r w:rsidRPr="009E6200">
        <w:t>эффект на развитие плода во всех тестовых дозах.</w:t>
      </w:r>
    </w:p>
    <w:p w14:paraId="1099AC79" w14:textId="77777777" w:rsidR="003C1EF6" w:rsidRPr="009E6200" w:rsidRDefault="003C1EF6" w:rsidP="007B46F5">
      <w:pPr>
        <w:pStyle w:val="SDText"/>
        <w:jc w:val="both"/>
      </w:pPr>
      <w:r w:rsidRPr="009E6200">
        <w:t>Не</w:t>
      </w:r>
      <w:r w:rsidR="00661EE7" w:rsidRPr="009E6200">
        <w:t xml:space="preserve"> </w:t>
      </w:r>
      <w:r w:rsidRPr="009E6200">
        <w:t>следует</w:t>
      </w:r>
      <w:r w:rsidR="00661EE7" w:rsidRPr="009E6200">
        <w:t xml:space="preserve"> </w:t>
      </w:r>
      <w:r w:rsidRPr="009E6200">
        <w:t>применять</w:t>
      </w:r>
      <w:r w:rsidR="00661EE7" w:rsidRPr="009E6200">
        <w:t xml:space="preserve"> </w:t>
      </w:r>
      <w:r w:rsidRPr="009E6200">
        <w:t>RPH-001</w:t>
      </w:r>
      <w:r w:rsidR="00661EE7" w:rsidRPr="009E6200">
        <w:t xml:space="preserve"> </w:t>
      </w:r>
      <w:r w:rsidRPr="009E6200">
        <w:t>при</w:t>
      </w:r>
      <w:r w:rsidR="00661EE7" w:rsidRPr="009E6200">
        <w:t xml:space="preserve"> </w:t>
      </w:r>
      <w:r w:rsidRPr="009E6200">
        <w:t>кормлении</w:t>
      </w:r>
      <w:r w:rsidR="00661EE7" w:rsidRPr="009E6200">
        <w:t xml:space="preserve"> </w:t>
      </w:r>
      <w:r w:rsidRPr="009E6200">
        <w:t>грудью,</w:t>
      </w:r>
      <w:r w:rsidR="00661EE7" w:rsidRPr="009E6200">
        <w:t xml:space="preserve"> </w:t>
      </w:r>
      <w:r w:rsidRPr="009E6200">
        <w:t>т.к.</w:t>
      </w:r>
      <w:r w:rsidR="00661EE7" w:rsidRPr="009E6200">
        <w:t xml:space="preserve"> </w:t>
      </w:r>
      <w:r w:rsidRPr="009E6200">
        <w:t>материнский иммуноглобулин</w:t>
      </w:r>
      <w:r w:rsidR="00661EE7" w:rsidRPr="009E6200">
        <w:t xml:space="preserve"> </w:t>
      </w:r>
      <w:r w:rsidR="0074080F" w:rsidRPr="009E6200">
        <w:t xml:space="preserve">класса </w:t>
      </w:r>
      <w:r w:rsidR="0074080F" w:rsidRPr="009E6200">
        <w:rPr>
          <w:lang w:val="en-US"/>
        </w:rPr>
        <w:t>G</w:t>
      </w:r>
      <w:r w:rsidR="0074080F" w:rsidRPr="009E6200">
        <w:t xml:space="preserve"> (immunoglobulin </w:t>
      </w:r>
      <w:r w:rsidR="0074080F" w:rsidRPr="009E6200">
        <w:rPr>
          <w:lang w:val="en-US"/>
        </w:rPr>
        <w:t>G</w:t>
      </w:r>
      <w:r w:rsidR="0074080F" w:rsidRPr="009E6200">
        <w:t xml:space="preserve">, </w:t>
      </w:r>
      <w:r w:rsidRPr="009E6200">
        <w:t>IgG</w:t>
      </w:r>
      <w:r w:rsidR="0074080F" w:rsidRPr="009E6200">
        <w:t>)</w:t>
      </w:r>
      <w:r w:rsidR="00661EE7" w:rsidRPr="009E6200">
        <w:t xml:space="preserve"> </w:t>
      </w:r>
      <w:r w:rsidRPr="009E6200">
        <w:t>экскретируется</w:t>
      </w:r>
      <w:r w:rsidR="00661EE7" w:rsidRPr="009E6200">
        <w:t xml:space="preserve"> </w:t>
      </w:r>
      <w:r w:rsidRPr="009E6200">
        <w:t>с</w:t>
      </w:r>
      <w:r w:rsidR="00661EE7" w:rsidRPr="009E6200">
        <w:t xml:space="preserve"> </w:t>
      </w:r>
      <w:r w:rsidRPr="009E6200">
        <w:t>молоком,</w:t>
      </w:r>
      <w:r w:rsidR="00661EE7" w:rsidRPr="009E6200">
        <w:t xml:space="preserve"> </w:t>
      </w:r>
      <w:r w:rsidRPr="009E6200">
        <w:t>и</w:t>
      </w:r>
      <w:r w:rsidR="00661EE7" w:rsidRPr="009E6200">
        <w:t xml:space="preserve"> </w:t>
      </w:r>
      <w:r w:rsidRPr="009E6200">
        <w:t>RPH-001</w:t>
      </w:r>
      <w:r w:rsidR="00661EE7" w:rsidRPr="009E6200">
        <w:t xml:space="preserve"> </w:t>
      </w:r>
      <w:r w:rsidRPr="009E6200">
        <w:t>может</w:t>
      </w:r>
      <w:r w:rsidR="00661EE7" w:rsidRPr="009E6200">
        <w:t xml:space="preserve"> </w:t>
      </w:r>
      <w:r w:rsidRPr="009E6200">
        <w:t>оказывать неблагоприятное</w:t>
      </w:r>
      <w:r w:rsidR="00661EE7" w:rsidRPr="009E6200">
        <w:t xml:space="preserve"> </w:t>
      </w:r>
      <w:r w:rsidRPr="009E6200">
        <w:t>воздействие</w:t>
      </w:r>
      <w:r w:rsidR="00661EE7" w:rsidRPr="009E6200">
        <w:t xml:space="preserve"> </w:t>
      </w:r>
      <w:r w:rsidRPr="009E6200">
        <w:t>на</w:t>
      </w:r>
      <w:r w:rsidR="00661EE7" w:rsidRPr="009E6200">
        <w:t xml:space="preserve"> </w:t>
      </w:r>
      <w:r w:rsidRPr="009E6200">
        <w:t>рост</w:t>
      </w:r>
      <w:r w:rsidR="00661EE7" w:rsidRPr="009E6200">
        <w:t xml:space="preserve"> </w:t>
      </w:r>
      <w:r w:rsidRPr="009E6200">
        <w:t>и</w:t>
      </w:r>
      <w:r w:rsidR="00661EE7" w:rsidRPr="009E6200">
        <w:t xml:space="preserve"> </w:t>
      </w:r>
      <w:r w:rsidRPr="009E6200">
        <w:t>развитие</w:t>
      </w:r>
      <w:r w:rsidR="00661EE7" w:rsidRPr="009E6200">
        <w:t xml:space="preserve"> </w:t>
      </w:r>
      <w:r w:rsidRPr="009E6200">
        <w:t>ребенка.</w:t>
      </w:r>
      <w:r w:rsidR="00661EE7" w:rsidRPr="009E6200">
        <w:t xml:space="preserve"> </w:t>
      </w:r>
      <w:r w:rsidRPr="009E6200">
        <w:t>Кормящие</w:t>
      </w:r>
      <w:r w:rsidR="00661EE7" w:rsidRPr="009E6200">
        <w:t xml:space="preserve"> </w:t>
      </w:r>
      <w:r w:rsidRPr="009E6200">
        <w:t>женщины должны</w:t>
      </w:r>
      <w:r w:rsidR="00661EE7" w:rsidRPr="009E6200">
        <w:t xml:space="preserve"> </w:t>
      </w:r>
      <w:r w:rsidRPr="009E6200">
        <w:t>прекратить</w:t>
      </w:r>
      <w:r w:rsidR="00661EE7" w:rsidRPr="009E6200">
        <w:t xml:space="preserve"> </w:t>
      </w:r>
      <w:r w:rsidRPr="009E6200">
        <w:t>грудное</w:t>
      </w:r>
      <w:r w:rsidR="00661EE7" w:rsidRPr="009E6200">
        <w:t xml:space="preserve"> </w:t>
      </w:r>
      <w:r w:rsidRPr="009E6200">
        <w:t>вскармливание</w:t>
      </w:r>
      <w:r w:rsidR="00661EE7" w:rsidRPr="009E6200">
        <w:t xml:space="preserve"> </w:t>
      </w:r>
      <w:r w:rsidRPr="009E6200">
        <w:t>во</w:t>
      </w:r>
      <w:r w:rsidR="00661EE7" w:rsidRPr="009E6200">
        <w:t xml:space="preserve"> </w:t>
      </w:r>
      <w:r w:rsidRPr="009E6200">
        <w:t>время</w:t>
      </w:r>
      <w:r w:rsidR="00661EE7" w:rsidRPr="009E6200">
        <w:t xml:space="preserve"> </w:t>
      </w:r>
      <w:r w:rsidRPr="009E6200">
        <w:t>лечения</w:t>
      </w:r>
      <w:r w:rsidR="00661EE7" w:rsidRPr="009E6200">
        <w:t xml:space="preserve"> </w:t>
      </w:r>
      <w:r w:rsidRPr="009E6200">
        <w:t>RPH-001</w:t>
      </w:r>
      <w:r w:rsidR="00661EE7" w:rsidRPr="009E6200">
        <w:t xml:space="preserve"> </w:t>
      </w:r>
      <w:r w:rsidRPr="009E6200">
        <w:t>и</w:t>
      </w:r>
      <w:r w:rsidR="00661EE7" w:rsidRPr="009E6200">
        <w:t xml:space="preserve"> </w:t>
      </w:r>
      <w:r w:rsidRPr="009E6200">
        <w:t>не кормить грудью в течение не менее 6 мес</w:t>
      </w:r>
      <w:r w:rsidR="00EE6A55" w:rsidRPr="009E6200">
        <w:t>.</w:t>
      </w:r>
      <w:r w:rsidRPr="009E6200">
        <w:t xml:space="preserve"> после последнего приема препарата.</w:t>
      </w:r>
    </w:p>
    <w:p w14:paraId="727A5A46" w14:textId="77777777" w:rsidR="003C1EF6" w:rsidRPr="009E6200" w:rsidRDefault="003C1EF6" w:rsidP="007B46F5">
      <w:pPr>
        <w:pStyle w:val="SDText"/>
        <w:jc w:val="both"/>
      </w:pPr>
      <w:r w:rsidRPr="009E6200">
        <w:t>Однако специальных исследований о секреции оригинального препарата Авастин</w:t>
      </w:r>
      <w:r w:rsidR="00121FA5" w:rsidRPr="009E6200">
        <w:rPr>
          <w:vertAlign w:val="superscript"/>
        </w:rPr>
        <w:t>®</w:t>
      </w:r>
      <w:r w:rsidRPr="009E6200">
        <w:t xml:space="preserve"> в грудное молоко при кормлении грудью не проводилось.</w:t>
      </w:r>
      <w:r w:rsidR="00661EE7" w:rsidRPr="009E6200">
        <w:t xml:space="preserve"> </w:t>
      </w:r>
    </w:p>
    <w:p w14:paraId="4272CEF1" w14:textId="77777777" w:rsidR="00577BCF" w:rsidRDefault="00577BCF" w:rsidP="007B46F5">
      <w:pPr>
        <w:pStyle w:val="SDText"/>
        <w:jc w:val="both"/>
        <w:rPr>
          <w:b/>
        </w:rPr>
      </w:pPr>
    </w:p>
    <w:p w14:paraId="5AE611BC" w14:textId="431CC9B4" w:rsidR="003C1EF6" w:rsidRPr="009E6200" w:rsidRDefault="003C1EF6" w:rsidP="007B46F5">
      <w:pPr>
        <w:pStyle w:val="SDText"/>
        <w:jc w:val="both"/>
        <w:rPr>
          <w:b/>
        </w:rPr>
      </w:pPr>
      <w:r w:rsidRPr="009E6200">
        <w:rPr>
          <w:b/>
        </w:rPr>
        <w:t xml:space="preserve">Использование у женщин детородного возраста </w:t>
      </w:r>
    </w:p>
    <w:p w14:paraId="224C1B5E" w14:textId="77777777" w:rsidR="00577BCF" w:rsidRDefault="00577BCF" w:rsidP="007B46F5">
      <w:pPr>
        <w:pStyle w:val="SDText"/>
        <w:jc w:val="both"/>
      </w:pPr>
    </w:p>
    <w:p w14:paraId="47433F20" w14:textId="1BD3AACC" w:rsidR="003C1EF6" w:rsidRPr="009E6200" w:rsidRDefault="003C1EF6" w:rsidP="007B46F5">
      <w:pPr>
        <w:pStyle w:val="SDText"/>
        <w:ind w:firstLine="709"/>
        <w:jc w:val="both"/>
      </w:pPr>
      <w:r w:rsidRPr="009E6200">
        <w:t>При</w:t>
      </w:r>
      <w:r w:rsidR="00661EE7" w:rsidRPr="009E6200">
        <w:t xml:space="preserve"> </w:t>
      </w:r>
      <w:r w:rsidRPr="009E6200">
        <w:t>применении</w:t>
      </w:r>
      <w:r w:rsidR="00661EE7" w:rsidRPr="009E6200">
        <w:t xml:space="preserve"> </w:t>
      </w:r>
      <w:r w:rsidRPr="009E6200">
        <w:t>препарата</w:t>
      </w:r>
      <w:r w:rsidR="00661EE7" w:rsidRPr="009E6200">
        <w:t xml:space="preserve"> </w:t>
      </w:r>
      <w:r w:rsidRPr="009E6200">
        <w:t>RPH-001</w:t>
      </w:r>
      <w:r w:rsidR="00661EE7" w:rsidRPr="009E6200">
        <w:t xml:space="preserve"> </w:t>
      </w:r>
      <w:r w:rsidRPr="009E6200">
        <w:t>повышается</w:t>
      </w:r>
      <w:r w:rsidR="00661EE7" w:rsidRPr="009E6200">
        <w:t xml:space="preserve"> </w:t>
      </w:r>
      <w:r w:rsidRPr="009E6200">
        <w:t>риск</w:t>
      </w:r>
      <w:r w:rsidR="00661EE7" w:rsidRPr="009E6200">
        <w:t xml:space="preserve"> </w:t>
      </w:r>
      <w:r w:rsidRPr="009E6200">
        <w:t>возникновения приобретенной недостаточности функции яичников. В связи с этим до начала курса лечения</w:t>
      </w:r>
      <w:r w:rsidR="00661EE7" w:rsidRPr="009E6200">
        <w:t xml:space="preserve"> </w:t>
      </w:r>
      <w:r w:rsidRPr="009E6200">
        <w:t>препаратом</w:t>
      </w:r>
      <w:r w:rsidR="00661EE7" w:rsidRPr="009E6200">
        <w:t xml:space="preserve"> </w:t>
      </w:r>
      <w:r w:rsidRPr="009E6200">
        <w:t>необходимо</w:t>
      </w:r>
      <w:r w:rsidR="00661EE7" w:rsidRPr="009E6200">
        <w:t xml:space="preserve"> </w:t>
      </w:r>
      <w:r w:rsidRPr="009E6200">
        <w:t>проинформировать</w:t>
      </w:r>
      <w:r w:rsidR="00661EE7" w:rsidRPr="009E6200">
        <w:t xml:space="preserve"> </w:t>
      </w:r>
      <w:r w:rsidRPr="009E6200">
        <w:t>пациенток</w:t>
      </w:r>
      <w:r w:rsidR="00661EE7" w:rsidRPr="009E6200">
        <w:t xml:space="preserve"> </w:t>
      </w:r>
      <w:r w:rsidRPr="009E6200">
        <w:t>о</w:t>
      </w:r>
      <w:r w:rsidR="00661EE7" w:rsidRPr="009E6200">
        <w:t xml:space="preserve"> </w:t>
      </w:r>
      <w:r w:rsidRPr="009E6200">
        <w:t>потенциальном риске развития недостаточности функции яичников.</w:t>
      </w:r>
    </w:p>
    <w:p w14:paraId="79D982B1" w14:textId="77777777" w:rsidR="003C1EF6" w:rsidRPr="009E6200" w:rsidRDefault="003C1EF6" w:rsidP="007B46F5">
      <w:pPr>
        <w:pStyle w:val="SDText"/>
        <w:jc w:val="both"/>
      </w:pPr>
      <w:r w:rsidRPr="009E6200">
        <w:t>Отдаленное влияние препарата RPH-001 на фертильность неизвестно. Поэтому до начала курса лечения RPH-001 необходимо обсуждать с пациентками детородного возраста возможные стратегии сохранения фертильности.</w:t>
      </w:r>
    </w:p>
    <w:p w14:paraId="2877B8DD" w14:textId="2EE0A5F8" w:rsidR="003C1EF6" w:rsidRPr="009E6200" w:rsidRDefault="003C1EF6" w:rsidP="007B46F5">
      <w:pPr>
        <w:pStyle w:val="SDText"/>
        <w:ind w:firstLine="709"/>
        <w:jc w:val="both"/>
      </w:pPr>
      <w:r w:rsidRPr="009E6200">
        <w:t>В</w:t>
      </w:r>
      <w:r w:rsidR="00661EE7" w:rsidRPr="009E6200">
        <w:t xml:space="preserve"> </w:t>
      </w:r>
      <w:r w:rsidRPr="009E6200">
        <w:t>субисследовании</w:t>
      </w:r>
      <w:r w:rsidR="00661EE7" w:rsidRPr="009E6200">
        <w:t xml:space="preserve"> </w:t>
      </w:r>
      <w:r w:rsidRPr="009E6200">
        <w:t>с</w:t>
      </w:r>
      <w:r w:rsidR="00661EE7" w:rsidRPr="009E6200">
        <w:t xml:space="preserve"> </w:t>
      </w:r>
      <w:r w:rsidRPr="009E6200">
        <w:t>участием</w:t>
      </w:r>
      <w:r w:rsidR="00661EE7" w:rsidRPr="009E6200">
        <w:t xml:space="preserve"> </w:t>
      </w:r>
      <w:r w:rsidRPr="009E6200">
        <w:t>179</w:t>
      </w:r>
      <w:r w:rsidR="00661EE7" w:rsidRPr="009E6200">
        <w:t xml:space="preserve"> </w:t>
      </w:r>
      <w:r w:rsidRPr="009E6200">
        <w:t>женщин</w:t>
      </w:r>
      <w:r w:rsidR="00661EE7" w:rsidRPr="009E6200">
        <w:t xml:space="preserve"> </w:t>
      </w:r>
      <w:r w:rsidRPr="009E6200">
        <w:t>в</w:t>
      </w:r>
      <w:r w:rsidR="00661EE7" w:rsidRPr="009E6200">
        <w:t xml:space="preserve"> </w:t>
      </w:r>
      <w:r w:rsidRPr="009E6200">
        <w:t>пременопаузе</w:t>
      </w:r>
      <w:r w:rsidR="00661EE7" w:rsidRPr="009E6200">
        <w:t xml:space="preserve"> </w:t>
      </w:r>
      <w:r w:rsidRPr="009E6200">
        <w:t>пациентки рандомизировались</w:t>
      </w:r>
      <w:r w:rsidR="00661EE7" w:rsidRPr="009E6200">
        <w:t xml:space="preserve"> </w:t>
      </w:r>
      <w:r w:rsidRPr="009E6200">
        <w:t>в</w:t>
      </w:r>
      <w:r w:rsidR="00661EE7" w:rsidRPr="009E6200">
        <w:t xml:space="preserve"> </w:t>
      </w:r>
      <w:r w:rsidRPr="009E6200">
        <w:t>группы,</w:t>
      </w:r>
      <w:r w:rsidR="00661EE7" w:rsidRPr="009E6200">
        <w:t xml:space="preserve"> </w:t>
      </w:r>
      <w:r w:rsidRPr="009E6200">
        <w:t>получающие</w:t>
      </w:r>
      <w:r w:rsidR="00661EE7" w:rsidRPr="009E6200">
        <w:t xml:space="preserve"> </w:t>
      </w:r>
      <w:r w:rsidRPr="009E6200">
        <w:t>химиотерапию</w:t>
      </w:r>
      <w:r w:rsidR="00661EE7" w:rsidRPr="009E6200">
        <w:t xml:space="preserve"> </w:t>
      </w:r>
      <w:r w:rsidRPr="009E6200">
        <w:t>в</w:t>
      </w:r>
      <w:r w:rsidR="00661EE7" w:rsidRPr="009E6200">
        <w:t xml:space="preserve"> </w:t>
      </w:r>
      <w:r w:rsidRPr="009E6200">
        <w:t>сочетании</w:t>
      </w:r>
      <w:r w:rsidR="00661EE7" w:rsidRPr="009E6200">
        <w:t xml:space="preserve"> </w:t>
      </w:r>
      <w:r w:rsidRPr="009E6200">
        <w:t>с оригинальным</w:t>
      </w:r>
      <w:r w:rsidR="00661EE7" w:rsidRPr="009E6200">
        <w:t xml:space="preserve"> </w:t>
      </w:r>
      <w:r w:rsidRPr="009E6200">
        <w:t>препаратом</w:t>
      </w:r>
      <w:r w:rsidR="00661EE7" w:rsidRPr="009E6200">
        <w:t xml:space="preserve"> </w:t>
      </w:r>
      <w:r w:rsidRPr="009E6200">
        <w:t>Авастин</w:t>
      </w:r>
      <w:r w:rsidR="00121FA5" w:rsidRPr="009E6200">
        <w:rPr>
          <w:vertAlign w:val="superscript"/>
        </w:rPr>
        <w:t>®</w:t>
      </w:r>
      <w:r w:rsidR="00661EE7" w:rsidRPr="009E6200">
        <w:t xml:space="preserve"> </w:t>
      </w:r>
      <w:r w:rsidRPr="009E6200">
        <w:t>или</w:t>
      </w:r>
      <w:r w:rsidR="00661EE7" w:rsidRPr="009E6200">
        <w:t xml:space="preserve"> </w:t>
      </w:r>
      <w:r w:rsidRPr="009E6200">
        <w:t>исключительно</w:t>
      </w:r>
      <w:r w:rsidR="00661EE7" w:rsidRPr="009E6200">
        <w:t xml:space="preserve"> </w:t>
      </w:r>
      <w:r w:rsidRPr="009E6200">
        <w:t>химиотерапию. Результаты</w:t>
      </w:r>
      <w:r w:rsidR="00661EE7" w:rsidRPr="009E6200">
        <w:t xml:space="preserve"> </w:t>
      </w:r>
      <w:r w:rsidRPr="009E6200">
        <w:t>исследования</w:t>
      </w:r>
      <w:r w:rsidR="00661EE7" w:rsidRPr="009E6200">
        <w:t xml:space="preserve"> </w:t>
      </w:r>
      <w:r w:rsidRPr="009E6200">
        <w:t>показали,</w:t>
      </w:r>
      <w:r w:rsidR="00661EE7" w:rsidRPr="009E6200">
        <w:t xml:space="preserve"> </w:t>
      </w:r>
      <w:r w:rsidRPr="009E6200">
        <w:t>что</w:t>
      </w:r>
      <w:r w:rsidR="00661EE7" w:rsidRPr="009E6200">
        <w:t xml:space="preserve"> </w:t>
      </w:r>
      <w:r w:rsidRPr="009E6200">
        <w:t>диагностированная</w:t>
      </w:r>
      <w:r w:rsidR="00661EE7" w:rsidRPr="009E6200">
        <w:t xml:space="preserve"> </w:t>
      </w:r>
      <w:r w:rsidRPr="009E6200">
        <w:t>недостаточность функции</w:t>
      </w:r>
      <w:r w:rsidR="00661EE7" w:rsidRPr="009E6200">
        <w:t xml:space="preserve"> </w:t>
      </w:r>
      <w:r w:rsidRPr="009E6200">
        <w:t>яичников</w:t>
      </w:r>
      <w:r w:rsidR="00661EE7" w:rsidRPr="009E6200">
        <w:t xml:space="preserve"> </w:t>
      </w:r>
      <w:r w:rsidRPr="009E6200">
        <w:t>была</w:t>
      </w:r>
      <w:r w:rsidR="00661EE7" w:rsidRPr="009E6200">
        <w:t xml:space="preserve"> </w:t>
      </w:r>
      <w:r w:rsidRPr="009E6200">
        <w:t>значительно</w:t>
      </w:r>
      <w:r w:rsidR="00661EE7" w:rsidRPr="009E6200">
        <w:t xml:space="preserve"> </w:t>
      </w:r>
      <w:r w:rsidRPr="009E6200">
        <w:t>выше</w:t>
      </w:r>
      <w:r w:rsidR="00661EE7" w:rsidRPr="009E6200">
        <w:t xml:space="preserve"> </w:t>
      </w:r>
      <w:r w:rsidRPr="009E6200">
        <w:t>в</w:t>
      </w:r>
      <w:r w:rsidR="00661EE7" w:rsidRPr="009E6200">
        <w:t xml:space="preserve"> </w:t>
      </w:r>
      <w:r w:rsidRPr="009E6200">
        <w:t>группе</w:t>
      </w:r>
      <w:r w:rsidR="00661EE7" w:rsidRPr="009E6200">
        <w:t xml:space="preserve"> </w:t>
      </w:r>
      <w:r w:rsidRPr="009E6200">
        <w:t>с</w:t>
      </w:r>
      <w:r w:rsidR="00661EE7" w:rsidRPr="009E6200">
        <w:t xml:space="preserve"> </w:t>
      </w:r>
      <w:r w:rsidR="0024542E">
        <w:t>Авастин</w:t>
      </w:r>
      <w:r w:rsidR="00121FA5" w:rsidRPr="009E6200">
        <w:rPr>
          <w:vertAlign w:val="superscript"/>
        </w:rPr>
        <w:t>®</w:t>
      </w:r>
      <w:r w:rsidR="00661EE7" w:rsidRPr="009E6200">
        <w:t xml:space="preserve"> </w:t>
      </w:r>
      <w:r w:rsidRPr="009E6200">
        <w:t>(34%)</w:t>
      </w:r>
      <w:r w:rsidR="00661EE7" w:rsidRPr="009E6200">
        <w:t xml:space="preserve"> </w:t>
      </w:r>
      <w:r w:rsidRPr="009E6200">
        <w:t>по сравнению</w:t>
      </w:r>
      <w:r w:rsidR="00661EE7" w:rsidRPr="009E6200">
        <w:t xml:space="preserve"> </w:t>
      </w:r>
      <w:r w:rsidRPr="009E6200">
        <w:t>с</w:t>
      </w:r>
      <w:r w:rsidR="00661EE7" w:rsidRPr="009E6200">
        <w:t xml:space="preserve"> </w:t>
      </w:r>
      <w:r w:rsidRPr="009E6200">
        <w:t>контрольной</w:t>
      </w:r>
      <w:r w:rsidR="00661EE7" w:rsidRPr="009E6200">
        <w:t xml:space="preserve"> </w:t>
      </w:r>
      <w:r w:rsidRPr="009E6200">
        <w:t>группой</w:t>
      </w:r>
      <w:r w:rsidR="00661EE7" w:rsidRPr="009E6200">
        <w:t xml:space="preserve"> </w:t>
      </w:r>
      <w:r w:rsidRPr="009E6200">
        <w:t>(2%).</w:t>
      </w:r>
      <w:r w:rsidR="00661EE7" w:rsidRPr="009E6200">
        <w:t xml:space="preserve"> </w:t>
      </w:r>
      <w:r w:rsidRPr="009E6200">
        <w:t>Восстановление</w:t>
      </w:r>
      <w:r w:rsidR="00661EE7" w:rsidRPr="009E6200">
        <w:t xml:space="preserve"> </w:t>
      </w:r>
      <w:r w:rsidRPr="009E6200">
        <w:t>нормальной</w:t>
      </w:r>
      <w:r w:rsidR="00661EE7" w:rsidRPr="009E6200">
        <w:t xml:space="preserve"> </w:t>
      </w:r>
      <w:r w:rsidRPr="009E6200">
        <w:t>функции яичников</w:t>
      </w:r>
      <w:r w:rsidR="00661EE7" w:rsidRPr="009E6200">
        <w:t xml:space="preserve"> </w:t>
      </w:r>
      <w:r w:rsidRPr="009E6200">
        <w:t>после</w:t>
      </w:r>
      <w:r w:rsidR="00661EE7" w:rsidRPr="009E6200">
        <w:t xml:space="preserve"> </w:t>
      </w:r>
      <w:r w:rsidRPr="009E6200">
        <w:t>прекращения</w:t>
      </w:r>
      <w:r w:rsidR="00661EE7" w:rsidRPr="009E6200">
        <w:t xml:space="preserve"> </w:t>
      </w:r>
      <w:r w:rsidRPr="009E6200">
        <w:t>курса</w:t>
      </w:r>
      <w:r w:rsidR="00661EE7" w:rsidRPr="009E6200">
        <w:t xml:space="preserve"> </w:t>
      </w:r>
      <w:r w:rsidRPr="009E6200">
        <w:t>терапии</w:t>
      </w:r>
      <w:r w:rsidR="00661EE7" w:rsidRPr="009E6200">
        <w:t xml:space="preserve"> </w:t>
      </w:r>
      <w:r w:rsidRPr="009E6200">
        <w:t>химиотерапии</w:t>
      </w:r>
      <w:r w:rsidR="00661EE7" w:rsidRPr="009E6200">
        <w:t xml:space="preserve"> </w:t>
      </w:r>
      <w:r w:rsidRPr="009E6200">
        <w:t>в</w:t>
      </w:r>
      <w:r w:rsidR="00661EE7" w:rsidRPr="009E6200">
        <w:t xml:space="preserve"> </w:t>
      </w:r>
      <w:r w:rsidRPr="009E6200">
        <w:t>сочетании</w:t>
      </w:r>
      <w:r w:rsidR="00661EE7" w:rsidRPr="009E6200">
        <w:t xml:space="preserve"> </w:t>
      </w:r>
      <w:r w:rsidR="0024542E">
        <w:t>с Авастин</w:t>
      </w:r>
      <w:r w:rsidR="00121FA5" w:rsidRPr="009E6200">
        <w:rPr>
          <w:vertAlign w:val="superscript"/>
        </w:rPr>
        <w:t>®</w:t>
      </w:r>
      <w:r w:rsidRPr="009E6200">
        <w:t xml:space="preserve"> отмечалось у 22% (7/32) пациенток, получивших Авастин</w:t>
      </w:r>
      <w:r w:rsidR="00121FA5" w:rsidRPr="009E6200">
        <w:rPr>
          <w:vertAlign w:val="superscript"/>
        </w:rPr>
        <w:t>®</w:t>
      </w:r>
      <w:r w:rsidR="007B6831" w:rsidRPr="009E6200">
        <w:t>.</w:t>
      </w:r>
    </w:p>
    <w:p w14:paraId="01F95937" w14:textId="77777777" w:rsidR="00577BCF" w:rsidRDefault="00577BCF" w:rsidP="007B46F5">
      <w:pPr>
        <w:pStyle w:val="SDText"/>
        <w:jc w:val="both"/>
        <w:rPr>
          <w:b/>
        </w:rPr>
      </w:pPr>
    </w:p>
    <w:p w14:paraId="13FBB3CE" w14:textId="2BF570E9" w:rsidR="003C1EF6" w:rsidRPr="009E6200" w:rsidRDefault="003C1EF6" w:rsidP="007B46F5">
      <w:pPr>
        <w:pStyle w:val="SDText"/>
        <w:jc w:val="both"/>
        <w:rPr>
          <w:b/>
        </w:rPr>
      </w:pPr>
      <w:r w:rsidRPr="009E6200">
        <w:rPr>
          <w:b/>
        </w:rPr>
        <w:t>Ис</w:t>
      </w:r>
      <w:r w:rsidR="007B6831" w:rsidRPr="009E6200">
        <w:rPr>
          <w:b/>
        </w:rPr>
        <w:t>пользование у пожилых пациентов</w:t>
      </w:r>
    </w:p>
    <w:p w14:paraId="5756C196" w14:textId="77777777" w:rsidR="00577BCF" w:rsidRDefault="00577BCF" w:rsidP="007B46F5">
      <w:pPr>
        <w:pStyle w:val="SDText"/>
        <w:jc w:val="both"/>
      </w:pPr>
    </w:p>
    <w:p w14:paraId="3A2D9E2F" w14:textId="729EF62B" w:rsidR="003C1EF6" w:rsidRPr="009E6200" w:rsidRDefault="003C1EF6" w:rsidP="007B46F5">
      <w:pPr>
        <w:pStyle w:val="SDText"/>
        <w:ind w:firstLine="709"/>
        <w:jc w:val="both"/>
      </w:pPr>
      <w:r w:rsidRPr="009E6200">
        <w:t>При</w:t>
      </w:r>
      <w:r w:rsidR="00661EE7" w:rsidRPr="009E6200">
        <w:t xml:space="preserve"> </w:t>
      </w:r>
      <w:r w:rsidRPr="009E6200">
        <w:t>назначении</w:t>
      </w:r>
      <w:r w:rsidR="00661EE7" w:rsidRPr="009E6200">
        <w:t xml:space="preserve"> </w:t>
      </w:r>
      <w:r w:rsidRPr="009E6200">
        <w:t>препарата</w:t>
      </w:r>
      <w:r w:rsidR="00661EE7" w:rsidRPr="009E6200">
        <w:t xml:space="preserve"> </w:t>
      </w:r>
      <w:r w:rsidRPr="009E6200">
        <w:t>RPH-001</w:t>
      </w:r>
      <w:r w:rsidR="00661EE7" w:rsidRPr="009E6200">
        <w:t xml:space="preserve"> </w:t>
      </w:r>
      <w:r w:rsidRPr="009E6200">
        <w:t>пациентам</w:t>
      </w:r>
      <w:r w:rsidR="00661EE7" w:rsidRPr="009E6200">
        <w:t xml:space="preserve"> </w:t>
      </w:r>
      <w:r w:rsidRPr="009E6200">
        <w:t>старше</w:t>
      </w:r>
      <w:r w:rsidR="00661EE7" w:rsidRPr="009E6200">
        <w:t xml:space="preserve"> </w:t>
      </w:r>
      <w:r w:rsidRPr="009E6200">
        <w:t>65</w:t>
      </w:r>
      <w:r w:rsidR="00661EE7" w:rsidRPr="009E6200">
        <w:t xml:space="preserve"> </w:t>
      </w:r>
      <w:r w:rsidRPr="009E6200">
        <w:t>лет</w:t>
      </w:r>
      <w:r w:rsidR="00661EE7" w:rsidRPr="009E6200">
        <w:t xml:space="preserve"> </w:t>
      </w:r>
      <w:r w:rsidRPr="009E6200">
        <w:t>существует повышенный риск возникновения артериальной тромбоэмболии (включая развитие инсульта, транзиторной ишемической атаки, инф</w:t>
      </w:r>
      <w:r w:rsidR="00EE6A55" w:rsidRPr="009E6200">
        <w:t xml:space="preserve">аркта миокарда), лейкопении 3–4 </w:t>
      </w:r>
      <w:r w:rsidRPr="009E6200">
        <w:t>степени</w:t>
      </w:r>
      <w:r w:rsidR="00661EE7" w:rsidRPr="009E6200">
        <w:t xml:space="preserve"> </w:t>
      </w:r>
      <w:r w:rsidRPr="009E6200">
        <w:t>тяжести</w:t>
      </w:r>
      <w:r w:rsidR="00661EE7" w:rsidRPr="009E6200">
        <w:t xml:space="preserve"> </w:t>
      </w:r>
      <w:r w:rsidRPr="009E6200">
        <w:t>и</w:t>
      </w:r>
      <w:r w:rsidR="00661EE7" w:rsidRPr="009E6200">
        <w:t xml:space="preserve"> </w:t>
      </w:r>
      <w:r w:rsidRPr="009E6200">
        <w:t>тромбоцитопении,</w:t>
      </w:r>
      <w:r w:rsidR="00661EE7" w:rsidRPr="009E6200">
        <w:t xml:space="preserve"> </w:t>
      </w:r>
      <w:r w:rsidRPr="009E6200">
        <w:t>а</w:t>
      </w:r>
      <w:r w:rsidR="00661EE7" w:rsidRPr="009E6200">
        <w:t xml:space="preserve"> </w:t>
      </w:r>
      <w:r w:rsidRPr="009E6200">
        <w:t>также</w:t>
      </w:r>
      <w:r w:rsidR="00661EE7" w:rsidRPr="009E6200">
        <w:t xml:space="preserve"> </w:t>
      </w:r>
      <w:r w:rsidRPr="009E6200">
        <w:t>нейтропении,</w:t>
      </w:r>
      <w:r w:rsidR="00661EE7" w:rsidRPr="009E6200">
        <w:t xml:space="preserve"> </w:t>
      </w:r>
      <w:r w:rsidRPr="009E6200">
        <w:t>диареи,</w:t>
      </w:r>
      <w:r w:rsidR="00661EE7" w:rsidRPr="009E6200">
        <w:t xml:space="preserve"> </w:t>
      </w:r>
      <w:r w:rsidRPr="009E6200">
        <w:t>тошноты, головной боли и астении.</w:t>
      </w:r>
    </w:p>
    <w:p w14:paraId="031A3B55" w14:textId="77777777" w:rsidR="003C1EF6" w:rsidRPr="009E6200" w:rsidRDefault="003C1EF6" w:rsidP="007B46F5">
      <w:pPr>
        <w:pStyle w:val="SDText"/>
        <w:ind w:firstLine="709"/>
        <w:jc w:val="both"/>
      </w:pPr>
      <w:r w:rsidRPr="009E6200">
        <w:t>Повышения частоты развития других побочных реакций, связанных с применением препарата RPH-001 (перфорации ЖКТ, осложнений, связанных с заживлением ран, артериальной</w:t>
      </w:r>
      <w:r w:rsidR="00661EE7" w:rsidRPr="009E6200">
        <w:t xml:space="preserve"> </w:t>
      </w:r>
      <w:r w:rsidRPr="009E6200">
        <w:t>гипертензией,</w:t>
      </w:r>
      <w:r w:rsidR="00661EE7" w:rsidRPr="009E6200">
        <w:t xml:space="preserve"> </w:t>
      </w:r>
      <w:r w:rsidRPr="009E6200">
        <w:t>протеинурией,</w:t>
      </w:r>
      <w:r w:rsidR="00661EE7" w:rsidRPr="009E6200">
        <w:t xml:space="preserve"> </w:t>
      </w:r>
      <w:r w:rsidRPr="009E6200">
        <w:t>застойной</w:t>
      </w:r>
      <w:r w:rsidR="00661EE7" w:rsidRPr="009E6200">
        <w:t xml:space="preserve"> </w:t>
      </w:r>
      <w:r w:rsidRPr="009E6200">
        <w:t>сердечной</w:t>
      </w:r>
      <w:r w:rsidR="00661EE7" w:rsidRPr="009E6200">
        <w:t xml:space="preserve"> </w:t>
      </w:r>
      <w:r w:rsidRPr="009E6200">
        <w:t>недостаточности и кровотечений), у пожилых пациентов не ожидает</w:t>
      </w:r>
      <w:r w:rsidR="007B6831" w:rsidRPr="009E6200">
        <w:t>ся.</w:t>
      </w:r>
    </w:p>
    <w:p w14:paraId="639DE97A" w14:textId="77777777" w:rsidR="00577BCF" w:rsidRDefault="00577BCF" w:rsidP="007B46F5">
      <w:pPr>
        <w:pStyle w:val="SDText"/>
        <w:jc w:val="both"/>
        <w:rPr>
          <w:b/>
        </w:rPr>
      </w:pPr>
    </w:p>
    <w:p w14:paraId="2062DF95" w14:textId="35F06D4D" w:rsidR="003C1EF6" w:rsidRPr="009E6200" w:rsidRDefault="007B6831" w:rsidP="007B46F5">
      <w:pPr>
        <w:pStyle w:val="SDText"/>
        <w:jc w:val="both"/>
        <w:rPr>
          <w:b/>
        </w:rPr>
      </w:pPr>
      <w:r w:rsidRPr="009E6200">
        <w:rPr>
          <w:b/>
        </w:rPr>
        <w:t>Передозировка</w:t>
      </w:r>
    </w:p>
    <w:p w14:paraId="70F6DE88" w14:textId="77777777" w:rsidR="00577BCF" w:rsidRDefault="00577BCF" w:rsidP="007B46F5">
      <w:pPr>
        <w:pStyle w:val="SDText"/>
        <w:jc w:val="both"/>
      </w:pPr>
    </w:p>
    <w:p w14:paraId="0C281759" w14:textId="482C9257" w:rsidR="003C1EF6" w:rsidRPr="009E6200" w:rsidRDefault="003C1EF6" w:rsidP="007B46F5">
      <w:pPr>
        <w:pStyle w:val="SDText"/>
        <w:ind w:firstLine="709"/>
        <w:jc w:val="both"/>
      </w:pPr>
      <w:r w:rsidRPr="009E6200">
        <w:t>В</w:t>
      </w:r>
      <w:r w:rsidR="00661EE7" w:rsidRPr="009E6200">
        <w:t xml:space="preserve"> </w:t>
      </w:r>
      <w:r w:rsidRPr="009E6200">
        <w:t>случае</w:t>
      </w:r>
      <w:r w:rsidR="00661EE7" w:rsidRPr="009E6200">
        <w:t xml:space="preserve"> </w:t>
      </w:r>
      <w:r w:rsidRPr="009E6200">
        <w:t>передозировки</w:t>
      </w:r>
      <w:r w:rsidR="00661EE7" w:rsidRPr="009E6200">
        <w:t xml:space="preserve"> </w:t>
      </w:r>
      <w:r w:rsidRPr="009E6200">
        <w:t>препаратом</w:t>
      </w:r>
      <w:r w:rsidR="00661EE7" w:rsidRPr="009E6200">
        <w:t xml:space="preserve"> </w:t>
      </w:r>
      <w:r w:rsidRPr="009E6200">
        <w:t>RPH-001</w:t>
      </w:r>
      <w:r w:rsidR="00661EE7" w:rsidRPr="009E6200">
        <w:t xml:space="preserve"> </w:t>
      </w:r>
      <w:r w:rsidRPr="009E6200">
        <w:t>возможно</w:t>
      </w:r>
      <w:r w:rsidR="00661EE7" w:rsidRPr="009E6200">
        <w:t xml:space="preserve"> </w:t>
      </w:r>
      <w:r w:rsidRPr="009E6200">
        <w:t>усиление</w:t>
      </w:r>
      <w:r w:rsidR="00661EE7" w:rsidRPr="009E6200">
        <w:t xml:space="preserve"> </w:t>
      </w:r>
      <w:r w:rsidRPr="009E6200">
        <w:t>побочных явлений. Специфического антидота</w:t>
      </w:r>
      <w:r w:rsidR="007B6831" w:rsidRPr="009E6200">
        <w:t xml:space="preserve"> нет. Лечение симптоматическое.</w:t>
      </w:r>
    </w:p>
    <w:p w14:paraId="79146EFF" w14:textId="77777777" w:rsidR="003C1EF6" w:rsidRPr="009E6200" w:rsidRDefault="003C1EF6" w:rsidP="007B46F5">
      <w:pPr>
        <w:pStyle w:val="SDText"/>
        <w:jc w:val="both"/>
      </w:pPr>
      <w:r w:rsidRPr="009E6200">
        <w:t>При назначении оригинального препарата</w:t>
      </w:r>
      <w:r w:rsidR="00661EE7" w:rsidRPr="009E6200">
        <w:t xml:space="preserve"> </w:t>
      </w:r>
      <w:r w:rsidRPr="009E6200">
        <w:t>Авастин</w:t>
      </w:r>
      <w:r w:rsidR="00121FA5" w:rsidRPr="009E6200">
        <w:rPr>
          <w:vertAlign w:val="superscript"/>
        </w:rPr>
        <w:t>®</w:t>
      </w:r>
      <w:r w:rsidRPr="009E6200">
        <w:t xml:space="preserve"> проводилось исследование с применением</w:t>
      </w:r>
      <w:r w:rsidR="00661EE7" w:rsidRPr="009E6200">
        <w:t xml:space="preserve"> </w:t>
      </w:r>
      <w:r w:rsidRPr="009E6200">
        <w:t>препарата</w:t>
      </w:r>
      <w:r w:rsidR="00661EE7" w:rsidRPr="009E6200">
        <w:t xml:space="preserve"> </w:t>
      </w:r>
      <w:r w:rsidRPr="009E6200">
        <w:t>в</w:t>
      </w:r>
      <w:r w:rsidR="00661EE7" w:rsidRPr="009E6200">
        <w:t xml:space="preserve"> </w:t>
      </w:r>
      <w:r w:rsidRPr="009E6200">
        <w:t>максимальной</w:t>
      </w:r>
      <w:r w:rsidR="00661EE7" w:rsidRPr="009E6200">
        <w:t xml:space="preserve"> </w:t>
      </w:r>
      <w:r w:rsidRPr="009E6200">
        <w:t>дозе</w:t>
      </w:r>
      <w:r w:rsidR="00661EE7" w:rsidRPr="009E6200">
        <w:t xml:space="preserve"> </w:t>
      </w:r>
      <w:r w:rsidRPr="009E6200">
        <w:t>20</w:t>
      </w:r>
      <w:r w:rsidR="00661EE7" w:rsidRPr="009E6200">
        <w:t xml:space="preserve"> </w:t>
      </w:r>
      <w:r w:rsidRPr="009E6200">
        <w:t>мг/кг</w:t>
      </w:r>
      <w:r w:rsidR="00661EE7" w:rsidRPr="009E6200">
        <w:t xml:space="preserve"> </w:t>
      </w:r>
      <w:r w:rsidRPr="009E6200">
        <w:t>каждые</w:t>
      </w:r>
      <w:r w:rsidR="00661EE7" w:rsidRPr="009E6200">
        <w:t xml:space="preserve"> </w:t>
      </w:r>
      <w:r w:rsidRPr="009E6200">
        <w:t>2</w:t>
      </w:r>
      <w:r w:rsidR="00661EE7" w:rsidRPr="009E6200">
        <w:t xml:space="preserve"> </w:t>
      </w:r>
      <w:r w:rsidRPr="009E6200">
        <w:t>недели внутривенно.</w:t>
      </w:r>
      <w:r w:rsidR="00661EE7" w:rsidRPr="009E6200">
        <w:t xml:space="preserve"> </w:t>
      </w:r>
      <w:r w:rsidRPr="009E6200">
        <w:t>У</w:t>
      </w:r>
      <w:r w:rsidR="00661EE7" w:rsidRPr="009E6200">
        <w:t xml:space="preserve"> </w:t>
      </w:r>
      <w:r w:rsidRPr="009E6200">
        <w:t>9</w:t>
      </w:r>
      <w:r w:rsidR="00661EE7" w:rsidRPr="009E6200">
        <w:t xml:space="preserve"> </w:t>
      </w:r>
      <w:r w:rsidRPr="009E6200">
        <w:t>из</w:t>
      </w:r>
      <w:r w:rsidR="00661EE7" w:rsidRPr="009E6200">
        <w:t xml:space="preserve"> </w:t>
      </w:r>
      <w:r w:rsidRPr="009E6200">
        <w:t>16</w:t>
      </w:r>
      <w:r w:rsidR="00661EE7" w:rsidRPr="009E6200">
        <w:t xml:space="preserve"> </w:t>
      </w:r>
      <w:r w:rsidRPr="009E6200">
        <w:t>пациентом</w:t>
      </w:r>
      <w:r w:rsidR="00661EE7" w:rsidRPr="009E6200">
        <w:t xml:space="preserve"> </w:t>
      </w:r>
      <w:r w:rsidRPr="009E6200">
        <w:t>отмечалось</w:t>
      </w:r>
      <w:r w:rsidR="00661EE7" w:rsidRPr="009E6200">
        <w:t xml:space="preserve"> </w:t>
      </w:r>
      <w:r w:rsidRPr="009E6200">
        <w:t>развитие</w:t>
      </w:r>
      <w:r w:rsidR="00661EE7" w:rsidRPr="009E6200">
        <w:t xml:space="preserve"> </w:t>
      </w:r>
      <w:r w:rsidRPr="009E6200">
        <w:t>головной</w:t>
      </w:r>
      <w:r w:rsidR="00661EE7" w:rsidRPr="009E6200">
        <w:t xml:space="preserve"> </w:t>
      </w:r>
      <w:r w:rsidRPr="009E6200">
        <w:t>боль</w:t>
      </w:r>
      <w:r w:rsidR="00661EE7" w:rsidRPr="009E6200">
        <w:t xml:space="preserve"> </w:t>
      </w:r>
      <w:r w:rsidR="007B6831" w:rsidRPr="009E6200">
        <w:t>тяжелой степени тяжести.</w:t>
      </w:r>
    </w:p>
    <w:p w14:paraId="6FA73F81" w14:textId="77777777" w:rsidR="00577BCF" w:rsidRDefault="00577BCF" w:rsidP="007B46F5">
      <w:pPr>
        <w:pStyle w:val="SDText"/>
        <w:jc w:val="both"/>
        <w:rPr>
          <w:b/>
        </w:rPr>
      </w:pPr>
    </w:p>
    <w:p w14:paraId="1FF31949" w14:textId="1A920A71" w:rsidR="003C1EF6" w:rsidRPr="009E6200" w:rsidRDefault="003C1EF6" w:rsidP="007B46F5">
      <w:pPr>
        <w:pStyle w:val="SDText"/>
        <w:jc w:val="both"/>
        <w:rPr>
          <w:b/>
        </w:rPr>
      </w:pPr>
      <w:r w:rsidRPr="009E6200">
        <w:rPr>
          <w:b/>
        </w:rPr>
        <w:t xml:space="preserve">Побочные эффекты </w:t>
      </w:r>
    </w:p>
    <w:p w14:paraId="21A0F730" w14:textId="77777777" w:rsidR="00577BCF" w:rsidRDefault="00577BCF" w:rsidP="007B46F5">
      <w:pPr>
        <w:pStyle w:val="SDText"/>
        <w:jc w:val="both"/>
      </w:pPr>
    </w:p>
    <w:p w14:paraId="4C1DC7AE" w14:textId="34BBBF26" w:rsidR="003C1EF6" w:rsidRPr="009E6200" w:rsidRDefault="003C1EF6" w:rsidP="007B46F5">
      <w:pPr>
        <w:pStyle w:val="SDText"/>
        <w:ind w:firstLine="709"/>
        <w:jc w:val="both"/>
      </w:pPr>
      <w:r w:rsidRPr="009E6200">
        <w:t>С</w:t>
      </w:r>
      <w:r w:rsidR="00661EE7" w:rsidRPr="009E6200">
        <w:t xml:space="preserve"> </w:t>
      </w:r>
      <w:r w:rsidRPr="009E6200">
        <w:t>учетом</w:t>
      </w:r>
      <w:r w:rsidR="00661EE7" w:rsidRPr="009E6200">
        <w:t xml:space="preserve"> </w:t>
      </w:r>
      <w:r w:rsidRPr="009E6200">
        <w:t>сходства</w:t>
      </w:r>
      <w:r w:rsidR="00661EE7" w:rsidRPr="009E6200">
        <w:t xml:space="preserve"> </w:t>
      </w:r>
      <w:r w:rsidRPr="009E6200">
        <w:t>воспроизведенного</w:t>
      </w:r>
      <w:r w:rsidR="00661EE7" w:rsidRPr="009E6200">
        <w:t xml:space="preserve"> </w:t>
      </w:r>
      <w:r w:rsidRPr="009E6200">
        <w:t>препарата</w:t>
      </w:r>
      <w:r w:rsidR="00661EE7" w:rsidRPr="009E6200">
        <w:t xml:space="preserve"> </w:t>
      </w:r>
      <w:r w:rsidRPr="009E6200">
        <w:t>RPH-001</w:t>
      </w:r>
      <w:r w:rsidR="00661EE7" w:rsidRPr="009E6200">
        <w:t xml:space="preserve"> </w:t>
      </w:r>
      <w:r w:rsidRPr="009E6200">
        <w:t>с</w:t>
      </w:r>
      <w:r w:rsidR="00661EE7" w:rsidRPr="009E6200">
        <w:t xml:space="preserve"> </w:t>
      </w:r>
      <w:r w:rsidRPr="009E6200">
        <w:t>оригинальным препаратом Авастин</w:t>
      </w:r>
      <w:r w:rsidR="00121FA5" w:rsidRPr="009E6200">
        <w:rPr>
          <w:vertAlign w:val="superscript"/>
        </w:rPr>
        <w:t>®</w:t>
      </w:r>
      <w:r w:rsidRPr="009E6200">
        <w:t>, ожидается также</w:t>
      </w:r>
      <w:r w:rsidR="007B6831" w:rsidRPr="009E6200">
        <w:t xml:space="preserve"> сходство их побочных эффектов.</w:t>
      </w:r>
    </w:p>
    <w:p w14:paraId="2D8246F6" w14:textId="77777777" w:rsidR="003C1EF6" w:rsidRPr="009E6200" w:rsidRDefault="003C1EF6" w:rsidP="007B46F5">
      <w:pPr>
        <w:pStyle w:val="SDText"/>
        <w:ind w:firstLine="709"/>
        <w:jc w:val="both"/>
      </w:pPr>
      <w:r w:rsidRPr="009E6200">
        <w:t>Потенциальные серьезные побочные эффекты препарата RPH-001 могут включать: перфорации ЖКТ, осложнения заживления ран, кровотечения, свищи внутренних органов,</w:t>
      </w:r>
      <w:r w:rsidR="00661EE7" w:rsidRPr="009E6200">
        <w:t xml:space="preserve"> </w:t>
      </w:r>
      <w:r w:rsidRPr="009E6200">
        <w:t>артериальную</w:t>
      </w:r>
      <w:r w:rsidR="00661EE7" w:rsidRPr="009E6200">
        <w:t xml:space="preserve"> </w:t>
      </w:r>
      <w:r w:rsidRPr="009E6200">
        <w:t>тромбоэмболию,</w:t>
      </w:r>
      <w:r w:rsidR="00661EE7" w:rsidRPr="009E6200">
        <w:t xml:space="preserve"> </w:t>
      </w:r>
      <w:r w:rsidRPr="009E6200">
        <w:t>гипертензивные</w:t>
      </w:r>
      <w:r w:rsidR="00661EE7" w:rsidRPr="009E6200">
        <w:t xml:space="preserve"> </w:t>
      </w:r>
      <w:r w:rsidRPr="009E6200">
        <w:t>кризы,</w:t>
      </w:r>
      <w:r w:rsidR="00661EE7" w:rsidRPr="009E6200">
        <w:t xml:space="preserve"> </w:t>
      </w:r>
      <w:r w:rsidRPr="009E6200">
        <w:t>СЗОЭ, протеинурию, не</w:t>
      </w:r>
      <w:r w:rsidR="007B6831" w:rsidRPr="009E6200">
        <w:t>достаточность функции яичников.</w:t>
      </w:r>
    </w:p>
    <w:p w14:paraId="79E922A8" w14:textId="77777777" w:rsidR="003C1EF6" w:rsidRPr="009E6200" w:rsidRDefault="003C1EF6" w:rsidP="007B46F5">
      <w:pPr>
        <w:pStyle w:val="SDText"/>
        <w:ind w:firstLine="709"/>
        <w:jc w:val="both"/>
      </w:pPr>
      <w:r w:rsidRPr="009E6200">
        <w:t>Ожидаемые, наиболее частые побочные эффекты препарата RPH-001, будут схожи с</w:t>
      </w:r>
      <w:r w:rsidR="00661EE7" w:rsidRPr="009E6200">
        <w:t xml:space="preserve"> </w:t>
      </w:r>
      <w:r w:rsidRPr="009E6200">
        <w:t>побочными</w:t>
      </w:r>
      <w:r w:rsidR="00661EE7" w:rsidRPr="009E6200">
        <w:t xml:space="preserve"> </w:t>
      </w:r>
      <w:r w:rsidRPr="009E6200">
        <w:t>эффектами,</w:t>
      </w:r>
      <w:r w:rsidR="00661EE7" w:rsidRPr="009E6200">
        <w:t xml:space="preserve"> </w:t>
      </w:r>
      <w:r w:rsidRPr="009E6200">
        <w:t>наблюдаемым</w:t>
      </w:r>
      <w:r w:rsidR="00661EE7" w:rsidRPr="009E6200">
        <w:t xml:space="preserve"> </w:t>
      </w:r>
      <w:r w:rsidRPr="009E6200">
        <w:t>в</w:t>
      </w:r>
      <w:r w:rsidR="00661EE7" w:rsidRPr="009E6200">
        <w:t xml:space="preserve"> </w:t>
      </w:r>
      <w:r w:rsidRPr="009E6200">
        <w:t>клинических</w:t>
      </w:r>
      <w:r w:rsidR="00661EE7" w:rsidRPr="009E6200">
        <w:t xml:space="preserve"> </w:t>
      </w:r>
      <w:r w:rsidRPr="009E6200">
        <w:t>исследованиях</w:t>
      </w:r>
      <w:r w:rsidR="00661EE7" w:rsidRPr="009E6200">
        <w:t xml:space="preserve"> </w:t>
      </w:r>
      <w:r w:rsidRPr="009E6200">
        <w:t>препарата Авастин</w:t>
      </w:r>
      <w:r w:rsidR="00121FA5" w:rsidRPr="009E6200">
        <w:rPr>
          <w:vertAlign w:val="superscript"/>
        </w:rPr>
        <w:t>®</w:t>
      </w:r>
      <w:r w:rsidR="00661EE7" w:rsidRPr="009E6200">
        <w:t xml:space="preserve"> </w:t>
      </w:r>
      <w:r w:rsidRPr="009E6200">
        <w:t>у</w:t>
      </w:r>
      <w:r w:rsidR="00661EE7" w:rsidRPr="009E6200">
        <w:t xml:space="preserve"> </w:t>
      </w:r>
      <w:r w:rsidRPr="009E6200">
        <w:t>&gt;</w:t>
      </w:r>
      <w:r w:rsidR="00A30934" w:rsidRPr="009E6200">
        <w:t xml:space="preserve"> </w:t>
      </w:r>
      <w:r w:rsidRPr="009E6200">
        <w:t>10%</w:t>
      </w:r>
      <w:r w:rsidR="00661EE7" w:rsidRPr="009E6200">
        <w:t xml:space="preserve"> </w:t>
      </w:r>
      <w:r w:rsidRPr="009E6200">
        <w:t>пациентов,</w:t>
      </w:r>
      <w:r w:rsidR="00661EE7" w:rsidRPr="009E6200">
        <w:t xml:space="preserve"> </w:t>
      </w:r>
      <w:r w:rsidRPr="009E6200">
        <w:t>и</w:t>
      </w:r>
      <w:r w:rsidR="00661EE7" w:rsidRPr="009E6200">
        <w:t xml:space="preserve"> </w:t>
      </w:r>
      <w:r w:rsidRPr="009E6200">
        <w:t>могут</w:t>
      </w:r>
      <w:r w:rsidR="00661EE7" w:rsidRPr="009E6200">
        <w:t xml:space="preserve"> </w:t>
      </w:r>
      <w:r w:rsidRPr="009E6200">
        <w:t>быть</w:t>
      </w:r>
      <w:r w:rsidR="00661EE7" w:rsidRPr="009E6200">
        <w:t xml:space="preserve"> </w:t>
      </w:r>
      <w:r w:rsidRPr="009E6200">
        <w:t>представлены:</w:t>
      </w:r>
      <w:r w:rsidR="00661EE7" w:rsidRPr="009E6200">
        <w:t xml:space="preserve"> </w:t>
      </w:r>
      <w:r w:rsidRPr="009E6200">
        <w:t>фебрильной</w:t>
      </w:r>
      <w:r w:rsidR="00A30934" w:rsidRPr="009E6200">
        <w:t xml:space="preserve"> </w:t>
      </w:r>
      <w:r w:rsidRPr="009E6200">
        <w:t>нейтропенией,</w:t>
      </w:r>
      <w:r w:rsidR="00661EE7" w:rsidRPr="009E6200">
        <w:t xml:space="preserve"> </w:t>
      </w:r>
      <w:r w:rsidRPr="009E6200">
        <w:t>нейтропенией,</w:t>
      </w:r>
      <w:r w:rsidR="00661EE7" w:rsidRPr="009E6200">
        <w:t xml:space="preserve"> </w:t>
      </w:r>
      <w:r w:rsidRPr="009E6200">
        <w:t>лейкопенией,</w:t>
      </w:r>
      <w:r w:rsidR="00661EE7" w:rsidRPr="009E6200">
        <w:t xml:space="preserve"> </w:t>
      </w:r>
      <w:r w:rsidRPr="009E6200">
        <w:t>тромбоцитопенией,</w:t>
      </w:r>
      <w:r w:rsidR="00661EE7" w:rsidRPr="009E6200">
        <w:t xml:space="preserve"> </w:t>
      </w:r>
      <w:r w:rsidRPr="009E6200">
        <w:t>анорексией, гипомагниемией,</w:t>
      </w:r>
      <w:r w:rsidR="00661EE7" w:rsidRPr="009E6200">
        <w:t xml:space="preserve"> </w:t>
      </w:r>
      <w:r w:rsidRPr="009E6200">
        <w:t>гипонатриемией,</w:t>
      </w:r>
      <w:r w:rsidR="00661EE7" w:rsidRPr="009E6200">
        <w:t xml:space="preserve"> </w:t>
      </w:r>
      <w:r w:rsidRPr="009E6200">
        <w:t>переиферической</w:t>
      </w:r>
      <w:r w:rsidR="00661EE7" w:rsidRPr="009E6200">
        <w:t xml:space="preserve"> </w:t>
      </w:r>
      <w:r w:rsidRPr="009E6200">
        <w:t>сенсорной</w:t>
      </w:r>
      <w:r w:rsidR="00661EE7" w:rsidRPr="009E6200">
        <w:t xml:space="preserve"> </w:t>
      </w:r>
      <w:r w:rsidRPr="009E6200">
        <w:t>нейропатией, дизартрией,</w:t>
      </w:r>
      <w:r w:rsidR="00661EE7" w:rsidRPr="009E6200">
        <w:t xml:space="preserve"> </w:t>
      </w:r>
      <w:r w:rsidRPr="009E6200">
        <w:t>головными</w:t>
      </w:r>
      <w:r w:rsidR="00661EE7" w:rsidRPr="009E6200">
        <w:t xml:space="preserve"> </w:t>
      </w:r>
      <w:r w:rsidRPr="009E6200">
        <w:t>болями,</w:t>
      </w:r>
      <w:r w:rsidR="00661EE7" w:rsidRPr="009E6200">
        <w:t xml:space="preserve"> </w:t>
      </w:r>
      <w:r w:rsidRPr="009E6200">
        <w:t>дисгевзией,</w:t>
      </w:r>
      <w:r w:rsidR="00661EE7" w:rsidRPr="009E6200">
        <w:t xml:space="preserve"> </w:t>
      </w:r>
      <w:r w:rsidRPr="009E6200">
        <w:t>повышенным</w:t>
      </w:r>
      <w:r w:rsidR="00661EE7" w:rsidRPr="009E6200">
        <w:t xml:space="preserve"> </w:t>
      </w:r>
      <w:r w:rsidRPr="009E6200">
        <w:t>слезоотделением, расстройствами</w:t>
      </w:r>
      <w:r w:rsidR="00661EE7" w:rsidRPr="009E6200">
        <w:t xml:space="preserve"> </w:t>
      </w:r>
      <w:r w:rsidRPr="009E6200">
        <w:t>зрения,</w:t>
      </w:r>
      <w:r w:rsidR="00661EE7" w:rsidRPr="009E6200">
        <w:t xml:space="preserve"> </w:t>
      </w:r>
      <w:r w:rsidRPr="009E6200">
        <w:t>повышением</w:t>
      </w:r>
      <w:r w:rsidR="00661EE7" w:rsidRPr="009E6200">
        <w:t xml:space="preserve"> </w:t>
      </w:r>
      <w:r w:rsidRPr="009E6200">
        <w:t>артериального</w:t>
      </w:r>
      <w:r w:rsidR="00661EE7" w:rsidRPr="009E6200">
        <w:t xml:space="preserve"> </w:t>
      </w:r>
      <w:r w:rsidRPr="009E6200">
        <w:t>давления,</w:t>
      </w:r>
      <w:r w:rsidR="00661EE7" w:rsidRPr="009E6200">
        <w:t xml:space="preserve"> </w:t>
      </w:r>
      <w:r w:rsidRPr="009E6200">
        <w:t>венозными тромбоэмболиями,</w:t>
      </w:r>
      <w:r w:rsidR="00661EE7" w:rsidRPr="009E6200">
        <w:t xml:space="preserve"> </w:t>
      </w:r>
      <w:r w:rsidRPr="009E6200">
        <w:t>одышкой,</w:t>
      </w:r>
      <w:r w:rsidR="00661EE7" w:rsidRPr="009E6200">
        <w:t xml:space="preserve"> </w:t>
      </w:r>
      <w:r w:rsidRPr="009E6200">
        <w:t>насморком,</w:t>
      </w:r>
      <w:r w:rsidR="00661EE7" w:rsidRPr="009E6200">
        <w:t xml:space="preserve"> </w:t>
      </w:r>
      <w:r w:rsidRPr="009E6200">
        <w:t>кашлем,</w:t>
      </w:r>
      <w:r w:rsidR="00661EE7" w:rsidRPr="009E6200">
        <w:t xml:space="preserve"> </w:t>
      </w:r>
      <w:r w:rsidRPr="009E6200">
        <w:t>носовыми</w:t>
      </w:r>
      <w:r w:rsidR="00661EE7" w:rsidRPr="009E6200">
        <w:t xml:space="preserve"> </w:t>
      </w:r>
      <w:r w:rsidRPr="009E6200">
        <w:t>кровотечениями, ректальными кровотечениями, стоматитом, запорами, диареей, тошнотой, рвотой, болями</w:t>
      </w:r>
      <w:r w:rsidR="00661EE7" w:rsidRPr="009E6200">
        <w:t xml:space="preserve"> </w:t>
      </w:r>
      <w:r w:rsidRPr="009E6200">
        <w:t>в</w:t>
      </w:r>
      <w:r w:rsidR="00661EE7" w:rsidRPr="009E6200">
        <w:t xml:space="preserve"> </w:t>
      </w:r>
      <w:r w:rsidRPr="009E6200">
        <w:t>животе,</w:t>
      </w:r>
      <w:r w:rsidR="00661EE7" w:rsidRPr="009E6200">
        <w:t xml:space="preserve"> </w:t>
      </w:r>
      <w:r w:rsidRPr="009E6200">
        <w:t>нарушением</w:t>
      </w:r>
      <w:r w:rsidR="00661EE7" w:rsidRPr="009E6200">
        <w:t xml:space="preserve"> </w:t>
      </w:r>
      <w:r w:rsidRPr="009E6200">
        <w:t>заживления</w:t>
      </w:r>
      <w:r w:rsidR="00661EE7" w:rsidRPr="009E6200">
        <w:t xml:space="preserve"> </w:t>
      </w:r>
      <w:r w:rsidRPr="009E6200">
        <w:t>ран,</w:t>
      </w:r>
      <w:r w:rsidR="00661EE7" w:rsidRPr="009E6200">
        <w:t xml:space="preserve"> </w:t>
      </w:r>
      <w:r w:rsidRPr="009E6200">
        <w:t>эксфолиативным</w:t>
      </w:r>
      <w:r w:rsidR="00661EE7" w:rsidRPr="009E6200">
        <w:t xml:space="preserve"> </w:t>
      </w:r>
      <w:r w:rsidRPr="009E6200">
        <w:t>дерматитом, сухостью</w:t>
      </w:r>
      <w:r w:rsidR="00661EE7" w:rsidRPr="009E6200">
        <w:t xml:space="preserve"> </w:t>
      </w:r>
      <w:r w:rsidRPr="009E6200">
        <w:t>кожи,</w:t>
      </w:r>
      <w:r w:rsidR="00661EE7" w:rsidRPr="009E6200">
        <w:t xml:space="preserve"> </w:t>
      </w:r>
      <w:r w:rsidRPr="009E6200">
        <w:t>обесцвечиванием</w:t>
      </w:r>
      <w:r w:rsidR="00661EE7" w:rsidRPr="009E6200">
        <w:t xml:space="preserve"> </w:t>
      </w:r>
      <w:r w:rsidRPr="009E6200">
        <w:t>кожи,</w:t>
      </w:r>
      <w:r w:rsidR="00661EE7" w:rsidRPr="009E6200">
        <w:t xml:space="preserve"> </w:t>
      </w:r>
      <w:r w:rsidRPr="009E6200">
        <w:t>артралгией,</w:t>
      </w:r>
      <w:r w:rsidR="00661EE7" w:rsidRPr="009E6200">
        <w:t xml:space="preserve"> </w:t>
      </w:r>
      <w:r w:rsidRPr="009E6200">
        <w:t>миалгией,</w:t>
      </w:r>
      <w:r w:rsidR="00661EE7" w:rsidRPr="009E6200">
        <w:t xml:space="preserve"> </w:t>
      </w:r>
      <w:r w:rsidRPr="009E6200">
        <w:t>протеинурией, нарушением</w:t>
      </w:r>
      <w:r w:rsidR="00661EE7" w:rsidRPr="009E6200">
        <w:t xml:space="preserve"> </w:t>
      </w:r>
      <w:r w:rsidRPr="009E6200">
        <w:t>функции</w:t>
      </w:r>
      <w:r w:rsidR="00661EE7" w:rsidRPr="009E6200">
        <w:t xml:space="preserve"> </w:t>
      </w:r>
      <w:r w:rsidRPr="009E6200">
        <w:t>яичников,</w:t>
      </w:r>
      <w:r w:rsidR="00661EE7" w:rsidRPr="009E6200">
        <w:t xml:space="preserve"> </w:t>
      </w:r>
      <w:r w:rsidRPr="009E6200">
        <w:t>астенией,</w:t>
      </w:r>
      <w:r w:rsidR="00661EE7" w:rsidRPr="009E6200">
        <w:t xml:space="preserve"> </w:t>
      </w:r>
      <w:r w:rsidRPr="009E6200">
        <w:t>общим</w:t>
      </w:r>
      <w:r w:rsidR="00661EE7" w:rsidRPr="009E6200">
        <w:t xml:space="preserve"> </w:t>
      </w:r>
      <w:r w:rsidRPr="009E6200">
        <w:t>недомоганием,</w:t>
      </w:r>
      <w:r w:rsidR="00661EE7" w:rsidRPr="009E6200">
        <w:t xml:space="preserve"> </w:t>
      </w:r>
      <w:r w:rsidRPr="009E6200">
        <w:t>повышением температуры,</w:t>
      </w:r>
      <w:r w:rsidR="00661EE7" w:rsidRPr="009E6200">
        <w:t xml:space="preserve"> </w:t>
      </w:r>
      <w:r w:rsidRPr="009E6200">
        <w:t>болями,</w:t>
      </w:r>
      <w:r w:rsidR="00661EE7" w:rsidRPr="009E6200">
        <w:t xml:space="preserve"> </w:t>
      </w:r>
      <w:r w:rsidRPr="009E6200">
        <w:t>воспалением</w:t>
      </w:r>
      <w:r w:rsidR="00661EE7" w:rsidRPr="009E6200">
        <w:t xml:space="preserve"> </w:t>
      </w:r>
      <w:r w:rsidRPr="009E6200">
        <w:t>слизистых,</w:t>
      </w:r>
      <w:r w:rsidR="00661EE7" w:rsidRPr="009E6200">
        <w:t xml:space="preserve"> </w:t>
      </w:r>
      <w:r w:rsidRPr="009E6200">
        <w:t>снижением</w:t>
      </w:r>
      <w:r w:rsidR="00661EE7" w:rsidRPr="009E6200">
        <w:t xml:space="preserve"> </w:t>
      </w:r>
      <w:r w:rsidRPr="009E6200">
        <w:t>веса.</w:t>
      </w:r>
      <w:r w:rsidR="00661EE7" w:rsidRPr="009E6200">
        <w:t xml:space="preserve"> </w:t>
      </w:r>
      <w:r w:rsidRPr="009E6200">
        <w:t>Общая</w:t>
      </w:r>
      <w:r w:rsidR="00661EE7" w:rsidRPr="009E6200">
        <w:t xml:space="preserve"> </w:t>
      </w:r>
      <w:r w:rsidRPr="009E6200">
        <w:t>частота случаев</w:t>
      </w:r>
      <w:r w:rsidR="00661EE7" w:rsidRPr="009E6200">
        <w:t xml:space="preserve"> </w:t>
      </w:r>
      <w:r w:rsidRPr="009E6200">
        <w:t>отмены</w:t>
      </w:r>
      <w:r w:rsidR="00661EE7" w:rsidRPr="009E6200">
        <w:t xml:space="preserve"> </w:t>
      </w:r>
      <w:r w:rsidRPr="009E6200">
        <w:t>препарата</w:t>
      </w:r>
      <w:r w:rsidR="00661EE7" w:rsidRPr="009E6200">
        <w:t xml:space="preserve"> </w:t>
      </w:r>
      <w:r w:rsidRPr="009E6200">
        <w:t>Авастин</w:t>
      </w:r>
      <w:r w:rsidR="00121FA5" w:rsidRPr="009E6200">
        <w:rPr>
          <w:vertAlign w:val="superscript"/>
        </w:rPr>
        <w:t>®</w:t>
      </w:r>
      <w:r w:rsidR="00661EE7" w:rsidRPr="009E6200">
        <w:t xml:space="preserve"> </w:t>
      </w:r>
      <w:r w:rsidRPr="009E6200">
        <w:t>в</w:t>
      </w:r>
      <w:r w:rsidR="00661EE7" w:rsidRPr="009E6200">
        <w:t xml:space="preserve"> </w:t>
      </w:r>
      <w:r w:rsidRPr="009E6200">
        <w:t>связи</w:t>
      </w:r>
      <w:r w:rsidR="00661EE7" w:rsidRPr="009E6200">
        <w:t xml:space="preserve"> </w:t>
      </w:r>
      <w:r w:rsidRPr="009E6200">
        <w:t>с</w:t>
      </w:r>
      <w:r w:rsidR="00661EE7" w:rsidRPr="009E6200">
        <w:t xml:space="preserve"> </w:t>
      </w:r>
      <w:r w:rsidRPr="009E6200">
        <w:t>развитием</w:t>
      </w:r>
      <w:r w:rsidR="00661EE7" w:rsidRPr="009E6200">
        <w:t xml:space="preserve"> </w:t>
      </w:r>
      <w:r w:rsidRPr="009E6200">
        <w:t>побочных</w:t>
      </w:r>
      <w:r w:rsidR="00661EE7" w:rsidRPr="009E6200">
        <w:t xml:space="preserve"> </w:t>
      </w:r>
      <w:r w:rsidRPr="009E6200">
        <w:t>эффектов составила 8,4</w:t>
      </w:r>
      <w:r w:rsidR="00A30934" w:rsidRPr="009E6200">
        <w:t>–</w:t>
      </w:r>
      <w:r w:rsidR="007B6831" w:rsidRPr="009E6200">
        <w:t>21</w:t>
      </w:r>
      <w:r w:rsidR="00752944" w:rsidRPr="009E6200">
        <w:t>,0</w:t>
      </w:r>
      <w:r w:rsidR="007B6831" w:rsidRPr="009E6200">
        <w:t>%.</w:t>
      </w:r>
    </w:p>
    <w:p w14:paraId="7FE37852" w14:textId="77777777" w:rsidR="003C1EF6" w:rsidRPr="009E6200" w:rsidRDefault="003C1EF6" w:rsidP="007B46F5">
      <w:pPr>
        <w:pStyle w:val="SDText"/>
        <w:jc w:val="both"/>
      </w:pPr>
      <w:r w:rsidRPr="009E6200">
        <w:t>Ниже</w:t>
      </w:r>
      <w:r w:rsidR="00661EE7" w:rsidRPr="009E6200">
        <w:t xml:space="preserve"> </w:t>
      </w:r>
      <w:r w:rsidRPr="009E6200">
        <w:t>представлены</w:t>
      </w:r>
      <w:r w:rsidR="00661EE7" w:rsidRPr="009E6200">
        <w:t xml:space="preserve"> </w:t>
      </w:r>
      <w:r w:rsidRPr="009E6200">
        <w:t>побочные</w:t>
      </w:r>
      <w:r w:rsidR="00661EE7" w:rsidRPr="009E6200">
        <w:t xml:space="preserve"> </w:t>
      </w:r>
      <w:r w:rsidRPr="009E6200">
        <w:t>реакции</w:t>
      </w:r>
      <w:r w:rsidR="00661EE7" w:rsidRPr="009E6200">
        <w:t xml:space="preserve"> </w:t>
      </w:r>
      <w:r w:rsidRPr="009E6200">
        <w:t>всех</w:t>
      </w:r>
      <w:r w:rsidR="00661EE7" w:rsidRPr="009E6200">
        <w:t xml:space="preserve"> </w:t>
      </w:r>
      <w:r w:rsidRPr="009E6200">
        <w:t>степеней</w:t>
      </w:r>
      <w:r w:rsidR="00661EE7" w:rsidRPr="009E6200">
        <w:t xml:space="preserve"> </w:t>
      </w:r>
      <w:r w:rsidRPr="009E6200">
        <w:t>тяжести</w:t>
      </w:r>
      <w:r w:rsidR="00661EE7" w:rsidRPr="009E6200">
        <w:t xml:space="preserve"> </w:t>
      </w:r>
      <w:r w:rsidRPr="009E6200">
        <w:t>по</w:t>
      </w:r>
      <w:r w:rsidR="00661EE7" w:rsidRPr="009E6200">
        <w:t xml:space="preserve"> </w:t>
      </w:r>
      <w:r w:rsidR="002E10C4" w:rsidRPr="009E6200">
        <w:t xml:space="preserve">оценочной шкале общих критериев токсичности Национального института исследования рака </w:t>
      </w:r>
      <w:r w:rsidRPr="009E6200">
        <w:t>(</w:t>
      </w:r>
      <w:r w:rsidR="002E10C4" w:rsidRPr="009E6200">
        <w:t xml:space="preserve">National Cancer Institute Common toxicity Criteria, </w:t>
      </w:r>
      <w:r w:rsidRPr="009E6200">
        <w:t>NCI-CTC),</w:t>
      </w:r>
      <w:r w:rsidR="00661EE7" w:rsidRPr="009E6200">
        <w:t xml:space="preserve"> </w:t>
      </w:r>
      <w:r w:rsidRPr="009E6200">
        <w:t>встречающиеся</w:t>
      </w:r>
      <w:r w:rsidR="00661EE7" w:rsidRPr="009E6200">
        <w:t xml:space="preserve"> </w:t>
      </w:r>
      <w:r w:rsidRPr="009E6200">
        <w:t>у</w:t>
      </w:r>
      <w:r w:rsidR="00661EE7" w:rsidRPr="009E6200">
        <w:t xml:space="preserve"> </w:t>
      </w:r>
      <w:r w:rsidRPr="009E6200">
        <w:t>пациентов, получавших</w:t>
      </w:r>
      <w:r w:rsidR="00661EE7" w:rsidRPr="009E6200">
        <w:t xml:space="preserve"> </w:t>
      </w:r>
      <w:r w:rsidRPr="009E6200">
        <w:t>только</w:t>
      </w:r>
      <w:r w:rsidR="00661EE7" w:rsidRPr="009E6200">
        <w:t xml:space="preserve"> </w:t>
      </w:r>
      <w:r w:rsidRPr="009E6200">
        <w:t>оригинальный</w:t>
      </w:r>
      <w:r w:rsidR="00661EE7" w:rsidRPr="009E6200">
        <w:t xml:space="preserve"> </w:t>
      </w:r>
      <w:r w:rsidRPr="009E6200">
        <w:t>препарат</w:t>
      </w:r>
      <w:r w:rsidR="00661EE7" w:rsidRPr="009E6200">
        <w:t xml:space="preserve"> </w:t>
      </w:r>
      <w:r w:rsidRPr="009E6200">
        <w:t>Авастин</w:t>
      </w:r>
      <w:r w:rsidR="00121FA5" w:rsidRPr="009E6200">
        <w:rPr>
          <w:vertAlign w:val="superscript"/>
        </w:rPr>
        <w:t>®</w:t>
      </w:r>
      <w:r w:rsidR="00661EE7" w:rsidRPr="009E6200">
        <w:t xml:space="preserve"> </w:t>
      </w:r>
      <w:r w:rsidRPr="009E6200">
        <w:t>или</w:t>
      </w:r>
      <w:r w:rsidR="00661EE7" w:rsidRPr="009E6200">
        <w:t xml:space="preserve"> </w:t>
      </w:r>
      <w:r w:rsidRPr="009E6200">
        <w:t>комбинированное лечение</w:t>
      </w:r>
      <w:r w:rsidR="00661EE7" w:rsidRPr="009E6200">
        <w:t xml:space="preserve"> </w:t>
      </w:r>
      <w:r w:rsidRPr="009E6200">
        <w:t>с</w:t>
      </w:r>
      <w:r w:rsidR="00661EE7" w:rsidRPr="009E6200">
        <w:t xml:space="preserve"> </w:t>
      </w:r>
      <w:r w:rsidRPr="009E6200">
        <w:t>химиотерапией</w:t>
      </w:r>
      <w:r w:rsidR="00661EE7" w:rsidRPr="009E6200">
        <w:t xml:space="preserve"> </w:t>
      </w:r>
      <w:r w:rsidRPr="009E6200">
        <w:t>по</w:t>
      </w:r>
      <w:r w:rsidR="00661EE7" w:rsidRPr="009E6200">
        <w:t xml:space="preserve"> </w:t>
      </w:r>
      <w:r w:rsidRPr="009E6200">
        <w:t>всем</w:t>
      </w:r>
      <w:r w:rsidR="00661EE7" w:rsidRPr="009E6200">
        <w:t xml:space="preserve"> </w:t>
      </w:r>
      <w:r w:rsidRPr="009E6200">
        <w:t>показаниям.</w:t>
      </w:r>
      <w:r w:rsidR="00661EE7" w:rsidRPr="009E6200">
        <w:t xml:space="preserve"> </w:t>
      </w:r>
      <w:r w:rsidRPr="009E6200">
        <w:t>Для</w:t>
      </w:r>
      <w:r w:rsidR="00661EE7" w:rsidRPr="009E6200">
        <w:t xml:space="preserve"> </w:t>
      </w:r>
      <w:r w:rsidRPr="009E6200">
        <w:t>описания</w:t>
      </w:r>
      <w:r w:rsidR="00661EE7" w:rsidRPr="009E6200">
        <w:t xml:space="preserve"> </w:t>
      </w:r>
      <w:r w:rsidRPr="009E6200">
        <w:t>частоты</w:t>
      </w:r>
      <w:r w:rsidR="00661EE7" w:rsidRPr="009E6200">
        <w:t xml:space="preserve"> </w:t>
      </w:r>
      <w:r w:rsidRPr="009E6200">
        <w:t>побочных реакций</w:t>
      </w:r>
      <w:r w:rsidR="00661EE7" w:rsidRPr="009E6200">
        <w:t xml:space="preserve"> </w:t>
      </w:r>
      <w:r w:rsidRPr="009E6200">
        <w:t>используются</w:t>
      </w:r>
      <w:r w:rsidR="00661EE7" w:rsidRPr="009E6200">
        <w:t xml:space="preserve"> </w:t>
      </w:r>
      <w:r w:rsidRPr="009E6200">
        <w:t>следующие</w:t>
      </w:r>
      <w:r w:rsidR="00661EE7" w:rsidRPr="009E6200">
        <w:t xml:space="preserve"> </w:t>
      </w:r>
      <w:r w:rsidRPr="009E6200">
        <w:t>категории:</w:t>
      </w:r>
      <w:r w:rsidR="00661EE7" w:rsidRPr="009E6200">
        <w:t xml:space="preserve"> </w:t>
      </w:r>
      <w:r w:rsidRPr="009E6200">
        <w:t>очень</w:t>
      </w:r>
      <w:r w:rsidR="00661EE7" w:rsidRPr="009E6200">
        <w:t xml:space="preserve"> </w:t>
      </w:r>
      <w:r w:rsidRPr="009E6200">
        <w:t>часто</w:t>
      </w:r>
      <w:r w:rsidR="00661EE7" w:rsidRPr="009E6200">
        <w:t xml:space="preserve"> </w:t>
      </w:r>
      <w:r w:rsidRPr="009E6200">
        <w:t>(≥</w:t>
      </w:r>
      <w:r w:rsidR="00A30934" w:rsidRPr="009E6200">
        <w:t xml:space="preserve"> </w:t>
      </w:r>
      <w:r w:rsidRPr="009E6200">
        <w:t>10%),</w:t>
      </w:r>
      <w:r w:rsidR="00661EE7" w:rsidRPr="009E6200">
        <w:t xml:space="preserve"> </w:t>
      </w:r>
      <w:r w:rsidRPr="009E6200">
        <w:t>часто</w:t>
      </w:r>
      <w:r w:rsidR="00661EE7" w:rsidRPr="009E6200">
        <w:t xml:space="preserve"> </w:t>
      </w:r>
      <w:r w:rsidRPr="009E6200">
        <w:t>(&gt;</w:t>
      </w:r>
      <w:r w:rsidR="00A30934" w:rsidRPr="009E6200">
        <w:t xml:space="preserve"> 1%–&lt;10%), нечасто (≥ 0,1% – </w:t>
      </w:r>
      <w:r w:rsidRPr="009E6200">
        <w:t>&lt;</w:t>
      </w:r>
      <w:r w:rsidR="00A30934" w:rsidRPr="009E6200">
        <w:t xml:space="preserve"> </w:t>
      </w:r>
      <w:r w:rsidRPr="009E6200">
        <w:t>1</w:t>
      </w:r>
      <w:r w:rsidR="00A30934" w:rsidRPr="009E6200">
        <w:t>,0</w:t>
      </w:r>
      <w:r w:rsidRPr="009E6200">
        <w:t>%), редко (≥ 0</w:t>
      </w:r>
      <w:r w:rsidR="00A30934" w:rsidRPr="009E6200">
        <w:t>,</w:t>
      </w:r>
      <w:r w:rsidRPr="009E6200">
        <w:t xml:space="preserve">01% </w:t>
      </w:r>
      <w:r w:rsidR="00A30934" w:rsidRPr="009E6200">
        <w:t>–</w:t>
      </w:r>
      <w:r w:rsidRPr="009E6200">
        <w:t xml:space="preserve"> &lt;0</w:t>
      </w:r>
      <w:r w:rsidR="00A30934" w:rsidRPr="009E6200">
        <w:t>,</w:t>
      </w:r>
      <w:r w:rsidRPr="009E6200">
        <w:t>1</w:t>
      </w:r>
      <w:r w:rsidR="00A30934" w:rsidRPr="009E6200">
        <w:t>0</w:t>
      </w:r>
      <w:r w:rsidRPr="009E6200">
        <w:t>%) и очень редко (&lt;</w:t>
      </w:r>
      <w:r w:rsidR="00A30934" w:rsidRPr="009E6200">
        <w:t xml:space="preserve"> </w:t>
      </w:r>
      <w:r w:rsidRPr="009E6200">
        <w:t>0</w:t>
      </w:r>
      <w:r w:rsidR="00A30934" w:rsidRPr="009E6200">
        <w:t>,</w:t>
      </w:r>
      <w:r w:rsidR="007B6831" w:rsidRPr="009E6200">
        <w:t>01%).</w:t>
      </w:r>
    </w:p>
    <w:p w14:paraId="548BD434" w14:textId="77777777" w:rsidR="003C1EF6" w:rsidRPr="009E6200" w:rsidRDefault="003C1EF6" w:rsidP="007B46F5">
      <w:pPr>
        <w:pStyle w:val="SDText"/>
        <w:ind w:firstLine="709"/>
        <w:jc w:val="both"/>
      </w:pPr>
      <w:r w:rsidRPr="009E6200">
        <w:t>Нежелательные</w:t>
      </w:r>
      <w:r w:rsidR="00661EE7" w:rsidRPr="009E6200">
        <w:t xml:space="preserve"> </w:t>
      </w:r>
      <w:r w:rsidRPr="009E6200">
        <w:t>реакции</w:t>
      </w:r>
      <w:r w:rsidR="00661EE7" w:rsidRPr="009E6200">
        <w:t xml:space="preserve"> </w:t>
      </w:r>
      <w:r w:rsidRPr="009E6200">
        <w:t>отнесены</w:t>
      </w:r>
      <w:r w:rsidR="00661EE7" w:rsidRPr="009E6200">
        <w:t xml:space="preserve"> </w:t>
      </w:r>
      <w:r w:rsidRPr="009E6200">
        <w:t>к</w:t>
      </w:r>
      <w:r w:rsidR="00661EE7" w:rsidRPr="009E6200">
        <w:t xml:space="preserve"> </w:t>
      </w:r>
      <w:r w:rsidRPr="009E6200">
        <w:t>определенной</w:t>
      </w:r>
      <w:r w:rsidR="00661EE7" w:rsidRPr="009E6200">
        <w:t xml:space="preserve"> </w:t>
      </w:r>
      <w:r w:rsidRPr="009E6200">
        <w:t>категории</w:t>
      </w:r>
      <w:r w:rsidR="00661EE7" w:rsidRPr="009E6200">
        <w:t xml:space="preserve"> </w:t>
      </w:r>
      <w:r w:rsidRPr="009E6200">
        <w:t>в</w:t>
      </w:r>
      <w:r w:rsidR="00661EE7" w:rsidRPr="009E6200">
        <w:t xml:space="preserve"> </w:t>
      </w:r>
      <w:r w:rsidRPr="009E6200">
        <w:t>соответствии</w:t>
      </w:r>
      <w:r w:rsidR="00661EE7" w:rsidRPr="009E6200">
        <w:t xml:space="preserve"> </w:t>
      </w:r>
      <w:r w:rsidRPr="009E6200">
        <w:t>с наибольшей частотой возникновения.</w:t>
      </w:r>
    </w:p>
    <w:p w14:paraId="1358B6D2" w14:textId="77777777" w:rsidR="003C1EF6" w:rsidRPr="009E6200" w:rsidRDefault="003C1EF6" w:rsidP="007B46F5">
      <w:pPr>
        <w:pStyle w:val="SDText"/>
        <w:ind w:left="709"/>
        <w:jc w:val="both"/>
        <w:rPr>
          <w:i/>
          <w:u w:val="single"/>
        </w:rPr>
      </w:pPr>
      <w:r w:rsidRPr="009E6200">
        <w:rPr>
          <w:i/>
          <w:u w:val="single"/>
        </w:rPr>
        <w:t>Со стороны</w:t>
      </w:r>
      <w:r w:rsidR="00A30934" w:rsidRPr="009E6200">
        <w:rPr>
          <w:i/>
          <w:u w:val="single"/>
        </w:rPr>
        <w:t xml:space="preserve"> </w:t>
      </w:r>
      <w:r w:rsidR="002E10C4" w:rsidRPr="009E6200">
        <w:rPr>
          <w:i/>
          <w:u w:val="single"/>
        </w:rPr>
        <w:t>сердца:</w:t>
      </w:r>
    </w:p>
    <w:p w14:paraId="4D6A474B" w14:textId="77777777" w:rsidR="003C1EF6" w:rsidRPr="009E6200" w:rsidRDefault="003C1EF6" w:rsidP="007B46F5">
      <w:pPr>
        <w:pStyle w:val="SDText"/>
        <w:ind w:left="709"/>
        <w:jc w:val="both"/>
      </w:pPr>
      <w:r w:rsidRPr="009E6200">
        <w:rPr>
          <w:i/>
        </w:rPr>
        <w:t>часто:</w:t>
      </w:r>
      <w:r w:rsidRPr="009E6200">
        <w:t xml:space="preserve"> застойная сердечная недостаточность, суправент</w:t>
      </w:r>
      <w:r w:rsidR="002E10C4" w:rsidRPr="009E6200">
        <w:t>рикулярная тахикардия.</w:t>
      </w:r>
    </w:p>
    <w:p w14:paraId="013DDA26" w14:textId="77777777" w:rsidR="003C1EF6" w:rsidRPr="009E6200" w:rsidRDefault="002E10C4" w:rsidP="007B46F5">
      <w:pPr>
        <w:pStyle w:val="SDText"/>
        <w:ind w:left="709"/>
        <w:jc w:val="both"/>
        <w:rPr>
          <w:i/>
          <w:u w:val="single"/>
        </w:rPr>
      </w:pPr>
      <w:r w:rsidRPr="009E6200">
        <w:rPr>
          <w:i/>
          <w:u w:val="single"/>
        </w:rPr>
        <w:t>Со стороны сосудов:</w:t>
      </w:r>
    </w:p>
    <w:p w14:paraId="3CE68560" w14:textId="77777777" w:rsidR="003C1EF6" w:rsidRPr="009E6200" w:rsidRDefault="003C1EF6" w:rsidP="007B46F5">
      <w:pPr>
        <w:pStyle w:val="SDText"/>
        <w:ind w:left="709"/>
        <w:jc w:val="both"/>
      </w:pPr>
      <w:r w:rsidRPr="009E6200">
        <w:rPr>
          <w:i/>
        </w:rPr>
        <w:t>очень часто:</w:t>
      </w:r>
      <w:r w:rsidRPr="009E6200">
        <w:t xml:space="preserve"> повышение артериального да</w:t>
      </w:r>
      <w:r w:rsidR="002E10C4" w:rsidRPr="009E6200">
        <w:t>вления, венозная тромбоэмболия;</w:t>
      </w:r>
    </w:p>
    <w:p w14:paraId="729775BC" w14:textId="77777777" w:rsidR="003C1EF6" w:rsidRPr="009E6200" w:rsidRDefault="003C1EF6" w:rsidP="007B46F5">
      <w:pPr>
        <w:pStyle w:val="SDText"/>
        <w:ind w:left="709"/>
        <w:jc w:val="both"/>
      </w:pPr>
      <w:r w:rsidRPr="009E6200">
        <w:rPr>
          <w:i/>
        </w:rPr>
        <w:t>часто:</w:t>
      </w:r>
      <w:r w:rsidR="00661EE7" w:rsidRPr="009E6200">
        <w:t xml:space="preserve"> </w:t>
      </w:r>
      <w:r w:rsidRPr="009E6200">
        <w:t>артериальная</w:t>
      </w:r>
      <w:r w:rsidR="00661EE7" w:rsidRPr="009E6200">
        <w:t xml:space="preserve"> </w:t>
      </w:r>
      <w:r w:rsidRPr="009E6200">
        <w:t>тромбоэмболия</w:t>
      </w:r>
      <w:r w:rsidR="00661EE7" w:rsidRPr="009E6200">
        <w:t xml:space="preserve"> </w:t>
      </w:r>
      <w:r w:rsidRPr="009E6200">
        <w:t>(включая</w:t>
      </w:r>
      <w:r w:rsidR="00661EE7" w:rsidRPr="009E6200">
        <w:t xml:space="preserve"> </w:t>
      </w:r>
      <w:r w:rsidRPr="009E6200">
        <w:t>инфаркт</w:t>
      </w:r>
      <w:r w:rsidR="00661EE7" w:rsidRPr="009E6200">
        <w:t xml:space="preserve"> </w:t>
      </w:r>
      <w:r w:rsidRPr="009E6200">
        <w:t>миокарда,</w:t>
      </w:r>
      <w:r w:rsidR="00661EE7" w:rsidRPr="009E6200">
        <w:t xml:space="preserve"> </w:t>
      </w:r>
      <w:r w:rsidRPr="009E6200">
        <w:t>инсульт, транзиторную</w:t>
      </w:r>
      <w:r w:rsidR="00661EE7" w:rsidRPr="009E6200">
        <w:t xml:space="preserve"> </w:t>
      </w:r>
      <w:r w:rsidRPr="009E6200">
        <w:t>ишемическую</w:t>
      </w:r>
      <w:r w:rsidR="00661EE7" w:rsidRPr="009E6200">
        <w:t xml:space="preserve"> </w:t>
      </w:r>
      <w:r w:rsidRPr="009E6200">
        <w:t>атаку</w:t>
      </w:r>
      <w:r w:rsidR="00661EE7" w:rsidRPr="009E6200">
        <w:t xml:space="preserve"> </w:t>
      </w:r>
      <w:r w:rsidRPr="009E6200">
        <w:t>и</w:t>
      </w:r>
      <w:r w:rsidR="00661EE7" w:rsidRPr="009E6200">
        <w:t xml:space="preserve"> </w:t>
      </w:r>
      <w:r w:rsidRPr="009E6200">
        <w:t>другие</w:t>
      </w:r>
      <w:r w:rsidR="00661EE7" w:rsidRPr="009E6200">
        <w:t xml:space="preserve"> </w:t>
      </w:r>
      <w:r w:rsidRPr="009E6200">
        <w:t>артериальные</w:t>
      </w:r>
      <w:r w:rsidR="00661EE7" w:rsidRPr="009E6200">
        <w:t xml:space="preserve"> </w:t>
      </w:r>
      <w:r w:rsidRPr="009E6200">
        <w:t>эмболии);</w:t>
      </w:r>
      <w:r w:rsidR="00661EE7" w:rsidRPr="009E6200">
        <w:t xml:space="preserve"> </w:t>
      </w:r>
      <w:r w:rsidRPr="009E6200">
        <w:t>тромбо</w:t>
      </w:r>
      <w:r w:rsidR="002E10C4" w:rsidRPr="009E6200">
        <w:t>з глубоких вен, кровотечение;</w:t>
      </w:r>
    </w:p>
    <w:p w14:paraId="378CAC00" w14:textId="77777777" w:rsidR="003C1EF6" w:rsidRPr="009E6200" w:rsidRDefault="003C1EF6" w:rsidP="007B46F5">
      <w:pPr>
        <w:pStyle w:val="SDText"/>
        <w:ind w:left="709"/>
        <w:jc w:val="both"/>
      </w:pPr>
      <w:r w:rsidRPr="009E6200">
        <w:rPr>
          <w:i/>
        </w:rPr>
        <w:t>частота неизвестна:</w:t>
      </w:r>
      <w:r w:rsidRPr="009E6200">
        <w:t xml:space="preserve"> почечная</w:t>
      </w:r>
      <w:r w:rsidR="002E10C4" w:rsidRPr="009E6200">
        <w:t xml:space="preserve"> тромботическая микроангиопатия.</w:t>
      </w:r>
    </w:p>
    <w:p w14:paraId="2AAF5BD6" w14:textId="77777777" w:rsidR="003C1EF6" w:rsidRPr="009E6200" w:rsidRDefault="003C1EF6" w:rsidP="007B46F5">
      <w:pPr>
        <w:pStyle w:val="SDText"/>
        <w:ind w:left="709"/>
        <w:jc w:val="both"/>
        <w:rPr>
          <w:i/>
          <w:u w:val="single"/>
        </w:rPr>
      </w:pPr>
      <w:r w:rsidRPr="009E6200">
        <w:rPr>
          <w:i/>
          <w:u w:val="single"/>
        </w:rPr>
        <w:t>Со стороны</w:t>
      </w:r>
      <w:r w:rsidR="00661EE7" w:rsidRPr="009E6200">
        <w:rPr>
          <w:i/>
          <w:u w:val="single"/>
        </w:rPr>
        <w:t xml:space="preserve"> </w:t>
      </w:r>
      <w:r w:rsidRPr="009E6200">
        <w:rPr>
          <w:i/>
          <w:u w:val="single"/>
        </w:rPr>
        <w:t xml:space="preserve">крови и лимфатической системы: </w:t>
      </w:r>
    </w:p>
    <w:p w14:paraId="2462E06F" w14:textId="77777777" w:rsidR="003C1EF6" w:rsidRPr="009E6200" w:rsidRDefault="003C1EF6" w:rsidP="007B46F5">
      <w:pPr>
        <w:pStyle w:val="SDText"/>
        <w:ind w:left="709"/>
        <w:jc w:val="both"/>
      </w:pPr>
      <w:r w:rsidRPr="009E6200">
        <w:rPr>
          <w:i/>
        </w:rPr>
        <w:t>очень</w:t>
      </w:r>
      <w:r w:rsidR="00661EE7" w:rsidRPr="009E6200">
        <w:rPr>
          <w:i/>
        </w:rPr>
        <w:t xml:space="preserve"> </w:t>
      </w:r>
      <w:r w:rsidRPr="009E6200">
        <w:rPr>
          <w:i/>
        </w:rPr>
        <w:t>часто:</w:t>
      </w:r>
      <w:r w:rsidR="00661EE7" w:rsidRPr="009E6200">
        <w:t xml:space="preserve"> </w:t>
      </w:r>
      <w:r w:rsidRPr="009E6200">
        <w:t>лейкопения,</w:t>
      </w:r>
      <w:r w:rsidR="00661EE7" w:rsidRPr="009E6200">
        <w:t xml:space="preserve"> </w:t>
      </w:r>
      <w:r w:rsidRPr="009E6200">
        <w:t>нейтропения,</w:t>
      </w:r>
      <w:r w:rsidR="00661EE7" w:rsidRPr="009E6200">
        <w:t xml:space="preserve"> </w:t>
      </w:r>
      <w:r w:rsidRPr="009E6200">
        <w:t>фебрильная</w:t>
      </w:r>
      <w:r w:rsidR="00661EE7" w:rsidRPr="009E6200">
        <w:t xml:space="preserve"> </w:t>
      </w:r>
      <w:r w:rsidR="002E10C4" w:rsidRPr="009E6200">
        <w:t>нейтропения, тромбоцитопения;</w:t>
      </w:r>
    </w:p>
    <w:p w14:paraId="0048C4F1" w14:textId="77777777" w:rsidR="003C1EF6" w:rsidRPr="009E6200" w:rsidRDefault="003C1EF6" w:rsidP="007B46F5">
      <w:pPr>
        <w:pStyle w:val="SDText"/>
        <w:ind w:left="709"/>
        <w:jc w:val="both"/>
      </w:pPr>
      <w:r w:rsidRPr="009E6200">
        <w:rPr>
          <w:i/>
        </w:rPr>
        <w:t>часто:</w:t>
      </w:r>
      <w:r w:rsidR="002E10C4" w:rsidRPr="009E6200">
        <w:t xml:space="preserve"> анемия, лимфопения.</w:t>
      </w:r>
    </w:p>
    <w:p w14:paraId="02B7F106" w14:textId="77777777" w:rsidR="003C1EF6" w:rsidRPr="009E6200" w:rsidRDefault="003C1EF6" w:rsidP="007B46F5">
      <w:pPr>
        <w:pStyle w:val="SDText"/>
        <w:ind w:left="709"/>
        <w:jc w:val="both"/>
        <w:rPr>
          <w:i/>
          <w:u w:val="single"/>
        </w:rPr>
      </w:pPr>
      <w:r w:rsidRPr="009E6200">
        <w:rPr>
          <w:i/>
          <w:u w:val="single"/>
        </w:rPr>
        <w:t xml:space="preserve">Со стороны </w:t>
      </w:r>
      <w:r w:rsidR="00425A6C" w:rsidRPr="009E6200">
        <w:rPr>
          <w:i/>
          <w:u w:val="single"/>
        </w:rPr>
        <w:t>ЖКТ</w:t>
      </w:r>
      <w:r w:rsidRPr="009E6200">
        <w:rPr>
          <w:i/>
          <w:u w:val="single"/>
        </w:rPr>
        <w:t>:</w:t>
      </w:r>
    </w:p>
    <w:p w14:paraId="65A631BF" w14:textId="77777777" w:rsidR="003C1EF6" w:rsidRPr="009E6200" w:rsidRDefault="003C1EF6" w:rsidP="007B46F5">
      <w:pPr>
        <w:pStyle w:val="SDText"/>
        <w:ind w:left="709"/>
        <w:jc w:val="both"/>
      </w:pPr>
      <w:r w:rsidRPr="009E6200">
        <w:rPr>
          <w:i/>
        </w:rPr>
        <w:t>очень</w:t>
      </w:r>
      <w:r w:rsidR="00661EE7" w:rsidRPr="009E6200">
        <w:rPr>
          <w:i/>
        </w:rPr>
        <w:t xml:space="preserve"> </w:t>
      </w:r>
      <w:r w:rsidRPr="009E6200">
        <w:rPr>
          <w:i/>
        </w:rPr>
        <w:t>часто:</w:t>
      </w:r>
      <w:r w:rsidR="00661EE7" w:rsidRPr="009E6200">
        <w:t xml:space="preserve"> </w:t>
      </w:r>
      <w:r w:rsidRPr="009E6200">
        <w:t>диарея,</w:t>
      </w:r>
      <w:r w:rsidR="00661EE7" w:rsidRPr="009E6200">
        <w:t xml:space="preserve"> </w:t>
      </w:r>
      <w:r w:rsidRPr="009E6200">
        <w:t>тошнота,</w:t>
      </w:r>
      <w:r w:rsidR="00661EE7" w:rsidRPr="009E6200">
        <w:t xml:space="preserve"> </w:t>
      </w:r>
      <w:r w:rsidRPr="009E6200">
        <w:t>рвота,</w:t>
      </w:r>
      <w:r w:rsidR="00661EE7" w:rsidRPr="009E6200">
        <w:t xml:space="preserve"> </w:t>
      </w:r>
      <w:r w:rsidRPr="009E6200">
        <w:t>запор,</w:t>
      </w:r>
      <w:r w:rsidR="00661EE7" w:rsidRPr="009E6200">
        <w:t xml:space="preserve"> </w:t>
      </w:r>
      <w:r w:rsidRPr="009E6200">
        <w:t>ректальное</w:t>
      </w:r>
      <w:r w:rsidR="00661EE7" w:rsidRPr="009E6200">
        <w:t xml:space="preserve"> </w:t>
      </w:r>
      <w:r w:rsidRPr="009E6200">
        <w:t>кровотечение,</w:t>
      </w:r>
      <w:r w:rsidR="00661EE7" w:rsidRPr="009E6200">
        <w:t xml:space="preserve"> </w:t>
      </w:r>
      <w:r w:rsidR="002E10C4" w:rsidRPr="009E6200">
        <w:t>стоматит, боли в животе;</w:t>
      </w:r>
    </w:p>
    <w:p w14:paraId="33CF47F0" w14:textId="77777777" w:rsidR="003C1EF6" w:rsidRPr="009E6200" w:rsidRDefault="003C1EF6" w:rsidP="007B46F5">
      <w:pPr>
        <w:pStyle w:val="SDText"/>
        <w:ind w:left="709"/>
        <w:jc w:val="both"/>
      </w:pPr>
      <w:r w:rsidRPr="009E6200">
        <w:rPr>
          <w:i/>
        </w:rPr>
        <w:t>часто:</w:t>
      </w:r>
      <w:r w:rsidR="00661EE7" w:rsidRPr="009E6200">
        <w:t xml:space="preserve"> </w:t>
      </w:r>
      <w:r w:rsidRPr="009E6200">
        <w:t>перфорация</w:t>
      </w:r>
      <w:r w:rsidR="00661EE7" w:rsidRPr="009E6200">
        <w:t xml:space="preserve"> </w:t>
      </w:r>
      <w:r w:rsidR="00425A6C" w:rsidRPr="009E6200">
        <w:t>ЖКТ</w:t>
      </w:r>
      <w:r w:rsidR="00E3496B" w:rsidRPr="009E6200">
        <w:t>,</w:t>
      </w:r>
      <w:r w:rsidR="00661EE7" w:rsidRPr="009E6200">
        <w:t xml:space="preserve"> </w:t>
      </w:r>
      <w:r w:rsidR="00E3496B" w:rsidRPr="009E6200">
        <w:t>непроходимость</w:t>
      </w:r>
      <w:r w:rsidR="00661EE7" w:rsidRPr="009E6200">
        <w:t xml:space="preserve"> </w:t>
      </w:r>
      <w:r w:rsidR="00E3496B" w:rsidRPr="009E6200">
        <w:t xml:space="preserve">кишечника, </w:t>
      </w:r>
      <w:r w:rsidRPr="009E6200">
        <w:t>ректо-вагинальные</w:t>
      </w:r>
      <w:r w:rsidR="00661EE7" w:rsidRPr="009E6200">
        <w:t xml:space="preserve"> </w:t>
      </w:r>
      <w:r w:rsidRPr="009E6200">
        <w:t>свищи,</w:t>
      </w:r>
      <w:r w:rsidR="00661EE7" w:rsidRPr="009E6200">
        <w:t xml:space="preserve"> </w:t>
      </w:r>
      <w:r w:rsidRPr="009E6200">
        <w:t>гастроинтестинальные</w:t>
      </w:r>
      <w:r w:rsidR="00661EE7" w:rsidRPr="009E6200">
        <w:t xml:space="preserve"> </w:t>
      </w:r>
      <w:r w:rsidRPr="009E6200">
        <w:t>расстройства,</w:t>
      </w:r>
      <w:r w:rsidR="00661EE7" w:rsidRPr="009E6200">
        <w:t xml:space="preserve"> </w:t>
      </w:r>
      <w:r w:rsidRPr="009E6200">
        <w:t>боль</w:t>
      </w:r>
      <w:r w:rsidR="00661EE7" w:rsidRPr="009E6200">
        <w:t xml:space="preserve"> </w:t>
      </w:r>
      <w:r w:rsidRPr="009E6200">
        <w:t>в</w:t>
      </w:r>
      <w:r w:rsidR="00661EE7" w:rsidRPr="009E6200">
        <w:t xml:space="preserve"> </w:t>
      </w:r>
      <w:r w:rsidR="002E10C4" w:rsidRPr="009E6200">
        <w:t>прямой кишке;</w:t>
      </w:r>
    </w:p>
    <w:p w14:paraId="32079AC1" w14:textId="77777777" w:rsidR="003C1EF6" w:rsidRPr="009E6200" w:rsidRDefault="003C1EF6" w:rsidP="007B46F5">
      <w:pPr>
        <w:pStyle w:val="SDText"/>
        <w:ind w:left="709"/>
        <w:jc w:val="both"/>
      </w:pPr>
      <w:r w:rsidRPr="009E6200">
        <w:rPr>
          <w:i/>
        </w:rPr>
        <w:t>частота неизвестна:</w:t>
      </w:r>
      <w:r w:rsidRPr="009E6200">
        <w:t xml:space="preserve"> язвы </w:t>
      </w:r>
      <w:r w:rsidR="00425A6C" w:rsidRPr="009E6200">
        <w:t>ЖКТ.</w:t>
      </w:r>
    </w:p>
    <w:p w14:paraId="68C8AC69" w14:textId="77777777" w:rsidR="003C1EF6" w:rsidRPr="009E6200" w:rsidRDefault="003C1EF6" w:rsidP="007B46F5">
      <w:pPr>
        <w:pStyle w:val="SDText"/>
        <w:ind w:left="709"/>
        <w:jc w:val="both"/>
        <w:rPr>
          <w:i/>
          <w:u w:val="single"/>
        </w:rPr>
      </w:pPr>
      <w:r w:rsidRPr="009E6200">
        <w:rPr>
          <w:i/>
          <w:u w:val="single"/>
        </w:rPr>
        <w:t>Со стороны</w:t>
      </w:r>
      <w:r w:rsidR="00661EE7" w:rsidRPr="009E6200">
        <w:rPr>
          <w:i/>
          <w:u w:val="single"/>
        </w:rPr>
        <w:t xml:space="preserve"> </w:t>
      </w:r>
      <w:r w:rsidRPr="009E6200">
        <w:rPr>
          <w:i/>
          <w:u w:val="single"/>
        </w:rPr>
        <w:t>дыхательной системы, органо</w:t>
      </w:r>
      <w:r w:rsidR="00F80E69" w:rsidRPr="009E6200">
        <w:rPr>
          <w:i/>
          <w:u w:val="single"/>
        </w:rPr>
        <w:t>в грудной клетки и средостения:</w:t>
      </w:r>
    </w:p>
    <w:p w14:paraId="758B313A" w14:textId="77777777" w:rsidR="003C1EF6" w:rsidRPr="009E6200" w:rsidRDefault="003C1EF6" w:rsidP="007B46F5">
      <w:pPr>
        <w:pStyle w:val="SDText"/>
        <w:ind w:left="709"/>
        <w:jc w:val="both"/>
      </w:pPr>
      <w:r w:rsidRPr="009E6200">
        <w:rPr>
          <w:i/>
        </w:rPr>
        <w:t>очень часто:</w:t>
      </w:r>
      <w:r w:rsidRPr="009E6200">
        <w:t xml:space="preserve"> ринит, одышка</w:t>
      </w:r>
      <w:r w:rsidR="00F80E69" w:rsidRPr="009E6200">
        <w:t>, носовое кровотечение, кашель;</w:t>
      </w:r>
    </w:p>
    <w:p w14:paraId="77EC6C49" w14:textId="77777777" w:rsidR="003C1EF6" w:rsidRPr="009E6200" w:rsidRDefault="003C1EF6" w:rsidP="007B46F5">
      <w:pPr>
        <w:pStyle w:val="SDText"/>
        <w:ind w:left="709"/>
        <w:jc w:val="both"/>
      </w:pPr>
      <w:r w:rsidRPr="009E6200">
        <w:rPr>
          <w:i/>
        </w:rPr>
        <w:t>часто:</w:t>
      </w:r>
      <w:r w:rsidRPr="009E6200">
        <w:t xml:space="preserve"> легочная тромбоэмболия, легочное кровотечение/кро</w:t>
      </w:r>
      <w:r w:rsidR="00F80E69" w:rsidRPr="009E6200">
        <w:t>вохарканье, дисфония, гипоксия;</w:t>
      </w:r>
    </w:p>
    <w:p w14:paraId="44033437" w14:textId="77777777" w:rsidR="003C1EF6" w:rsidRPr="009E6200" w:rsidRDefault="003C1EF6" w:rsidP="007B46F5">
      <w:pPr>
        <w:pStyle w:val="SDText"/>
        <w:ind w:left="709"/>
        <w:jc w:val="both"/>
      </w:pPr>
      <w:r w:rsidRPr="009E6200">
        <w:rPr>
          <w:i/>
        </w:rPr>
        <w:t>частота неизвестна:</w:t>
      </w:r>
      <w:r w:rsidRPr="009E6200">
        <w:t xml:space="preserve"> легочная гипертензия, </w:t>
      </w:r>
      <w:r w:rsidR="00F80E69" w:rsidRPr="009E6200">
        <w:t>перфорация носовой перегородки.</w:t>
      </w:r>
    </w:p>
    <w:p w14:paraId="49F6FA05" w14:textId="77777777" w:rsidR="003C1EF6" w:rsidRPr="009E6200" w:rsidRDefault="003C1EF6" w:rsidP="007B46F5">
      <w:pPr>
        <w:pStyle w:val="SDText"/>
        <w:ind w:left="709"/>
        <w:jc w:val="both"/>
        <w:rPr>
          <w:i/>
          <w:u w:val="single"/>
        </w:rPr>
      </w:pPr>
      <w:r w:rsidRPr="009E6200">
        <w:rPr>
          <w:i/>
          <w:u w:val="single"/>
        </w:rPr>
        <w:t>Со стороны кож</w:t>
      </w:r>
      <w:r w:rsidR="00F80E69" w:rsidRPr="009E6200">
        <w:rPr>
          <w:i/>
          <w:u w:val="single"/>
        </w:rPr>
        <w:t>и и подкожно-жировой клетчатки:</w:t>
      </w:r>
    </w:p>
    <w:p w14:paraId="22E27C11" w14:textId="77777777" w:rsidR="003C1EF6" w:rsidRPr="009E6200" w:rsidRDefault="003C1EF6" w:rsidP="007B46F5">
      <w:pPr>
        <w:pStyle w:val="SDText"/>
        <w:ind w:left="709"/>
        <w:jc w:val="both"/>
      </w:pPr>
      <w:r w:rsidRPr="009E6200">
        <w:rPr>
          <w:i/>
        </w:rPr>
        <w:t>очень часто:</w:t>
      </w:r>
      <w:r w:rsidRPr="009E6200">
        <w:t xml:space="preserve"> сухость кожи, эксфолиативный дерматит, нарушение заживления ран, изменение цвета кожи</w:t>
      </w:r>
      <w:r w:rsidR="00F80E69" w:rsidRPr="009E6200">
        <w:t>;</w:t>
      </w:r>
    </w:p>
    <w:p w14:paraId="65BE6161" w14:textId="77777777" w:rsidR="003C1EF6" w:rsidRPr="009E6200" w:rsidRDefault="003C1EF6" w:rsidP="007B46F5">
      <w:pPr>
        <w:pStyle w:val="SDText"/>
        <w:ind w:left="709"/>
        <w:jc w:val="both"/>
      </w:pPr>
      <w:r w:rsidRPr="009E6200">
        <w:rPr>
          <w:i/>
        </w:rPr>
        <w:t>часто:</w:t>
      </w:r>
      <w:r w:rsidR="00F80E69" w:rsidRPr="009E6200">
        <w:t xml:space="preserve"> ладонно-подошвенный синдром.</w:t>
      </w:r>
    </w:p>
    <w:p w14:paraId="53AAB1D6" w14:textId="77777777" w:rsidR="003C1EF6" w:rsidRPr="009E6200" w:rsidRDefault="00F80E69" w:rsidP="007B46F5">
      <w:pPr>
        <w:pStyle w:val="SDText"/>
        <w:ind w:left="709"/>
        <w:jc w:val="both"/>
        <w:rPr>
          <w:i/>
          <w:u w:val="single"/>
        </w:rPr>
      </w:pPr>
      <w:r w:rsidRPr="009E6200">
        <w:rPr>
          <w:i/>
          <w:u w:val="single"/>
        </w:rPr>
        <w:t>Со стороны нервной системы:</w:t>
      </w:r>
    </w:p>
    <w:p w14:paraId="56753249" w14:textId="77777777" w:rsidR="003C1EF6" w:rsidRPr="009E6200" w:rsidRDefault="003C1EF6" w:rsidP="007B46F5">
      <w:pPr>
        <w:pStyle w:val="SDText"/>
        <w:ind w:left="709"/>
        <w:jc w:val="both"/>
      </w:pPr>
      <w:r w:rsidRPr="009E6200">
        <w:rPr>
          <w:i/>
        </w:rPr>
        <w:t>очень часто:</w:t>
      </w:r>
      <w:r w:rsidRPr="009E6200">
        <w:t xml:space="preserve"> периферическая сенсорная нейропатия, извращение вкуса (дисгевзия), головная боль, дизартрия;</w:t>
      </w:r>
    </w:p>
    <w:p w14:paraId="691708A9" w14:textId="77777777" w:rsidR="003C1EF6" w:rsidRPr="009E6200" w:rsidRDefault="003C1EF6" w:rsidP="007B46F5">
      <w:pPr>
        <w:pStyle w:val="SDText"/>
        <w:ind w:left="709"/>
        <w:jc w:val="both"/>
      </w:pPr>
      <w:r w:rsidRPr="009E6200">
        <w:rPr>
          <w:i/>
        </w:rPr>
        <w:t>часто:</w:t>
      </w:r>
      <w:r w:rsidR="00F80E69" w:rsidRPr="009E6200">
        <w:t xml:space="preserve"> инсульт, синкопе, сонливость;</w:t>
      </w:r>
    </w:p>
    <w:p w14:paraId="33B43C0C" w14:textId="77777777" w:rsidR="003C1EF6" w:rsidRPr="009E6200" w:rsidRDefault="003C1EF6" w:rsidP="007B46F5">
      <w:pPr>
        <w:pStyle w:val="SDText"/>
        <w:ind w:left="709"/>
        <w:jc w:val="both"/>
      </w:pPr>
      <w:r w:rsidRPr="009E6200">
        <w:rPr>
          <w:i/>
        </w:rPr>
        <w:t>редко:</w:t>
      </w:r>
      <w:r w:rsidRPr="009E6200">
        <w:t xml:space="preserve"> </w:t>
      </w:r>
      <w:r w:rsidR="00075CD9" w:rsidRPr="009E6200">
        <w:t>СЗОЭ</w:t>
      </w:r>
      <w:r w:rsidR="00F80E69" w:rsidRPr="009E6200">
        <w:t>;</w:t>
      </w:r>
    </w:p>
    <w:p w14:paraId="24706D7B" w14:textId="77777777" w:rsidR="003C1EF6" w:rsidRPr="009E6200" w:rsidRDefault="003C1EF6" w:rsidP="007B46F5">
      <w:pPr>
        <w:pStyle w:val="SDText"/>
        <w:ind w:left="709"/>
        <w:jc w:val="both"/>
      </w:pPr>
      <w:r w:rsidRPr="009E6200">
        <w:rPr>
          <w:i/>
        </w:rPr>
        <w:t>очень редко:</w:t>
      </w:r>
      <w:r w:rsidR="00F80E69" w:rsidRPr="009E6200">
        <w:t xml:space="preserve"> гипертензивная энцефалопатия.</w:t>
      </w:r>
    </w:p>
    <w:p w14:paraId="0824C85A" w14:textId="77777777" w:rsidR="003C1EF6" w:rsidRPr="009E6200" w:rsidRDefault="00F80E69" w:rsidP="007B46F5">
      <w:pPr>
        <w:pStyle w:val="SDText"/>
        <w:ind w:left="709"/>
        <w:jc w:val="both"/>
        <w:rPr>
          <w:i/>
          <w:u w:val="single"/>
        </w:rPr>
      </w:pPr>
      <w:r w:rsidRPr="009E6200">
        <w:rPr>
          <w:i/>
          <w:u w:val="single"/>
        </w:rPr>
        <w:t>Со стороны органа зрения:</w:t>
      </w:r>
    </w:p>
    <w:p w14:paraId="0626CECF" w14:textId="77777777" w:rsidR="003C1EF6" w:rsidRPr="009E6200" w:rsidRDefault="003C1EF6" w:rsidP="007B46F5">
      <w:pPr>
        <w:pStyle w:val="SDText"/>
        <w:ind w:left="709"/>
        <w:jc w:val="both"/>
      </w:pPr>
      <w:r w:rsidRPr="009E6200">
        <w:rPr>
          <w:i/>
        </w:rPr>
        <w:t>очень часто:</w:t>
      </w:r>
      <w:r w:rsidRPr="009E6200">
        <w:t xml:space="preserve"> нарушение зрительной фу</w:t>
      </w:r>
      <w:r w:rsidR="00F80E69" w:rsidRPr="009E6200">
        <w:t>нкции, повышенное слезотечение.</w:t>
      </w:r>
    </w:p>
    <w:p w14:paraId="19D891D3" w14:textId="77777777" w:rsidR="003C1EF6" w:rsidRPr="009E6200" w:rsidRDefault="003C1EF6" w:rsidP="007B46F5">
      <w:pPr>
        <w:pStyle w:val="SDText"/>
        <w:ind w:left="709"/>
        <w:jc w:val="both"/>
        <w:rPr>
          <w:i/>
          <w:u w:val="single"/>
        </w:rPr>
      </w:pPr>
      <w:r w:rsidRPr="009E6200">
        <w:rPr>
          <w:i/>
          <w:u w:val="single"/>
        </w:rPr>
        <w:t>Со стороны скелетно-м</w:t>
      </w:r>
      <w:r w:rsidR="00F80E69" w:rsidRPr="009E6200">
        <w:rPr>
          <w:i/>
          <w:u w:val="single"/>
        </w:rPr>
        <w:t>ышечной и соединительной ткани:</w:t>
      </w:r>
    </w:p>
    <w:p w14:paraId="245F0F17" w14:textId="77777777" w:rsidR="003C1EF6" w:rsidRPr="009E6200" w:rsidRDefault="003C1EF6" w:rsidP="007B46F5">
      <w:pPr>
        <w:pStyle w:val="SDText"/>
        <w:ind w:left="709"/>
        <w:jc w:val="both"/>
      </w:pPr>
      <w:r w:rsidRPr="009E6200">
        <w:rPr>
          <w:i/>
        </w:rPr>
        <w:t>очень часто:</w:t>
      </w:r>
      <w:r w:rsidR="00F80E69" w:rsidRPr="009E6200">
        <w:t xml:space="preserve"> артралгия, миалгия;</w:t>
      </w:r>
    </w:p>
    <w:p w14:paraId="6DD2AB1C" w14:textId="77777777" w:rsidR="003C1EF6" w:rsidRPr="009E6200" w:rsidRDefault="003C1EF6" w:rsidP="007B46F5">
      <w:pPr>
        <w:pStyle w:val="SDText"/>
        <w:ind w:left="709"/>
        <w:jc w:val="both"/>
      </w:pPr>
      <w:r w:rsidRPr="009E6200">
        <w:rPr>
          <w:i/>
        </w:rPr>
        <w:t>часто:</w:t>
      </w:r>
      <w:r w:rsidRPr="009E6200">
        <w:t xml:space="preserve"> мышечная слабос</w:t>
      </w:r>
      <w:r w:rsidR="00F80E69" w:rsidRPr="009E6200">
        <w:t>ть, свищи, боль в спине;</w:t>
      </w:r>
    </w:p>
    <w:p w14:paraId="45FB557F" w14:textId="77777777" w:rsidR="003C1EF6" w:rsidRPr="009E6200" w:rsidRDefault="003C1EF6" w:rsidP="007B46F5">
      <w:pPr>
        <w:pStyle w:val="SDText"/>
        <w:ind w:left="709"/>
        <w:jc w:val="both"/>
      </w:pPr>
      <w:r w:rsidRPr="009E6200">
        <w:rPr>
          <w:i/>
        </w:rPr>
        <w:t>частота неизвестна:</w:t>
      </w:r>
      <w:r w:rsidRPr="009E6200">
        <w:t xml:space="preserve"> остеонекроз нижней челюст</w:t>
      </w:r>
      <w:r w:rsidR="00F80E69" w:rsidRPr="009E6200">
        <w:t>и, немандибулярный остеонекроз.</w:t>
      </w:r>
    </w:p>
    <w:p w14:paraId="560BBA95" w14:textId="77777777" w:rsidR="003C1EF6" w:rsidRPr="009E6200" w:rsidRDefault="003C1EF6" w:rsidP="007B46F5">
      <w:pPr>
        <w:pStyle w:val="SDText"/>
        <w:ind w:left="709"/>
        <w:jc w:val="both"/>
        <w:rPr>
          <w:i/>
          <w:u w:val="single"/>
        </w:rPr>
      </w:pPr>
      <w:r w:rsidRPr="009E6200">
        <w:rPr>
          <w:i/>
          <w:u w:val="single"/>
        </w:rPr>
        <w:t>Со сторо</w:t>
      </w:r>
      <w:r w:rsidR="00F80E69" w:rsidRPr="009E6200">
        <w:rPr>
          <w:i/>
          <w:u w:val="single"/>
        </w:rPr>
        <w:t>ны почек и мочевыводящих путей:</w:t>
      </w:r>
    </w:p>
    <w:p w14:paraId="1B01D0FB" w14:textId="77777777" w:rsidR="003C1EF6" w:rsidRPr="009E6200" w:rsidRDefault="003C1EF6" w:rsidP="007B46F5">
      <w:pPr>
        <w:pStyle w:val="SDText"/>
        <w:ind w:left="709"/>
        <w:jc w:val="both"/>
      </w:pPr>
      <w:r w:rsidRPr="009E6200">
        <w:rPr>
          <w:i/>
        </w:rPr>
        <w:t>очень часто:</w:t>
      </w:r>
      <w:r w:rsidR="00F80E69" w:rsidRPr="009E6200">
        <w:t xml:space="preserve"> протеинурия;</w:t>
      </w:r>
    </w:p>
    <w:p w14:paraId="2FBAE169" w14:textId="77777777" w:rsidR="003C1EF6" w:rsidRPr="009E6200" w:rsidRDefault="003C1EF6" w:rsidP="007B46F5">
      <w:pPr>
        <w:pStyle w:val="SDText"/>
        <w:ind w:left="709"/>
        <w:jc w:val="both"/>
        <w:rPr>
          <w:i/>
          <w:u w:val="single"/>
        </w:rPr>
      </w:pPr>
      <w:r w:rsidRPr="009E6200">
        <w:rPr>
          <w:i/>
          <w:u w:val="single"/>
        </w:rPr>
        <w:t>Со стороны половых органов и молочной железы:</w:t>
      </w:r>
    </w:p>
    <w:p w14:paraId="2F6643C6" w14:textId="77777777" w:rsidR="003C1EF6" w:rsidRPr="009E6200" w:rsidRDefault="003C1EF6" w:rsidP="007B46F5">
      <w:pPr>
        <w:pStyle w:val="SDText"/>
        <w:ind w:left="709"/>
        <w:jc w:val="both"/>
      </w:pPr>
      <w:r w:rsidRPr="009E6200">
        <w:rPr>
          <w:i/>
        </w:rPr>
        <w:t>очень часто:</w:t>
      </w:r>
      <w:r w:rsidRPr="009E6200">
        <w:t xml:space="preserve"> недостаточность функции яичников (аменорея продолжительностью 3 мес.</w:t>
      </w:r>
      <w:r w:rsidR="00661EE7" w:rsidRPr="009E6200">
        <w:t xml:space="preserve"> </w:t>
      </w:r>
      <w:r w:rsidRPr="009E6200">
        <w:t>и</w:t>
      </w:r>
      <w:r w:rsidR="00661EE7" w:rsidRPr="009E6200">
        <w:t xml:space="preserve"> </w:t>
      </w:r>
      <w:r w:rsidRPr="009E6200">
        <w:t>более</w:t>
      </w:r>
      <w:r w:rsidR="00661EE7" w:rsidRPr="009E6200">
        <w:t xml:space="preserve"> </w:t>
      </w:r>
      <w:r w:rsidRPr="009E6200">
        <w:t>(концентрация</w:t>
      </w:r>
      <w:r w:rsidR="00661EE7" w:rsidRPr="009E6200">
        <w:t xml:space="preserve"> </w:t>
      </w:r>
      <w:r w:rsidRPr="009E6200">
        <w:t>фолликулостимулирующего</w:t>
      </w:r>
      <w:r w:rsidR="00661EE7" w:rsidRPr="009E6200">
        <w:t xml:space="preserve"> </w:t>
      </w:r>
      <w:r w:rsidRPr="009E6200">
        <w:t>гормона</w:t>
      </w:r>
      <w:r w:rsidR="00661EE7" w:rsidRPr="009E6200">
        <w:t xml:space="preserve"> </w:t>
      </w:r>
      <w:r w:rsidRPr="009E6200">
        <w:t>(ФСГ) ≥</w:t>
      </w:r>
      <w:r w:rsidR="00E3496B" w:rsidRPr="009E6200">
        <w:t xml:space="preserve"> </w:t>
      </w:r>
      <w:r w:rsidRPr="009E6200">
        <w:t>30мМЕ/мл</w:t>
      </w:r>
      <w:r w:rsidR="00661EE7" w:rsidRPr="009E6200">
        <w:t xml:space="preserve"> </w:t>
      </w:r>
      <w:r w:rsidRPr="009E6200">
        <w:t>при</w:t>
      </w:r>
      <w:r w:rsidR="00661EE7" w:rsidRPr="009E6200">
        <w:t xml:space="preserve"> </w:t>
      </w:r>
      <w:r w:rsidRPr="009E6200">
        <w:t>отрицательном</w:t>
      </w:r>
      <w:r w:rsidR="00661EE7" w:rsidRPr="009E6200">
        <w:t xml:space="preserve"> </w:t>
      </w:r>
      <w:r w:rsidRPr="009E6200">
        <w:t>тесте</w:t>
      </w:r>
      <w:r w:rsidR="00661EE7" w:rsidRPr="009E6200">
        <w:t xml:space="preserve"> </w:t>
      </w:r>
      <w:r w:rsidRPr="009E6200">
        <w:t>на</w:t>
      </w:r>
      <w:r w:rsidR="00661EE7" w:rsidRPr="009E6200">
        <w:t xml:space="preserve"> </w:t>
      </w:r>
      <w:r w:rsidRPr="009E6200">
        <w:t>беременность</w:t>
      </w:r>
      <w:r w:rsidR="00661EE7" w:rsidRPr="009E6200">
        <w:t xml:space="preserve"> </w:t>
      </w:r>
      <w:r w:rsidRPr="009E6200">
        <w:t>с</w:t>
      </w:r>
      <w:r w:rsidR="00661EE7" w:rsidRPr="009E6200">
        <w:t xml:space="preserve"> </w:t>
      </w:r>
      <w:r w:rsidRPr="009E6200">
        <w:t>определением</w:t>
      </w:r>
      <w:r w:rsidR="00661EE7" w:rsidRPr="009E6200">
        <w:t xml:space="preserve"> </w:t>
      </w:r>
      <w:r w:rsidRPr="009E6200">
        <w:t>бета хорионического гонадотропина</w:t>
      </w:r>
      <w:r w:rsidR="00F80E69" w:rsidRPr="009E6200">
        <w:t xml:space="preserve"> человека (β-ХГЧ) в сыворотке);</w:t>
      </w:r>
    </w:p>
    <w:p w14:paraId="0142D97A" w14:textId="77777777" w:rsidR="003C1EF6" w:rsidRPr="009E6200" w:rsidRDefault="003C1EF6" w:rsidP="007B46F5">
      <w:pPr>
        <w:pStyle w:val="SDText"/>
        <w:ind w:left="709"/>
        <w:jc w:val="both"/>
      </w:pPr>
      <w:r w:rsidRPr="009E6200">
        <w:rPr>
          <w:i/>
        </w:rPr>
        <w:t>часто:</w:t>
      </w:r>
      <w:r w:rsidR="00F80E69" w:rsidRPr="009E6200">
        <w:t xml:space="preserve"> боль в тазу.</w:t>
      </w:r>
    </w:p>
    <w:p w14:paraId="7C9DC8ED" w14:textId="77777777" w:rsidR="003C1EF6" w:rsidRPr="009E6200" w:rsidRDefault="003C1EF6" w:rsidP="007B46F5">
      <w:pPr>
        <w:pStyle w:val="SDText"/>
        <w:ind w:left="709"/>
        <w:jc w:val="both"/>
        <w:rPr>
          <w:i/>
          <w:u w:val="single"/>
        </w:rPr>
      </w:pPr>
      <w:r w:rsidRPr="009E6200">
        <w:rPr>
          <w:i/>
          <w:u w:val="single"/>
        </w:rPr>
        <w:t>Инфекцион</w:t>
      </w:r>
      <w:r w:rsidR="00F80E69" w:rsidRPr="009E6200">
        <w:rPr>
          <w:i/>
          <w:u w:val="single"/>
        </w:rPr>
        <w:t>ные и паразитарные заболевания:</w:t>
      </w:r>
    </w:p>
    <w:p w14:paraId="4C32215C" w14:textId="77777777" w:rsidR="003C1EF6" w:rsidRPr="009E6200" w:rsidRDefault="003C1EF6" w:rsidP="007B46F5">
      <w:pPr>
        <w:pStyle w:val="SDText"/>
        <w:ind w:left="709"/>
        <w:jc w:val="both"/>
      </w:pPr>
      <w:r w:rsidRPr="009E6200">
        <w:rPr>
          <w:i/>
        </w:rPr>
        <w:t>часто:</w:t>
      </w:r>
      <w:r w:rsidRPr="009E6200">
        <w:t xml:space="preserve"> сепсис, абсцесс, целлюлит, инфекци</w:t>
      </w:r>
      <w:r w:rsidR="00F80E69" w:rsidRPr="009E6200">
        <w:t>и, инфекции мочевыводящих путей;</w:t>
      </w:r>
    </w:p>
    <w:p w14:paraId="3A36B624" w14:textId="77777777" w:rsidR="003C1EF6" w:rsidRPr="009E6200" w:rsidRDefault="003C1EF6" w:rsidP="007B46F5">
      <w:pPr>
        <w:pStyle w:val="SDText"/>
        <w:jc w:val="both"/>
      </w:pPr>
      <w:r w:rsidRPr="009E6200">
        <w:rPr>
          <w:i/>
        </w:rPr>
        <w:t>редко:</w:t>
      </w:r>
      <w:r w:rsidR="00F80E69" w:rsidRPr="009E6200">
        <w:t xml:space="preserve"> некротизирующий фасциит.</w:t>
      </w:r>
    </w:p>
    <w:p w14:paraId="5FF6563F" w14:textId="77777777" w:rsidR="003C1EF6" w:rsidRPr="009E6200" w:rsidRDefault="003C1EF6" w:rsidP="007B46F5">
      <w:pPr>
        <w:pStyle w:val="SDText"/>
        <w:jc w:val="both"/>
        <w:rPr>
          <w:i/>
          <w:u w:val="single"/>
        </w:rPr>
      </w:pPr>
      <w:r w:rsidRPr="009E6200">
        <w:rPr>
          <w:i/>
          <w:u w:val="single"/>
        </w:rPr>
        <w:t>Нарушения со стороны иммунной системы:</w:t>
      </w:r>
    </w:p>
    <w:p w14:paraId="0857A08F" w14:textId="77777777" w:rsidR="003C1EF6" w:rsidRPr="009E6200" w:rsidRDefault="003C1EF6" w:rsidP="007B46F5">
      <w:pPr>
        <w:pStyle w:val="SDText"/>
        <w:jc w:val="both"/>
      </w:pPr>
      <w:r w:rsidRPr="009E6200">
        <w:rPr>
          <w:i/>
        </w:rPr>
        <w:t>часто:</w:t>
      </w:r>
      <w:r w:rsidRPr="009E6200">
        <w:t xml:space="preserve"> гиперчувствительность,</w:t>
      </w:r>
      <w:r w:rsidR="00F80E69" w:rsidRPr="009E6200">
        <w:t xml:space="preserve"> реакции на введение препарата.</w:t>
      </w:r>
    </w:p>
    <w:p w14:paraId="24B7301E" w14:textId="77777777" w:rsidR="003C1EF6" w:rsidRPr="009E6200" w:rsidRDefault="003C1EF6" w:rsidP="007B46F5">
      <w:pPr>
        <w:pStyle w:val="SDText"/>
        <w:jc w:val="both"/>
        <w:rPr>
          <w:i/>
          <w:u w:val="single"/>
        </w:rPr>
      </w:pPr>
      <w:r w:rsidRPr="009E6200">
        <w:rPr>
          <w:i/>
          <w:u w:val="single"/>
        </w:rPr>
        <w:t>Нарушения со ст</w:t>
      </w:r>
      <w:r w:rsidR="00F80E69" w:rsidRPr="009E6200">
        <w:rPr>
          <w:i/>
          <w:u w:val="single"/>
        </w:rPr>
        <w:t>ороны обмена веществ и питания:</w:t>
      </w:r>
    </w:p>
    <w:p w14:paraId="22BDC225" w14:textId="77777777" w:rsidR="003C1EF6" w:rsidRPr="009E6200" w:rsidRDefault="003C1EF6" w:rsidP="007B46F5">
      <w:pPr>
        <w:pStyle w:val="SDText"/>
        <w:jc w:val="both"/>
      </w:pPr>
      <w:r w:rsidRPr="009E6200">
        <w:rPr>
          <w:i/>
        </w:rPr>
        <w:t>очень часто:</w:t>
      </w:r>
      <w:r w:rsidRPr="009E6200">
        <w:t xml:space="preserve"> анорексия</w:t>
      </w:r>
      <w:r w:rsidR="00F80E69" w:rsidRPr="009E6200">
        <w:t>, гипомагниемия, гипонатриемия;</w:t>
      </w:r>
    </w:p>
    <w:p w14:paraId="64CDD7B6" w14:textId="77777777" w:rsidR="003C1EF6" w:rsidRPr="009E6200" w:rsidRDefault="003C1EF6" w:rsidP="007B46F5">
      <w:pPr>
        <w:pStyle w:val="SDText"/>
        <w:jc w:val="both"/>
      </w:pPr>
      <w:r w:rsidRPr="009E6200">
        <w:rPr>
          <w:i/>
        </w:rPr>
        <w:t>часто:</w:t>
      </w:r>
      <w:r w:rsidR="00F80E69" w:rsidRPr="009E6200">
        <w:t xml:space="preserve"> дегидратация.</w:t>
      </w:r>
    </w:p>
    <w:p w14:paraId="47D94BE4" w14:textId="77777777" w:rsidR="003C1EF6" w:rsidRPr="009E6200" w:rsidRDefault="003C1EF6" w:rsidP="007B46F5">
      <w:pPr>
        <w:pStyle w:val="SDText"/>
        <w:jc w:val="both"/>
        <w:rPr>
          <w:i/>
          <w:u w:val="single"/>
        </w:rPr>
      </w:pPr>
      <w:r w:rsidRPr="009E6200">
        <w:rPr>
          <w:i/>
          <w:u w:val="single"/>
        </w:rPr>
        <w:t>Нарушения со стороны</w:t>
      </w:r>
      <w:r w:rsidR="00F80E69" w:rsidRPr="009E6200">
        <w:rPr>
          <w:i/>
          <w:u w:val="single"/>
        </w:rPr>
        <w:t xml:space="preserve"> печени и желчевыводящих путей:</w:t>
      </w:r>
    </w:p>
    <w:p w14:paraId="76413D72" w14:textId="77777777" w:rsidR="003C1EF6" w:rsidRPr="009E6200" w:rsidRDefault="003C1EF6" w:rsidP="007B46F5">
      <w:pPr>
        <w:pStyle w:val="SDText"/>
        <w:jc w:val="both"/>
      </w:pPr>
      <w:r w:rsidRPr="009E6200">
        <w:rPr>
          <w:i/>
        </w:rPr>
        <w:t>частота неизвестна:</w:t>
      </w:r>
      <w:r w:rsidR="00F80E69" w:rsidRPr="009E6200">
        <w:t xml:space="preserve"> перфорация желчного пузыря.</w:t>
      </w:r>
    </w:p>
    <w:p w14:paraId="3FDF3387" w14:textId="77777777" w:rsidR="003C1EF6" w:rsidRPr="009E6200" w:rsidRDefault="003C1EF6" w:rsidP="007B46F5">
      <w:pPr>
        <w:pStyle w:val="SDText"/>
        <w:jc w:val="both"/>
        <w:rPr>
          <w:i/>
          <w:u w:val="single"/>
        </w:rPr>
      </w:pPr>
      <w:r w:rsidRPr="009E6200">
        <w:rPr>
          <w:i/>
          <w:u w:val="single"/>
        </w:rPr>
        <w:t>Врожденные, наследственные и генети</w:t>
      </w:r>
      <w:r w:rsidR="00F80E69" w:rsidRPr="009E6200">
        <w:rPr>
          <w:i/>
          <w:u w:val="single"/>
        </w:rPr>
        <w:t>ческие нарушения:</w:t>
      </w:r>
    </w:p>
    <w:p w14:paraId="70C89848" w14:textId="77777777" w:rsidR="003C1EF6" w:rsidRPr="009E6200" w:rsidRDefault="003C1EF6" w:rsidP="007B46F5">
      <w:pPr>
        <w:pStyle w:val="SDText"/>
        <w:jc w:val="both"/>
      </w:pPr>
      <w:r w:rsidRPr="009E6200">
        <w:rPr>
          <w:i/>
        </w:rPr>
        <w:t>частота неизвестна:</w:t>
      </w:r>
      <w:r w:rsidR="00F80E69" w:rsidRPr="009E6200">
        <w:t xml:space="preserve"> нарушения развития плода.</w:t>
      </w:r>
    </w:p>
    <w:p w14:paraId="5A8704FB" w14:textId="77777777" w:rsidR="003C1EF6" w:rsidRPr="009E6200" w:rsidRDefault="003C1EF6" w:rsidP="007B46F5">
      <w:pPr>
        <w:pStyle w:val="SDText"/>
        <w:jc w:val="both"/>
        <w:rPr>
          <w:i/>
          <w:u w:val="single"/>
        </w:rPr>
      </w:pPr>
      <w:r w:rsidRPr="009E6200">
        <w:rPr>
          <w:i/>
          <w:u w:val="single"/>
        </w:rPr>
        <w:t>Общие расстройств</w:t>
      </w:r>
      <w:r w:rsidR="00F80E69" w:rsidRPr="009E6200">
        <w:rPr>
          <w:i/>
          <w:u w:val="single"/>
        </w:rPr>
        <w:t>а и нарушения в месте введения:</w:t>
      </w:r>
    </w:p>
    <w:p w14:paraId="08D6F0B9" w14:textId="77777777" w:rsidR="003C1EF6" w:rsidRPr="009E6200" w:rsidRDefault="003C1EF6" w:rsidP="007B46F5">
      <w:pPr>
        <w:pStyle w:val="SDText"/>
        <w:jc w:val="both"/>
      </w:pPr>
      <w:r w:rsidRPr="009E6200">
        <w:rPr>
          <w:i/>
        </w:rPr>
        <w:t>очень часто:</w:t>
      </w:r>
      <w:r w:rsidR="00661EE7" w:rsidRPr="009E6200">
        <w:t xml:space="preserve"> </w:t>
      </w:r>
      <w:r w:rsidRPr="009E6200">
        <w:t>астения, общее недомогание, повышение температуры,</w:t>
      </w:r>
      <w:r w:rsidR="00661EE7" w:rsidRPr="009E6200">
        <w:t xml:space="preserve"> </w:t>
      </w:r>
      <w:r w:rsidRPr="009E6200">
        <w:t>боль в месте введения п</w:t>
      </w:r>
      <w:r w:rsidR="00F80E69" w:rsidRPr="009E6200">
        <w:t>репарата, воспаление слизистой;</w:t>
      </w:r>
    </w:p>
    <w:p w14:paraId="38DD8D06" w14:textId="77777777" w:rsidR="003C1EF6" w:rsidRPr="009E6200" w:rsidRDefault="003C1EF6" w:rsidP="007B46F5">
      <w:pPr>
        <w:pStyle w:val="SDText"/>
        <w:jc w:val="both"/>
      </w:pPr>
      <w:r w:rsidRPr="009E6200">
        <w:rPr>
          <w:i/>
        </w:rPr>
        <w:t>часто:</w:t>
      </w:r>
      <w:r w:rsidR="00F80E69" w:rsidRPr="009E6200">
        <w:t xml:space="preserve"> летаргия.</w:t>
      </w:r>
    </w:p>
    <w:p w14:paraId="2677F247" w14:textId="77777777" w:rsidR="003C1EF6" w:rsidRPr="009E6200" w:rsidRDefault="003C1EF6" w:rsidP="007B46F5">
      <w:pPr>
        <w:pStyle w:val="SDText"/>
        <w:jc w:val="both"/>
        <w:rPr>
          <w:i/>
          <w:u w:val="single"/>
        </w:rPr>
      </w:pPr>
      <w:r w:rsidRPr="009E6200">
        <w:rPr>
          <w:i/>
          <w:u w:val="single"/>
        </w:rPr>
        <w:t>Лаборато</w:t>
      </w:r>
      <w:r w:rsidR="00F80E69" w:rsidRPr="009E6200">
        <w:rPr>
          <w:i/>
          <w:u w:val="single"/>
        </w:rPr>
        <w:t>рные и инструментальные данные:</w:t>
      </w:r>
    </w:p>
    <w:p w14:paraId="62965220" w14:textId="77777777" w:rsidR="003C1EF6" w:rsidRPr="009E6200" w:rsidRDefault="003C1EF6" w:rsidP="007B46F5">
      <w:pPr>
        <w:pStyle w:val="SDText"/>
        <w:jc w:val="both"/>
      </w:pPr>
      <w:r w:rsidRPr="009E6200">
        <w:rPr>
          <w:i/>
        </w:rPr>
        <w:t>Очень часто:</w:t>
      </w:r>
      <w:r w:rsidR="00F80E69" w:rsidRPr="009E6200">
        <w:t xml:space="preserve"> снижение веса.</w:t>
      </w:r>
    </w:p>
    <w:p w14:paraId="3BD988A4" w14:textId="77777777" w:rsidR="003C1EF6" w:rsidRPr="009E6200" w:rsidRDefault="003C1EF6" w:rsidP="007B46F5">
      <w:pPr>
        <w:pStyle w:val="SDText"/>
        <w:jc w:val="both"/>
        <w:rPr>
          <w:i/>
          <w:u w:val="single"/>
        </w:rPr>
      </w:pPr>
      <w:r w:rsidRPr="009E6200">
        <w:rPr>
          <w:i/>
          <w:u w:val="single"/>
        </w:rPr>
        <w:t>Нарушения</w:t>
      </w:r>
      <w:r w:rsidR="00661EE7" w:rsidRPr="009E6200">
        <w:rPr>
          <w:i/>
          <w:u w:val="single"/>
        </w:rPr>
        <w:t xml:space="preserve"> </w:t>
      </w:r>
      <w:r w:rsidRPr="009E6200">
        <w:rPr>
          <w:i/>
          <w:u w:val="single"/>
        </w:rPr>
        <w:t>со</w:t>
      </w:r>
      <w:r w:rsidR="00661EE7" w:rsidRPr="009E6200">
        <w:rPr>
          <w:i/>
          <w:u w:val="single"/>
        </w:rPr>
        <w:t xml:space="preserve"> </w:t>
      </w:r>
      <w:r w:rsidRPr="009E6200">
        <w:rPr>
          <w:i/>
          <w:u w:val="single"/>
        </w:rPr>
        <w:t>стороны</w:t>
      </w:r>
      <w:r w:rsidR="00661EE7" w:rsidRPr="009E6200">
        <w:rPr>
          <w:i/>
          <w:u w:val="single"/>
        </w:rPr>
        <w:t xml:space="preserve"> </w:t>
      </w:r>
      <w:r w:rsidRPr="009E6200">
        <w:rPr>
          <w:i/>
          <w:u w:val="single"/>
        </w:rPr>
        <w:t>лабораторных</w:t>
      </w:r>
      <w:r w:rsidR="00661EE7" w:rsidRPr="009E6200">
        <w:rPr>
          <w:i/>
          <w:u w:val="single"/>
        </w:rPr>
        <w:t xml:space="preserve"> </w:t>
      </w:r>
      <w:r w:rsidRPr="009E6200">
        <w:rPr>
          <w:i/>
          <w:u w:val="single"/>
        </w:rPr>
        <w:t>показателей</w:t>
      </w:r>
      <w:r w:rsidR="00661EE7" w:rsidRPr="009E6200">
        <w:rPr>
          <w:i/>
          <w:u w:val="single"/>
        </w:rPr>
        <w:t xml:space="preserve"> </w:t>
      </w:r>
      <w:r w:rsidRPr="009E6200">
        <w:rPr>
          <w:i/>
          <w:u w:val="single"/>
        </w:rPr>
        <w:t>3</w:t>
      </w:r>
      <w:r w:rsidR="00661EE7" w:rsidRPr="009E6200">
        <w:rPr>
          <w:i/>
          <w:u w:val="single"/>
        </w:rPr>
        <w:t xml:space="preserve"> </w:t>
      </w:r>
      <w:r w:rsidRPr="009E6200">
        <w:rPr>
          <w:i/>
          <w:u w:val="single"/>
        </w:rPr>
        <w:t>и</w:t>
      </w:r>
      <w:r w:rsidR="00661EE7" w:rsidRPr="009E6200">
        <w:rPr>
          <w:i/>
          <w:u w:val="single"/>
        </w:rPr>
        <w:t xml:space="preserve"> </w:t>
      </w:r>
      <w:r w:rsidRPr="009E6200">
        <w:rPr>
          <w:i/>
          <w:u w:val="single"/>
        </w:rPr>
        <w:t>4</w:t>
      </w:r>
      <w:r w:rsidR="00661EE7" w:rsidRPr="009E6200">
        <w:rPr>
          <w:i/>
          <w:u w:val="single"/>
        </w:rPr>
        <w:t xml:space="preserve"> </w:t>
      </w:r>
      <w:r w:rsidRPr="009E6200">
        <w:rPr>
          <w:i/>
          <w:u w:val="single"/>
        </w:rPr>
        <w:t>степени</w:t>
      </w:r>
      <w:r w:rsidR="00661EE7" w:rsidRPr="009E6200">
        <w:rPr>
          <w:i/>
          <w:u w:val="single"/>
        </w:rPr>
        <w:t xml:space="preserve"> </w:t>
      </w:r>
      <w:r w:rsidRPr="009E6200">
        <w:rPr>
          <w:i/>
          <w:u w:val="single"/>
        </w:rPr>
        <w:t>тяжести, наблюдавшиеся</w:t>
      </w:r>
      <w:r w:rsidR="00661EE7" w:rsidRPr="009E6200">
        <w:rPr>
          <w:i/>
          <w:u w:val="single"/>
        </w:rPr>
        <w:t xml:space="preserve"> </w:t>
      </w:r>
      <w:r w:rsidRPr="009E6200">
        <w:rPr>
          <w:i/>
          <w:u w:val="single"/>
        </w:rPr>
        <w:t>у</w:t>
      </w:r>
      <w:r w:rsidR="00661EE7" w:rsidRPr="009E6200">
        <w:rPr>
          <w:i/>
          <w:u w:val="single"/>
        </w:rPr>
        <w:t xml:space="preserve"> </w:t>
      </w:r>
      <w:r w:rsidRPr="009E6200">
        <w:rPr>
          <w:i/>
          <w:u w:val="single"/>
        </w:rPr>
        <w:t>пациентов,</w:t>
      </w:r>
      <w:r w:rsidR="00661EE7" w:rsidRPr="009E6200">
        <w:rPr>
          <w:i/>
          <w:u w:val="single"/>
        </w:rPr>
        <w:t xml:space="preserve"> </w:t>
      </w:r>
      <w:r w:rsidRPr="009E6200">
        <w:rPr>
          <w:i/>
          <w:u w:val="single"/>
        </w:rPr>
        <w:t>получавших</w:t>
      </w:r>
      <w:r w:rsidR="00661EE7" w:rsidRPr="009E6200">
        <w:rPr>
          <w:i/>
          <w:u w:val="single"/>
        </w:rPr>
        <w:t xml:space="preserve"> </w:t>
      </w:r>
      <w:r w:rsidRPr="009E6200">
        <w:rPr>
          <w:i/>
          <w:u w:val="single"/>
        </w:rPr>
        <w:t>Авастин</w:t>
      </w:r>
      <w:r w:rsidR="00121FA5" w:rsidRPr="009E6200">
        <w:rPr>
          <w:i/>
          <w:u w:val="single"/>
          <w:vertAlign w:val="superscript"/>
        </w:rPr>
        <w:t>®</w:t>
      </w:r>
      <w:r w:rsidR="00661EE7" w:rsidRPr="009E6200">
        <w:rPr>
          <w:i/>
          <w:u w:val="single"/>
        </w:rPr>
        <w:t xml:space="preserve"> </w:t>
      </w:r>
      <w:r w:rsidRPr="009E6200">
        <w:rPr>
          <w:i/>
          <w:u w:val="single"/>
        </w:rPr>
        <w:t>на</w:t>
      </w:r>
      <w:r w:rsidR="00661EE7" w:rsidRPr="009E6200">
        <w:rPr>
          <w:i/>
          <w:u w:val="single"/>
        </w:rPr>
        <w:t xml:space="preserve"> </w:t>
      </w:r>
      <w:r w:rsidRPr="009E6200">
        <w:rPr>
          <w:i/>
          <w:u w:val="single"/>
        </w:rPr>
        <w:t>фоне</w:t>
      </w:r>
      <w:r w:rsidR="00661EE7" w:rsidRPr="009E6200">
        <w:rPr>
          <w:i/>
          <w:u w:val="single"/>
        </w:rPr>
        <w:t xml:space="preserve"> </w:t>
      </w:r>
      <w:r w:rsidRPr="009E6200">
        <w:rPr>
          <w:i/>
          <w:u w:val="single"/>
        </w:rPr>
        <w:t>или</w:t>
      </w:r>
      <w:r w:rsidR="00661EE7" w:rsidRPr="009E6200">
        <w:rPr>
          <w:i/>
          <w:u w:val="single"/>
        </w:rPr>
        <w:t xml:space="preserve"> </w:t>
      </w:r>
      <w:r w:rsidR="00F80E69" w:rsidRPr="009E6200">
        <w:rPr>
          <w:i/>
          <w:u w:val="single"/>
        </w:rPr>
        <w:t>без химиотерапии:</w:t>
      </w:r>
    </w:p>
    <w:p w14:paraId="235BCE73" w14:textId="77777777" w:rsidR="003C1EF6" w:rsidRPr="009E6200" w:rsidRDefault="003C1EF6" w:rsidP="007B46F5">
      <w:pPr>
        <w:pStyle w:val="SDText"/>
        <w:jc w:val="both"/>
      </w:pPr>
      <w:r w:rsidRPr="009E6200">
        <w:t>гипергликемия,</w:t>
      </w:r>
      <w:r w:rsidR="00661EE7" w:rsidRPr="009E6200">
        <w:t xml:space="preserve"> </w:t>
      </w:r>
      <w:r w:rsidRPr="009E6200">
        <w:t>снижение</w:t>
      </w:r>
      <w:r w:rsidR="00661EE7" w:rsidRPr="009E6200">
        <w:t xml:space="preserve"> </w:t>
      </w:r>
      <w:r w:rsidRPr="009E6200">
        <w:t>уровня</w:t>
      </w:r>
      <w:r w:rsidR="00661EE7" w:rsidRPr="009E6200">
        <w:t xml:space="preserve"> </w:t>
      </w:r>
      <w:r w:rsidRPr="009E6200">
        <w:t>гемоглобина,</w:t>
      </w:r>
      <w:r w:rsidR="00661EE7" w:rsidRPr="009E6200">
        <w:t xml:space="preserve"> </w:t>
      </w:r>
      <w:r w:rsidRPr="009E6200">
        <w:t>гипокалиемия,</w:t>
      </w:r>
      <w:r w:rsidR="00661EE7" w:rsidRPr="009E6200">
        <w:t xml:space="preserve"> </w:t>
      </w:r>
      <w:r w:rsidRPr="009E6200">
        <w:t>гипонатриемия, лейкопения,</w:t>
      </w:r>
      <w:r w:rsidR="00661EE7" w:rsidRPr="009E6200">
        <w:t xml:space="preserve"> </w:t>
      </w:r>
      <w:r w:rsidRPr="009E6200">
        <w:t>нейтропения,</w:t>
      </w:r>
      <w:r w:rsidR="00661EE7" w:rsidRPr="009E6200">
        <w:t xml:space="preserve"> </w:t>
      </w:r>
      <w:r w:rsidRPr="009E6200">
        <w:t>тромбоцитопения,</w:t>
      </w:r>
      <w:r w:rsidR="00661EE7" w:rsidRPr="009E6200">
        <w:t xml:space="preserve"> </w:t>
      </w:r>
      <w:r w:rsidRPr="009E6200">
        <w:t>протеинурия,</w:t>
      </w:r>
      <w:r w:rsidR="00661EE7" w:rsidRPr="009E6200">
        <w:t xml:space="preserve"> </w:t>
      </w:r>
      <w:r w:rsidRPr="009E6200">
        <w:t>увел</w:t>
      </w:r>
      <w:r w:rsidR="00F80E69" w:rsidRPr="009E6200">
        <w:t>ичение протромбинового времени.</w:t>
      </w:r>
    </w:p>
    <w:p w14:paraId="545054E9" w14:textId="77777777" w:rsidR="00577BCF" w:rsidRDefault="00577BCF" w:rsidP="007B46F5">
      <w:pPr>
        <w:pStyle w:val="SDText"/>
        <w:jc w:val="both"/>
        <w:rPr>
          <w:b/>
          <w:i/>
        </w:rPr>
      </w:pPr>
    </w:p>
    <w:p w14:paraId="140BE793" w14:textId="58807D36" w:rsidR="003C1EF6" w:rsidRPr="009E6200" w:rsidRDefault="003C1EF6" w:rsidP="007B46F5">
      <w:pPr>
        <w:pStyle w:val="SDText"/>
        <w:jc w:val="both"/>
        <w:rPr>
          <w:b/>
          <w:i/>
        </w:rPr>
      </w:pPr>
      <w:r w:rsidRPr="009E6200">
        <w:rPr>
          <w:b/>
          <w:i/>
        </w:rPr>
        <w:t>Побочные</w:t>
      </w:r>
      <w:r w:rsidR="00661EE7" w:rsidRPr="009E6200">
        <w:rPr>
          <w:b/>
          <w:i/>
        </w:rPr>
        <w:t xml:space="preserve"> </w:t>
      </w:r>
      <w:r w:rsidRPr="009E6200">
        <w:rPr>
          <w:b/>
          <w:i/>
        </w:rPr>
        <w:t>эффекты,</w:t>
      </w:r>
      <w:r w:rsidR="00661EE7" w:rsidRPr="009E6200">
        <w:rPr>
          <w:b/>
          <w:i/>
        </w:rPr>
        <w:t xml:space="preserve"> </w:t>
      </w:r>
      <w:r w:rsidRPr="009E6200">
        <w:rPr>
          <w:b/>
          <w:i/>
        </w:rPr>
        <w:t>отмеченные</w:t>
      </w:r>
      <w:r w:rsidR="00661EE7" w:rsidRPr="009E6200">
        <w:rPr>
          <w:b/>
          <w:i/>
        </w:rPr>
        <w:t xml:space="preserve"> </w:t>
      </w:r>
      <w:r w:rsidRPr="009E6200">
        <w:rPr>
          <w:b/>
          <w:i/>
        </w:rPr>
        <w:t>в</w:t>
      </w:r>
      <w:r w:rsidR="00661EE7" w:rsidRPr="009E6200">
        <w:rPr>
          <w:b/>
          <w:i/>
        </w:rPr>
        <w:t xml:space="preserve"> </w:t>
      </w:r>
      <w:r w:rsidRPr="009E6200">
        <w:rPr>
          <w:b/>
          <w:i/>
        </w:rPr>
        <w:t>постмаркетинговых</w:t>
      </w:r>
      <w:r w:rsidR="00661EE7" w:rsidRPr="009E6200">
        <w:rPr>
          <w:b/>
          <w:i/>
        </w:rPr>
        <w:t xml:space="preserve"> </w:t>
      </w:r>
      <w:r w:rsidRPr="009E6200">
        <w:rPr>
          <w:b/>
          <w:i/>
        </w:rPr>
        <w:t>наблюдениях</w:t>
      </w:r>
      <w:r w:rsidR="00661EE7" w:rsidRPr="009E6200">
        <w:rPr>
          <w:b/>
          <w:i/>
        </w:rPr>
        <w:t xml:space="preserve"> </w:t>
      </w:r>
      <w:r w:rsidRPr="009E6200">
        <w:rPr>
          <w:b/>
          <w:i/>
        </w:rPr>
        <w:t>с применением оригинального препарата Авастин</w:t>
      </w:r>
      <w:r w:rsidR="00121FA5" w:rsidRPr="009E6200">
        <w:rPr>
          <w:b/>
          <w:i/>
          <w:vertAlign w:val="superscript"/>
        </w:rPr>
        <w:t>®</w:t>
      </w:r>
    </w:p>
    <w:p w14:paraId="414766D9" w14:textId="77777777" w:rsidR="00577BCF" w:rsidRDefault="00577BCF" w:rsidP="007B46F5">
      <w:pPr>
        <w:pStyle w:val="SDText"/>
        <w:jc w:val="both"/>
        <w:rPr>
          <w:i/>
          <w:u w:val="single"/>
        </w:rPr>
      </w:pPr>
    </w:p>
    <w:p w14:paraId="27BFA50E" w14:textId="1470AA71" w:rsidR="003C1EF6" w:rsidRPr="009E6200" w:rsidRDefault="003C1EF6" w:rsidP="007B46F5">
      <w:pPr>
        <w:pStyle w:val="SDText"/>
        <w:jc w:val="both"/>
        <w:rPr>
          <w:i/>
          <w:u w:val="single"/>
        </w:rPr>
      </w:pPr>
      <w:r w:rsidRPr="009E6200">
        <w:rPr>
          <w:i/>
          <w:u w:val="single"/>
        </w:rPr>
        <w:t>Общие расстройства:</w:t>
      </w:r>
    </w:p>
    <w:p w14:paraId="7E2BDBD4" w14:textId="77777777" w:rsidR="003C1EF6" w:rsidRPr="009E6200" w:rsidRDefault="003C1EF6" w:rsidP="007B46F5">
      <w:pPr>
        <w:pStyle w:val="SDText"/>
        <w:jc w:val="both"/>
      </w:pPr>
      <w:r w:rsidRPr="009E6200">
        <w:t>поли</w:t>
      </w:r>
      <w:r w:rsidR="00F80E69" w:rsidRPr="009E6200">
        <w:t>серозит.</w:t>
      </w:r>
    </w:p>
    <w:p w14:paraId="739D5ABC" w14:textId="77777777" w:rsidR="003C1EF6" w:rsidRPr="009E6200" w:rsidRDefault="00F80E69" w:rsidP="007B46F5">
      <w:pPr>
        <w:pStyle w:val="SDText"/>
        <w:jc w:val="both"/>
        <w:rPr>
          <w:i/>
          <w:u w:val="single"/>
        </w:rPr>
      </w:pPr>
      <w:r w:rsidRPr="009E6200">
        <w:rPr>
          <w:i/>
          <w:u w:val="single"/>
        </w:rPr>
        <w:t>Co стороны нервной системы:</w:t>
      </w:r>
    </w:p>
    <w:p w14:paraId="76AECEE9" w14:textId="77777777" w:rsidR="003C1EF6" w:rsidRPr="009E6200" w:rsidRDefault="003C1EF6" w:rsidP="007B46F5">
      <w:pPr>
        <w:pStyle w:val="SDText"/>
        <w:jc w:val="both"/>
      </w:pPr>
      <w:r w:rsidRPr="009E6200">
        <w:rPr>
          <w:i/>
        </w:rPr>
        <w:t>очень</w:t>
      </w:r>
      <w:r w:rsidR="00661EE7" w:rsidRPr="009E6200">
        <w:rPr>
          <w:i/>
        </w:rPr>
        <w:t xml:space="preserve"> </w:t>
      </w:r>
      <w:r w:rsidRPr="009E6200">
        <w:rPr>
          <w:i/>
        </w:rPr>
        <w:t>редко:</w:t>
      </w:r>
      <w:r w:rsidR="00661EE7" w:rsidRPr="009E6200">
        <w:t xml:space="preserve"> </w:t>
      </w:r>
      <w:r w:rsidRPr="009E6200">
        <w:t>гипертензивная</w:t>
      </w:r>
      <w:r w:rsidR="00661EE7" w:rsidRPr="009E6200">
        <w:t xml:space="preserve"> </w:t>
      </w:r>
      <w:r w:rsidRPr="009E6200">
        <w:t>энцефалопатия,</w:t>
      </w:r>
      <w:r w:rsidR="00661EE7" w:rsidRPr="009E6200">
        <w:t xml:space="preserve"> </w:t>
      </w:r>
      <w:r w:rsidRPr="009E6200">
        <w:t>в</w:t>
      </w:r>
      <w:r w:rsidR="00661EE7" w:rsidRPr="009E6200">
        <w:t xml:space="preserve"> </w:t>
      </w:r>
      <w:r w:rsidRPr="009E6200">
        <w:t>некоторых</w:t>
      </w:r>
      <w:r w:rsidR="00661EE7" w:rsidRPr="009E6200">
        <w:t xml:space="preserve"> </w:t>
      </w:r>
      <w:r w:rsidRPr="009E6200">
        <w:t>случаях</w:t>
      </w:r>
      <w:r w:rsidR="00661EE7" w:rsidRPr="009E6200">
        <w:t xml:space="preserve"> </w:t>
      </w:r>
      <w:r w:rsidRPr="009E6200">
        <w:t>с</w:t>
      </w:r>
      <w:r w:rsidR="00661EE7" w:rsidRPr="009E6200">
        <w:t xml:space="preserve"> </w:t>
      </w:r>
      <w:r w:rsidR="00F80E69" w:rsidRPr="009E6200">
        <w:t>летальным исходом;</w:t>
      </w:r>
    </w:p>
    <w:p w14:paraId="2B44C126" w14:textId="77777777" w:rsidR="003C1EF6" w:rsidRPr="009E6200" w:rsidRDefault="003C1EF6" w:rsidP="007B46F5">
      <w:pPr>
        <w:pStyle w:val="SDText"/>
        <w:jc w:val="both"/>
      </w:pPr>
      <w:r w:rsidRPr="009E6200">
        <w:rPr>
          <w:i/>
        </w:rPr>
        <w:t>редко:</w:t>
      </w:r>
      <w:r w:rsidR="00661EE7" w:rsidRPr="009E6200">
        <w:t xml:space="preserve"> </w:t>
      </w:r>
      <w:r w:rsidRPr="009E6200">
        <w:t>синдром</w:t>
      </w:r>
      <w:r w:rsidR="00661EE7" w:rsidRPr="009E6200">
        <w:t xml:space="preserve"> </w:t>
      </w:r>
      <w:r w:rsidRPr="009E6200">
        <w:t>обратимой</w:t>
      </w:r>
      <w:r w:rsidR="00661EE7" w:rsidRPr="009E6200">
        <w:t xml:space="preserve"> </w:t>
      </w:r>
      <w:r w:rsidRPr="009E6200">
        <w:t>задней</w:t>
      </w:r>
      <w:r w:rsidR="00661EE7" w:rsidRPr="009E6200">
        <w:t xml:space="preserve"> </w:t>
      </w:r>
      <w:r w:rsidRPr="009E6200">
        <w:t>лейкоэнцефалопатии,</w:t>
      </w:r>
      <w:r w:rsidR="00661EE7" w:rsidRPr="009E6200">
        <w:t xml:space="preserve"> </w:t>
      </w:r>
      <w:r w:rsidRPr="009E6200">
        <w:t>включающий эпилептический</w:t>
      </w:r>
      <w:r w:rsidR="00661EE7" w:rsidRPr="009E6200">
        <w:t xml:space="preserve"> </w:t>
      </w:r>
      <w:r w:rsidRPr="009E6200">
        <w:t>припадок,</w:t>
      </w:r>
      <w:r w:rsidR="00661EE7" w:rsidRPr="009E6200">
        <w:t xml:space="preserve"> </w:t>
      </w:r>
      <w:r w:rsidRPr="009E6200">
        <w:t>головную</w:t>
      </w:r>
      <w:r w:rsidR="00661EE7" w:rsidRPr="009E6200">
        <w:t xml:space="preserve"> </w:t>
      </w:r>
      <w:r w:rsidRPr="009E6200">
        <w:t>боль,</w:t>
      </w:r>
      <w:r w:rsidR="00661EE7" w:rsidRPr="009E6200">
        <w:t xml:space="preserve"> </w:t>
      </w:r>
      <w:r w:rsidRPr="009E6200">
        <w:t>психические</w:t>
      </w:r>
      <w:r w:rsidR="00661EE7" w:rsidRPr="009E6200">
        <w:t xml:space="preserve"> </w:t>
      </w:r>
      <w:r w:rsidRPr="009E6200">
        <w:t>нарушения,</w:t>
      </w:r>
      <w:r w:rsidR="00661EE7" w:rsidRPr="009E6200">
        <w:t xml:space="preserve"> </w:t>
      </w:r>
      <w:r w:rsidRPr="009E6200">
        <w:t>нарушение зрения,</w:t>
      </w:r>
      <w:r w:rsidR="00661EE7" w:rsidRPr="009E6200">
        <w:t xml:space="preserve"> </w:t>
      </w:r>
      <w:r w:rsidRPr="009E6200">
        <w:t>поражение</w:t>
      </w:r>
      <w:r w:rsidR="00661EE7" w:rsidRPr="009E6200">
        <w:t xml:space="preserve"> </w:t>
      </w:r>
      <w:r w:rsidRPr="009E6200">
        <w:t>зрительных</w:t>
      </w:r>
      <w:r w:rsidR="00661EE7" w:rsidRPr="009E6200">
        <w:t xml:space="preserve"> </w:t>
      </w:r>
      <w:r w:rsidRPr="009E6200">
        <w:t>центров</w:t>
      </w:r>
      <w:r w:rsidR="00661EE7" w:rsidRPr="009E6200">
        <w:t xml:space="preserve"> </w:t>
      </w:r>
      <w:r w:rsidRPr="009E6200">
        <w:t>коры</w:t>
      </w:r>
      <w:r w:rsidR="00661EE7" w:rsidRPr="009E6200">
        <w:t xml:space="preserve"> </w:t>
      </w:r>
      <w:r w:rsidRPr="009E6200">
        <w:t>головного</w:t>
      </w:r>
      <w:r w:rsidR="00661EE7" w:rsidRPr="009E6200">
        <w:t xml:space="preserve"> </w:t>
      </w:r>
      <w:r w:rsidRPr="009E6200">
        <w:t>мозга,</w:t>
      </w:r>
      <w:r w:rsidR="00661EE7" w:rsidRPr="009E6200">
        <w:t xml:space="preserve"> </w:t>
      </w:r>
      <w:r w:rsidR="00F80E69" w:rsidRPr="009E6200">
        <w:t>артериальную гипертензию.</w:t>
      </w:r>
    </w:p>
    <w:p w14:paraId="07B29611" w14:textId="77777777" w:rsidR="003C1EF6" w:rsidRPr="009E6200" w:rsidRDefault="003C1EF6" w:rsidP="007B46F5">
      <w:pPr>
        <w:pStyle w:val="SDText"/>
        <w:jc w:val="both"/>
        <w:rPr>
          <w:i/>
          <w:u w:val="single"/>
        </w:rPr>
      </w:pPr>
      <w:r w:rsidRPr="009E6200">
        <w:rPr>
          <w:i/>
          <w:u w:val="single"/>
        </w:rPr>
        <w:t>Со сторо</w:t>
      </w:r>
      <w:r w:rsidR="00F80E69" w:rsidRPr="009E6200">
        <w:rPr>
          <w:i/>
          <w:u w:val="single"/>
        </w:rPr>
        <w:t>ны сердечно-сосудистой системы:</w:t>
      </w:r>
    </w:p>
    <w:p w14:paraId="6933B3AF" w14:textId="77777777" w:rsidR="003C1EF6" w:rsidRPr="009E6200" w:rsidRDefault="003C1EF6" w:rsidP="007B46F5">
      <w:pPr>
        <w:pStyle w:val="SDText"/>
        <w:jc w:val="both"/>
      </w:pPr>
      <w:r w:rsidRPr="009E6200">
        <w:t>легочная</w:t>
      </w:r>
      <w:r w:rsidR="00661EE7" w:rsidRPr="009E6200">
        <w:t xml:space="preserve"> </w:t>
      </w:r>
      <w:r w:rsidRPr="009E6200">
        <w:t>гипертензия</w:t>
      </w:r>
      <w:r w:rsidR="00661EE7" w:rsidRPr="009E6200">
        <w:t xml:space="preserve"> </w:t>
      </w:r>
      <w:r w:rsidRPr="009E6200">
        <w:t>(частота</w:t>
      </w:r>
      <w:r w:rsidR="00661EE7" w:rsidRPr="009E6200">
        <w:t xml:space="preserve"> </w:t>
      </w:r>
      <w:r w:rsidRPr="009E6200">
        <w:t>возникновения</w:t>
      </w:r>
      <w:r w:rsidR="00661EE7" w:rsidRPr="009E6200">
        <w:t xml:space="preserve"> </w:t>
      </w:r>
      <w:r w:rsidRPr="009E6200">
        <w:t>неизвестна),</w:t>
      </w:r>
      <w:r w:rsidR="00661EE7" w:rsidRPr="009E6200">
        <w:t xml:space="preserve"> </w:t>
      </w:r>
      <w:r w:rsidR="00F80E69" w:rsidRPr="009E6200">
        <w:t>окклюзия мезентериальных вен.</w:t>
      </w:r>
    </w:p>
    <w:p w14:paraId="7F813289" w14:textId="77777777" w:rsidR="00E3496B" w:rsidRPr="009E6200" w:rsidRDefault="003C1EF6" w:rsidP="007B46F5">
      <w:pPr>
        <w:pStyle w:val="SDText"/>
        <w:jc w:val="both"/>
        <w:rPr>
          <w:i/>
          <w:u w:val="single"/>
        </w:rPr>
      </w:pPr>
      <w:r w:rsidRPr="009E6200">
        <w:rPr>
          <w:i/>
          <w:u w:val="single"/>
        </w:rPr>
        <w:t>Со</w:t>
      </w:r>
      <w:r w:rsidR="00661EE7" w:rsidRPr="009E6200">
        <w:rPr>
          <w:i/>
          <w:u w:val="single"/>
        </w:rPr>
        <w:t xml:space="preserve"> </w:t>
      </w:r>
      <w:r w:rsidRPr="009E6200">
        <w:rPr>
          <w:i/>
          <w:u w:val="single"/>
        </w:rPr>
        <w:t>стороны</w:t>
      </w:r>
      <w:r w:rsidR="00661EE7" w:rsidRPr="009E6200">
        <w:rPr>
          <w:i/>
          <w:u w:val="single"/>
        </w:rPr>
        <w:t xml:space="preserve"> </w:t>
      </w:r>
      <w:r w:rsidR="00F80E69" w:rsidRPr="009E6200">
        <w:rPr>
          <w:i/>
          <w:u w:val="single"/>
        </w:rPr>
        <w:t>почек:</w:t>
      </w:r>
    </w:p>
    <w:p w14:paraId="1A7CBC8A" w14:textId="77777777" w:rsidR="003C1EF6" w:rsidRPr="009E6200" w:rsidRDefault="003C1EF6" w:rsidP="007B46F5">
      <w:pPr>
        <w:pStyle w:val="SDText"/>
        <w:jc w:val="both"/>
      </w:pPr>
      <w:r w:rsidRPr="009E6200">
        <w:t>почечная</w:t>
      </w:r>
      <w:r w:rsidR="00661EE7" w:rsidRPr="009E6200">
        <w:t xml:space="preserve"> </w:t>
      </w:r>
      <w:r w:rsidRPr="009E6200">
        <w:t>тромботическая</w:t>
      </w:r>
      <w:r w:rsidR="00661EE7" w:rsidRPr="009E6200">
        <w:t xml:space="preserve"> </w:t>
      </w:r>
      <w:r w:rsidRPr="009E6200">
        <w:t>микроангиопатия,</w:t>
      </w:r>
      <w:r w:rsidR="00661EE7" w:rsidRPr="009E6200">
        <w:t xml:space="preserve"> </w:t>
      </w:r>
      <w:r w:rsidRPr="009E6200">
        <w:t>клинически проявляющаяся протеинурией (час</w:t>
      </w:r>
      <w:r w:rsidR="00F80E69" w:rsidRPr="009E6200">
        <w:t>тота возникновения неизвестна).</w:t>
      </w:r>
    </w:p>
    <w:p w14:paraId="3E59BCE5" w14:textId="77777777" w:rsidR="003C1EF6" w:rsidRPr="009E6200" w:rsidRDefault="00F80E69" w:rsidP="007B46F5">
      <w:pPr>
        <w:pStyle w:val="SDText"/>
        <w:jc w:val="both"/>
        <w:rPr>
          <w:i/>
          <w:u w:val="single"/>
        </w:rPr>
      </w:pPr>
      <w:r w:rsidRPr="009E6200">
        <w:rPr>
          <w:i/>
          <w:u w:val="single"/>
        </w:rPr>
        <w:t>Со стороны органов дыхания:</w:t>
      </w:r>
    </w:p>
    <w:p w14:paraId="13B070F7" w14:textId="77777777" w:rsidR="003C1EF6" w:rsidRPr="009E6200" w:rsidRDefault="003C1EF6" w:rsidP="007B46F5">
      <w:pPr>
        <w:pStyle w:val="SDText"/>
        <w:jc w:val="both"/>
      </w:pPr>
      <w:r w:rsidRPr="009E6200">
        <w:rPr>
          <w:i/>
        </w:rPr>
        <w:t>часто:</w:t>
      </w:r>
      <w:r w:rsidRPr="009E6200">
        <w:t xml:space="preserve"> ди</w:t>
      </w:r>
      <w:r w:rsidR="00F80E69" w:rsidRPr="009E6200">
        <w:t>сфония; перфорация носовой перег</w:t>
      </w:r>
      <w:r w:rsidRPr="009E6200">
        <w:t xml:space="preserve">ородки. </w:t>
      </w:r>
    </w:p>
    <w:p w14:paraId="72EA6A0D" w14:textId="77777777" w:rsidR="003C1EF6" w:rsidRPr="009E6200" w:rsidRDefault="003C1EF6" w:rsidP="007B46F5">
      <w:pPr>
        <w:pStyle w:val="SDText"/>
        <w:jc w:val="both"/>
        <w:rPr>
          <w:i/>
          <w:u w:val="single"/>
        </w:rPr>
      </w:pPr>
      <w:r w:rsidRPr="009E6200">
        <w:rPr>
          <w:i/>
          <w:u w:val="single"/>
        </w:rPr>
        <w:t xml:space="preserve">Со стороны </w:t>
      </w:r>
      <w:r w:rsidR="00425A6C" w:rsidRPr="009E6200">
        <w:rPr>
          <w:i/>
          <w:u w:val="single"/>
        </w:rPr>
        <w:t>ЖКТ</w:t>
      </w:r>
      <w:r w:rsidR="00F80E69" w:rsidRPr="009E6200">
        <w:rPr>
          <w:i/>
          <w:u w:val="single"/>
        </w:rPr>
        <w:t>:</w:t>
      </w:r>
    </w:p>
    <w:p w14:paraId="25F36903" w14:textId="77777777" w:rsidR="003C1EF6" w:rsidRPr="009E6200" w:rsidRDefault="003C1EF6" w:rsidP="007B46F5">
      <w:pPr>
        <w:pStyle w:val="SDText"/>
        <w:jc w:val="both"/>
      </w:pPr>
      <w:r w:rsidRPr="009E6200">
        <w:t xml:space="preserve">язвы </w:t>
      </w:r>
      <w:r w:rsidR="00425A6C" w:rsidRPr="009E6200">
        <w:t>ЖКТ</w:t>
      </w:r>
      <w:r w:rsidRPr="009E6200">
        <w:t>, некроз киш</w:t>
      </w:r>
      <w:r w:rsidR="00F80E69" w:rsidRPr="009E6200">
        <w:t>ечника, изъязвление анастомоза.</w:t>
      </w:r>
    </w:p>
    <w:p w14:paraId="06106E56" w14:textId="77777777" w:rsidR="003C1EF6" w:rsidRPr="009E6200" w:rsidRDefault="003C1EF6" w:rsidP="007B46F5">
      <w:pPr>
        <w:pStyle w:val="SDText"/>
        <w:jc w:val="both"/>
        <w:rPr>
          <w:u w:val="single"/>
        </w:rPr>
      </w:pPr>
      <w:r w:rsidRPr="009E6200">
        <w:rPr>
          <w:u w:val="single"/>
        </w:rPr>
        <w:t xml:space="preserve">Со </w:t>
      </w:r>
      <w:r w:rsidR="00F80E69" w:rsidRPr="009E6200">
        <w:rPr>
          <w:u w:val="single"/>
        </w:rPr>
        <w:t>стороны репродуктивной системы:</w:t>
      </w:r>
    </w:p>
    <w:p w14:paraId="3F658F57" w14:textId="77777777" w:rsidR="003C1EF6" w:rsidRPr="009E6200" w:rsidRDefault="003C1EF6" w:rsidP="007B46F5">
      <w:pPr>
        <w:pStyle w:val="SDText"/>
        <w:jc w:val="both"/>
      </w:pPr>
      <w:r w:rsidRPr="009E6200">
        <w:t>Не</w:t>
      </w:r>
      <w:r w:rsidR="00F80E69" w:rsidRPr="009E6200">
        <w:t>достаточность функции яичников.</w:t>
      </w:r>
    </w:p>
    <w:p w14:paraId="3638DBFD" w14:textId="77777777" w:rsidR="003C1EF6" w:rsidRPr="009E6200" w:rsidRDefault="003C1EF6" w:rsidP="007B46F5">
      <w:pPr>
        <w:pStyle w:val="SDText"/>
        <w:jc w:val="both"/>
        <w:rPr>
          <w:i/>
          <w:u w:val="single"/>
        </w:rPr>
      </w:pPr>
      <w:r w:rsidRPr="009E6200">
        <w:rPr>
          <w:i/>
          <w:u w:val="single"/>
        </w:rPr>
        <w:t>Со с</w:t>
      </w:r>
      <w:r w:rsidR="00F80E69" w:rsidRPr="009E6200">
        <w:rPr>
          <w:i/>
          <w:u w:val="single"/>
        </w:rPr>
        <w:t>тороны костно-мышечной системы:</w:t>
      </w:r>
    </w:p>
    <w:p w14:paraId="3E5C5B84" w14:textId="77777777" w:rsidR="003C1EF6" w:rsidRPr="009E6200" w:rsidRDefault="00F80E69" w:rsidP="007B46F5">
      <w:pPr>
        <w:pStyle w:val="SDText"/>
        <w:jc w:val="both"/>
      </w:pPr>
      <w:r w:rsidRPr="009E6200">
        <w:t>Остеонекроз нижней челюсти.</w:t>
      </w:r>
    </w:p>
    <w:p w14:paraId="782FB24A" w14:textId="77777777" w:rsidR="003C1EF6" w:rsidRPr="009E6200" w:rsidRDefault="003C1EF6" w:rsidP="007B46F5">
      <w:pPr>
        <w:pStyle w:val="SDText"/>
        <w:jc w:val="both"/>
      </w:pPr>
      <w:r w:rsidRPr="009E6200">
        <w:rPr>
          <w:i/>
          <w:u w:val="single"/>
        </w:rPr>
        <w:t>Со</w:t>
      </w:r>
      <w:r w:rsidR="00661EE7" w:rsidRPr="009E6200">
        <w:rPr>
          <w:i/>
          <w:u w:val="single"/>
        </w:rPr>
        <w:t xml:space="preserve"> </w:t>
      </w:r>
      <w:r w:rsidRPr="009E6200">
        <w:rPr>
          <w:i/>
          <w:u w:val="single"/>
        </w:rPr>
        <w:t>стороны</w:t>
      </w:r>
      <w:r w:rsidR="00661EE7" w:rsidRPr="009E6200">
        <w:rPr>
          <w:i/>
          <w:u w:val="single"/>
        </w:rPr>
        <w:t xml:space="preserve"> </w:t>
      </w:r>
      <w:r w:rsidRPr="009E6200">
        <w:rPr>
          <w:i/>
          <w:u w:val="single"/>
        </w:rPr>
        <w:t>органа</w:t>
      </w:r>
      <w:r w:rsidR="00661EE7" w:rsidRPr="009E6200">
        <w:rPr>
          <w:i/>
          <w:u w:val="single"/>
        </w:rPr>
        <w:t xml:space="preserve"> </w:t>
      </w:r>
      <w:r w:rsidRPr="009E6200">
        <w:rPr>
          <w:i/>
          <w:u w:val="single"/>
        </w:rPr>
        <w:t>зрения</w:t>
      </w:r>
      <w:r w:rsidR="00661EE7" w:rsidRPr="009E6200">
        <w:t xml:space="preserve"> </w:t>
      </w:r>
      <w:r w:rsidRPr="009E6200">
        <w:rPr>
          <w:i/>
        </w:rPr>
        <w:t>(при</w:t>
      </w:r>
      <w:r w:rsidR="00661EE7" w:rsidRPr="009E6200">
        <w:rPr>
          <w:i/>
        </w:rPr>
        <w:t xml:space="preserve"> </w:t>
      </w:r>
      <w:r w:rsidRPr="009E6200">
        <w:rPr>
          <w:i/>
        </w:rPr>
        <w:t>неодобренном</w:t>
      </w:r>
      <w:r w:rsidR="00661EE7" w:rsidRPr="009E6200">
        <w:rPr>
          <w:i/>
        </w:rPr>
        <w:t xml:space="preserve"> </w:t>
      </w:r>
      <w:r w:rsidRPr="009E6200">
        <w:rPr>
          <w:i/>
        </w:rPr>
        <w:t>применении</w:t>
      </w:r>
      <w:r w:rsidR="00661EE7" w:rsidRPr="009E6200">
        <w:rPr>
          <w:i/>
        </w:rPr>
        <w:t xml:space="preserve"> </w:t>
      </w:r>
      <w:r w:rsidRPr="009E6200">
        <w:rPr>
          <w:i/>
        </w:rPr>
        <w:t>-</w:t>
      </w:r>
      <w:r w:rsidR="00661EE7" w:rsidRPr="009E6200">
        <w:rPr>
          <w:i/>
        </w:rPr>
        <w:t xml:space="preserve"> </w:t>
      </w:r>
      <w:r w:rsidRPr="009E6200">
        <w:rPr>
          <w:i/>
        </w:rPr>
        <w:t>интравитреальном введении для терапии различных поражений глаз):</w:t>
      </w:r>
    </w:p>
    <w:p w14:paraId="58D7AAD5" w14:textId="77777777" w:rsidR="003C1EF6" w:rsidRPr="009E6200" w:rsidRDefault="003C1EF6" w:rsidP="007B46F5">
      <w:pPr>
        <w:pStyle w:val="SDText"/>
        <w:jc w:val="both"/>
      </w:pPr>
      <w:r w:rsidRPr="009E6200">
        <w:t>безвозвратная</w:t>
      </w:r>
      <w:r w:rsidR="00661EE7" w:rsidRPr="009E6200">
        <w:t xml:space="preserve"> </w:t>
      </w:r>
      <w:r w:rsidRPr="009E6200">
        <w:t>потеря</w:t>
      </w:r>
      <w:r w:rsidR="00661EE7" w:rsidRPr="009E6200">
        <w:t xml:space="preserve"> </w:t>
      </w:r>
      <w:r w:rsidRPr="009E6200">
        <w:t>зрения,</w:t>
      </w:r>
      <w:r w:rsidR="00661EE7" w:rsidRPr="009E6200">
        <w:t xml:space="preserve"> </w:t>
      </w:r>
      <w:r w:rsidRPr="009E6200">
        <w:t>эндофтальмит</w:t>
      </w:r>
      <w:r w:rsidR="00661EE7" w:rsidRPr="009E6200">
        <w:t xml:space="preserve"> </w:t>
      </w:r>
      <w:r w:rsidRPr="009E6200">
        <w:t>(инфекционный</w:t>
      </w:r>
      <w:r w:rsidR="00661EE7" w:rsidRPr="009E6200">
        <w:t xml:space="preserve"> </w:t>
      </w:r>
      <w:r w:rsidRPr="009E6200">
        <w:t>и</w:t>
      </w:r>
      <w:r w:rsidR="00661EE7" w:rsidRPr="009E6200">
        <w:t xml:space="preserve"> </w:t>
      </w:r>
      <w:r w:rsidRPr="009E6200">
        <w:t>стерильный), внутриглазное</w:t>
      </w:r>
      <w:r w:rsidR="00661EE7" w:rsidRPr="009E6200">
        <w:t xml:space="preserve"> </w:t>
      </w:r>
      <w:r w:rsidRPr="009E6200">
        <w:t>воспаление,</w:t>
      </w:r>
      <w:r w:rsidR="00661EE7" w:rsidRPr="009E6200">
        <w:t xml:space="preserve"> </w:t>
      </w:r>
      <w:r w:rsidRPr="009E6200">
        <w:t>отслоение</w:t>
      </w:r>
      <w:r w:rsidR="00661EE7" w:rsidRPr="009E6200">
        <w:t xml:space="preserve"> </w:t>
      </w:r>
      <w:r w:rsidRPr="009E6200">
        <w:t>сетчатки,</w:t>
      </w:r>
      <w:r w:rsidR="00661EE7" w:rsidRPr="009E6200">
        <w:t xml:space="preserve"> </w:t>
      </w:r>
      <w:r w:rsidRPr="009E6200">
        <w:t>повышенное</w:t>
      </w:r>
      <w:r w:rsidR="00661EE7" w:rsidRPr="009E6200">
        <w:t xml:space="preserve"> </w:t>
      </w:r>
      <w:r w:rsidRPr="009E6200">
        <w:t>внутриглазное давление, геморрагии,</w:t>
      </w:r>
      <w:r w:rsidR="00661EE7" w:rsidRPr="009E6200">
        <w:t xml:space="preserve"> </w:t>
      </w:r>
      <w:r w:rsidRPr="009E6200">
        <w:t>включая конъюнктивальное кровоизлияние, кровоизлияние в</w:t>
      </w:r>
      <w:r w:rsidR="00661EE7" w:rsidRPr="009E6200">
        <w:t xml:space="preserve"> </w:t>
      </w:r>
      <w:r w:rsidRPr="009E6200">
        <w:t>стекловидное</w:t>
      </w:r>
      <w:r w:rsidR="00661EE7" w:rsidRPr="009E6200">
        <w:t xml:space="preserve"> </w:t>
      </w:r>
      <w:r w:rsidRPr="009E6200">
        <w:t>тело</w:t>
      </w:r>
      <w:r w:rsidR="00661EE7" w:rsidRPr="009E6200">
        <w:t xml:space="preserve"> </w:t>
      </w:r>
      <w:r w:rsidRPr="009E6200">
        <w:t>и</w:t>
      </w:r>
      <w:r w:rsidR="00661EE7" w:rsidRPr="009E6200">
        <w:t xml:space="preserve"> </w:t>
      </w:r>
      <w:r w:rsidRPr="009E6200">
        <w:t>кровоизлияние</w:t>
      </w:r>
      <w:r w:rsidR="00661EE7" w:rsidRPr="009E6200">
        <w:t xml:space="preserve"> </w:t>
      </w:r>
      <w:r w:rsidRPr="009E6200">
        <w:t>в</w:t>
      </w:r>
      <w:r w:rsidR="00661EE7" w:rsidRPr="009E6200">
        <w:t xml:space="preserve"> </w:t>
      </w:r>
      <w:r w:rsidRPr="009E6200">
        <w:t>сетчатку,</w:t>
      </w:r>
      <w:r w:rsidR="00661EE7" w:rsidRPr="009E6200">
        <w:t xml:space="preserve"> </w:t>
      </w:r>
      <w:r w:rsidRPr="009E6200">
        <w:t>плавающие</w:t>
      </w:r>
      <w:r w:rsidR="00661EE7" w:rsidRPr="009E6200">
        <w:t xml:space="preserve"> </w:t>
      </w:r>
      <w:r w:rsidRPr="009E6200">
        <w:t>помутнения стекловидного тела, гиперемия гл</w:t>
      </w:r>
      <w:r w:rsidR="00F80E69" w:rsidRPr="009E6200">
        <w:t>аз, боль и дискомфорт в глазах.</w:t>
      </w:r>
    </w:p>
    <w:p w14:paraId="64C18139" w14:textId="77777777" w:rsidR="003C1EF6" w:rsidRPr="009E6200" w:rsidRDefault="003C1EF6" w:rsidP="007B46F5">
      <w:pPr>
        <w:pStyle w:val="SDText"/>
        <w:jc w:val="both"/>
        <w:rPr>
          <w:i/>
          <w:u w:val="single"/>
        </w:rPr>
      </w:pPr>
      <w:r w:rsidRPr="009E6200">
        <w:rPr>
          <w:i/>
          <w:u w:val="single"/>
        </w:rPr>
        <w:t>Со</w:t>
      </w:r>
      <w:r w:rsidR="00F80E69" w:rsidRPr="009E6200">
        <w:rPr>
          <w:i/>
          <w:u w:val="single"/>
        </w:rPr>
        <w:t xml:space="preserve"> стороны системы кроветворения:</w:t>
      </w:r>
    </w:p>
    <w:p w14:paraId="6E874B5C" w14:textId="77777777" w:rsidR="003C1EF6" w:rsidRPr="009E6200" w:rsidRDefault="00F80E69" w:rsidP="007B46F5">
      <w:pPr>
        <w:pStyle w:val="SDText"/>
        <w:jc w:val="both"/>
      </w:pPr>
      <w:r w:rsidRPr="009E6200">
        <w:t>панцитопения.</w:t>
      </w:r>
    </w:p>
    <w:p w14:paraId="5762F897" w14:textId="77777777" w:rsidR="003C1EF6" w:rsidRPr="009E6200" w:rsidRDefault="003C1EF6" w:rsidP="007B46F5">
      <w:pPr>
        <w:pStyle w:val="SDText"/>
        <w:jc w:val="both"/>
        <w:rPr>
          <w:i/>
          <w:u w:val="single"/>
        </w:rPr>
      </w:pPr>
      <w:r w:rsidRPr="009E6200">
        <w:rPr>
          <w:i/>
          <w:u w:val="single"/>
        </w:rPr>
        <w:t>Со с</w:t>
      </w:r>
      <w:r w:rsidR="00F80E69" w:rsidRPr="009E6200">
        <w:rPr>
          <w:i/>
          <w:u w:val="single"/>
        </w:rPr>
        <w:t>тороны гепатобилиарной системы:</w:t>
      </w:r>
    </w:p>
    <w:p w14:paraId="0AE78F8D" w14:textId="77777777" w:rsidR="003C1EF6" w:rsidRPr="009E6200" w:rsidRDefault="00F80E69" w:rsidP="007B46F5">
      <w:pPr>
        <w:pStyle w:val="SDText"/>
        <w:jc w:val="both"/>
      </w:pPr>
      <w:r w:rsidRPr="009E6200">
        <w:t>перфорация желчного пузыря.</w:t>
      </w:r>
    </w:p>
    <w:p w14:paraId="707ACDC4" w14:textId="77777777" w:rsidR="003C1EF6" w:rsidRPr="009E6200" w:rsidRDefault="003C1EF6" w:rsidP="007B46F5">
      <w:pPr>
        <w:pStyle w:val="SDText"/>
        <w:jc w:val="both"/>
        <w:rPr>
          <w:i/>
          <w:u w:val="single"/>
        </w:rPr>
      </w:pPr>
      <w:r w:rsidRPr="009E6200">
        <w:rPr>
          <w:i/>
          <w:u w:val="single"/>
        </w:rPr>
        <w:t>Инфекции:</w:t>
      </w:r>
    </w:p>
    <w:p w14:paraId="3234C53A" w14:textId="77777777" w:rsidR="003C1EF6" w:rsidRPr="009E6200" w:rsidRDefault="003C1EF6" w:rsidP="007B46F5">
      <w:pPr>
        <w:pStyle w:val="SDText"/>
        <w:jc w:val="both"/>
      </w:pPr>
      <w:r w:rsidRPr="009E6200">
        <w:t>некротизирующий</w:t>
      </w:r>
      <w:r w:rsidR="00661EE7" w:rsidRPr="009E6200">
        <w:t xml:space="preserve"> </w:t>
      </w:r>
      <w:r w:rsidRPr="009E6200">
        <w:t>фасциит,</w:t>
      </w:r>
      <w:r w:rsidR="00661EE7" w:rsidRPr="009E6200">
        <w:t xml:space="preserve"> </w:t>
      </w:r>
      <w:r w:rsidRPr="009E6200">
        <w:t>как</w:t>
      </w:r>
      <w:r w:rsidR="00661EE7" w:rsidRPr="009E6200">
        <w:t xml:space="preserve"> </w:t>
      </w:r>
      <w:r w:rsidRPr="009E6200">
        <w:t>правило,</w:t>
      </w:r>
      <w:r w:rsidR="00661EE7" w:rsidRPr="009E6200">
        <w:t xml:space="preserve"> </w:t>
      </w:r>
      <w:r w:rsidRPr="009E6200">
        <w:t>развивающийся</w:t>
      </w:r>
      <w:r w:rsidR="00661EE7" w:rsidRPr="009E6200">
        <w:t xml:space="preserve"> </w:t>
      </w:r>
      <w:r w:rsidRPr="009E6200">
        <w:t>как</w:t>
      </w:r>
      <w:r w:rsidR="00661EE7" w:rsidRPr="009E6200">
        <w:t xml:space="preserve"> </w:t>
      </w:r>
      <w:r w:rsidRPr="009E6200">
        <w:t>осложнение</w:t>
      </w:r>
      <w:r w:rsidR="00661EE7" w:rsidRPr="009E6200">
        <w:t xml:space="preserve"> </w:t>
      </w:r>
      <w:r w:rsidRPr="009E6200">
        <w:t>при заживлении</w:t>
      </w:r>
      <w:r w:rsidR="00661EE7" w:rsidRPr="009E6200">
        <w:t xml:space="preserve"> </w:t>
      </w:r>
      <w:r w:rsidRPr="009E6200">
        <w:t>ран,</w:t>
      </w:r>
      <w:r w:rsidR="00661EE7" w:rsidRPr="009E6200">
        <w:t xml:space="preserve"> </w:t>
      </w:r>
      <w:r w:rsidRPr="009E6200">
        <w:t>перфорации</w:t>
      </w:r>
      <w:r w:rsidR="00661EE7" w:rsidRPr="009E6200">
        <w:t xml:space="preserve"> </w:t>
      </w:r>
      <w:r w:rsidR="00425A6C" w:rsidRPr="009E6200">
        <w:t>ЖКТ</w:t>
      </w:r>
      <w:r w:rsidR="00661EE7" w:rsidRPr="009E6200">
        <w:t xml:space="preserve"> </w:t>
      </w:r>
      <w:r w:rsidRPr="009E6200">
        <w:t>или</w:t>
      </w:r>
      <w:r w:rsidR="00661EE7" w:rsidRPr="009E6200">
        <w:t xml:space="preserve"> </w:t>
      </w:r>
      <w:r w:rsidR="00F80E69" w:rsidRPr="009E6200">
        <w:t>формирование фистул.</w:t>
      </w:r>
    </w:p>
    <w:p w14:paraId="2D7F00A3" w14:textId="77777777" w:rsidR="003C1EF6" w:rsidRPr="009E6200" w:rsidRDefault="003C1EF6" w:rsidP="007B46F5">
      <w:pPr>
        <w:pStyle w:val="SDText"/>
        <w:jc w:val="both"/>
        <w:rPr>
          <w:i/>
          <w:u w:val="single"/>
        </w:rPr>
      </w:pPr>
      <w:r w:rsidRPr="009E6200">
        <w:rPr>
          <w:i/>
          <w:u w:val="single"/>
        </w:rPr>
        <w:t>Системные</w:t>
      </w:r>
      <w:r w:rsidR="00661EE7" w:rsidRPr="009E6200">
        <w:rPr>
          <w:i/>
          <w:u w:val="single"/>
        </w:rPr>
        <w:t xml:space="preserve"> </w:t>
      </w:r>
      <w:r w:rsidRPr="009E6200">
        <w:rPr>
          <w:i/>
          <w:u w:val="single"/>
        </w:rPr>
        <w:t>поражения</w:t>
      </w:r>
      <w:r w:rsidR="00661EE7" w:rsidRPr="009E6200">
        <w:rPr>
          <w:i/>
          <w:u w:val="single"/>
        </w:rPr>
        <w:t xml:space="preserve"> </w:t>
      </w:r>
      <w:r w:rsidRPr="009E6200">
        <w:rPr>
          <w:i/>
          <w:u w:val="single"/>
        </w:rPr>
        <w:t>(при</w:t>
      </w:r>
      <w:r w:rsidR="00661EE7" w:rsidRPr="009E6200">
        <w:rPr>
          <w:i/>
          <w:u w:val="single"/>
        </w:rPr>
        <w:t xml:space="preserve"> </w:t>
      </w:r>
      <w:r w:rsidRPr="009E6200">
        <w:rPr>
          <w:i/>
          <w:u w:val="single"/>
        </w:rPr>
        <w:t>неодобренном</w:t>
      </w:r>
      <w:r w:rsidR="00661EE7" w:rsidRPr="009E6200">
        <w:rPr>
          <w:i/>
          <w:u w:val="single"/>
        </w:rPr>
        <w:t xml:space="preserve"> </w:t>
      </w:r>
      <w:r w:rsidRPr="009E6200">
        <w:rPr>
          <w:i/>
          <w:u w:val="single"/>
        </w:rPr>
        <w:t>применении</w:t>
      </w:r>
      <w:r w:rsidR="00661EE7" w:rsidRPr="009E6200">
        <w:rPr>
          <w:i/>
          <w:u w:val="single"/>
        </w:rPr>
        <w:t xml:space="preserve"> </w:t>
      </w:r>
      <w:r w:rsidRPr="009E6200">
        <w:rPr>
          <w:i/>
          <w:u w:val="single"/>
        </w:rPr>
        <w:t>-</w:t>
      </w:r>
      <w:r w:rsidR="00661EE7" w:rsidRPr="009E6200">
        <w:rPr>
          <w:i/>
          <w:u w:val="single"/>
        </w:rPr>
        <w:t xml:space="preserve"> </w:t>
      </w:r>
      <w:r w:rsidRPr="009E6200">
        <w:rPr>
          <w:i/>
          <w:u w:val="single"/>
        </w:rPr>
        <w:t>интравитреальном введении для терапии различных</w:t>
      </w:r>
      <w:r w:rsidR="00F80E69" w:rsidRPr="009E6200">
        <w:rPr>
          <w:i/>
          <w:u w:val="single"/>
        </w:rPr>
        <w:t xml:space="preserve"> поражений глаз):</w:t>
      </w:r>
    </w:p>
    <w:p w14:paraId="7C483A63" w14:textId="77777777" w:rsidR="003C1EF6" w:rsidRPr="009E6200" w:rsidRDefault="003C1EF6" w:rsidP="007B46F5">
      <w:pPr>
        <w:pStyle w:val="SDText"/>
        <w:jc w:val="both"/>
      </w:pPr>
      <w:r w:rsidRPr="009E6200">
        <w:t>артериальные</w:t>
      </w:r>
      <w:r w:rsidR="00661EE7" w:rsidRPr="009E6200">
        <w:t xml:space="preserve"> </w:t>
      </w:r>
      <w:r w:rsidRPr="009E6200">
        <w:t>тромбоэмболические</w:t>
      </w:r>
      <w:r w:rsidR="00661EE7" w:rsidRPr="009E6200">
        <w:t xml:space="preserve"> </w:t>
      </w:r>
      <w:r w:rsidRPr="009E6200">
        <w:t>осложнения,</w:t>
      </w:r>
      <w:r w:rsidR="00661EE7" w:rsidRPr="009E6200">
        <w:t xml:space="preserve"> </w:t>
      </w:r>
      <w:r w:rsidRPr="009E6200">
        <w:t>гипертензия,</w:t>
      </w:r>
      <w:r w:rsidR="00661EE7" w:rsidRPr="009E6200">
        <w:t xml:space="preserve"> </w:t>
      </w:r>
      <w:r w:rsidRPr="009E6200">
        <w:t xml:space="preserve">перфорации </w:t>
      </w:r>
      <w:r w:rsidR="00425A6C" w:rsidRPr="009E6200">
        <w:t>ЖКТ</w:t>
      </w:r>
      <w:r w:rsidR="00661EE7" w:rsidRPr="009E6200">
        <w:t>, геморрагии.</w:t>
      </w:r>
    </w:p>
    <w:p w14:paraId="12BE9F5C" w14:textId="77777777" w:rsidR="00577BCF" w:rsidRDefault="00577BCF" w:rsidP="007B46F5">
      <w:pPr>
        <w:pStyle w:val="SDText"/>
        <w:jc w:val="both"/>
        <w:rPr>
          <w:b/>
        </w:rPr>
      </w:pPr>
    </w:p>
    <w:p w14:paraId="79F4EB9C" w14:textId="2FCE2718" w:rsidR="003C1EF6" w:rsidRPr="009E6200" w:rsidRDefault="00F80E69" w:rsidP="007B46F5">
      <w:pPr>
        <w:pStyle w:val="SDText"/>
        <w:jc w:val="both"/>
        <w:rPr>
          <w:b/>
        </w:rPr>
      </w:pPr>
      <w:r w:rsidRPr="009E6200">
        <w:rPr>
          <w:b/>
        </w:rPr>
        <w:t>Условия хранения</w:t>
      </w:r>
    </w:p>
    <w:p w14:paraId="29EC2BF9" w14:textId="77777777" w:rsidR="00577BCF" w:rsidRDefault="00577BCF" w:rsidP="007B46F5">
      <w:pPr>
        <w:pStyle w:val="SDText"/>
        <w:jc w:val="both"/>
      </w:pPr>
    </w:p>
    <w:p w14:paraId="43FFC56B" w14:textId="3E83838D" w:rsidR="003C1EF6" w:rsidRDefault="003C1EF6" w:rsidP="007B46F5">
      <w:pPr>
        <w:pStyle w:val="SDText"/>
        <w:ind w:firstLine="709"/>
        <w:jc w:val="both"/>
      </w:pPr>
      <w:r w:rsidRPr="009E6200">
        <w:t>Флаконы</w:t>
      </w:r>
      <w:r w:rsidR="00661EE7" w:rsidRPr="009E6200">
        <w:t xml:space="preserve"> </w:t>
      </w:r>
      <w:r w:rsidRPr="009E6200">
        <w:t>с</w:t>
      </w:r>
      <w:r w:rsidR="00661EE7" w:rsidRPr="009E6200">
        <w:t xml:space="preserve"> </w:t>
      </w:r>
      <w:r w:rsidRPr="009E6200">
        <w:t>препаратом</w:t>
      </w:r>
      <w:r w:rsidR="00661EE7" w:rsidRPr="009E6200">
        <w:t xml:space="preserve"> </w:t>
      </w:r>
      <w:r w:rsidRPr="009E6200">
        <w:t>RPH-001</w:t>
      </w:r>
      <w:r w:rsidR="00661EE7" w:rsidRPr="009E6200">
        <w:t xml:space="preserve"> </w:t>
      </w:r>
      <w:r w:rsidRPr="009E6200">
        <w:t>должны</w:t>
      </w:r>
      <w:r w:rsidR="00661EE7" w:rsidRPr="009E6200">
        <w:t xml:space="preserve"> </w:t>
      </w:r>
      <w:r w:rsidRPr="009E6200">
        <w:t>храниться</w:t>
      </w:r>
      <w:r w:rsidR="00661EE7" w:rsidRPr="009E6200">
        <w:t xml:space="preserve"> </w:t>
      </w:r>
      <w:r w:rsidRPr="009E6200">
        <w:t>при</w:t>
      </w:r>
      <w:r w:rsidR="00661EE7" w:rsidRPr="009E6200">
        <w:t xml:space="preserve"> </w:t>
      </w:r>
      <w:r w:rsidRPr="009E6200">
        <w:t>температуре</w:t>
      </w:r>
      <w:r w:rsidR="00661EE7" w:rsidRPr="009E6200">
        <w:t xml:space="preserve"> </w:t>
      </w:r>
      <w:r w:rsidRPr="009E6200">
        <w:t>2−8°C</w:t>
      </w:r>
      <w:r w:rsidR="00661EE7" w:rsidRPr="009E6200">
        <w:t xml:space="preserve"> </w:t>
      </w:r>
      <w:r w:rsidRPr="009E6200">
        <w:t xml:space="preserve">в защищенном от света месте в оригинальной картонной упаковке. Срок годности </w:t>
      </w:r>
      <w:r w:rsidR="009336DF" w:rsidRPr="008C68D8">
        <w:t>2</w:t>
      </w:r>
      <w:r w:rsidRPr="009E6200">
        <w:t xml:space="preserve"> г.</w:t>
      </w:r>
      <w:r w:rsidR="00661EE7" w:rsidRPr="009E6200">
        <w:t xml:space="preserve"> </w:t>
      </w:r>
      <w:r w:rsidR="009336DF">
        <w:t xml:space="preserve">Срок годности будет определяться для каждой наработанной серии в соответствии с актуальными данными по стабильности. </w:t>
      </w:r>
      <w:r w:rsidRPr="009E6200">
        <w:t>Запрещено</w:t>
      </w:r>
      <w:r w:rsidR="00661EE7" w:rsidRPr="009E6200">
        <w:t xml:space="preserve"> </w:t>
      </w:r>
      <w:r w:rsidRPr="009E6200">
        <w:t>замораживать</w:t>
      </w:r>
      <w:r w:rsidR="00661EE7" w:rsidRPr="009E6200">
        <w:t xml:space="preserve"> </w:t>
      </w:r>
      <w:r w:rsidRPr="009E6200">
        <w:t>или</w:t>
      </w:r>
      <w:r w:rsidR="00661EE7" w:rsidRPr="009E6200">
        <w:t xml:space="preserve"> </w:t>
      </w:r>
      <w:r w:rsidRPr="009E6200">
        <w:t>встряхивать</w:t>
      </w:r>
      <w:r w:rsidR="00661EE7" w:rsidRPr="009E6200">
        <w:t xml:space="preserve"> </w:t>
      </w:r>
      <w:r w:rsidRPr="009E6200">
        <w:t>концентрат</w:t>
      </w:r>
      <w:r w:rsidR="00661EE7" w:rsidRPr="009E6200">
        <w:t xml:space="preserve"> </w:t>
      </w:r>
      <w:r w:rsidRPr="009E6200">
        <w:t>и</w:t>
      </w:r>
      <w:r w:rsidR="00661EE7" w:rsidRPr="009E6200">
        <w:t xml:space="preserve"> </w:t>
      </w:r>
      <w:r w:rsidRPr="009E6200">
        <w:t>раствор</w:t>
      </w:r>
      <w:r w:rsidR="00661EE7" w:rsidRPr="009E6200">
        <w:t xml:space="preserve"> </w:t>
      </w:r>
      <w:r w:rsidRPr="009E6200">
        <w:t>препарата RPH-001.</w:t>
      </w:r>
      <w:r w:rsidR="00661EE7" w:rsidRPr="009E6200">
        <w:t xml:space="preserve"> </w:t>
      </w:r>
    </w:p>
    <w:p w14:paraId="46457C8D" w14:textId="2736BD3C" w:rsidR="004A7174" w:rsidRPr="009E6200" w:rsidRDefault="004A7174" w:rsidP="007B46F5">
      <w:pPr>
        <w:jc w:val="both"/>
        <w:rPr>
          <w:rFonts w:eastAsiaTheme="majorEastAsia" w:cstheme="majorBidi"/>
          <w:b/>
          <w:sz w:val="28"/>
          <w:szCs w:val="24"/>
          <w:lang w:eastAsia="ru-RU"/>
        </w:rPr>
      </w:pPr>
      <w:bookmarkStart w:id="51" w:name="_Ref12190791"/>
    </w:p>
    <w:p w14:paraId="72C80F87" w14:textId="77777777" w:rsidR="00AE61D1" w:rsidRPr="00BB6320" w:rsidRDefault="00AE61D1" w:rsidP="007B46F5">
      <w:pPr>
        <w:pStyle w:val="Heading3"/>
        <w:spacing w:before="0" w:after="0" w:line="240" w:lineRule="auto"/>
        <w:ind w:left="709" w:hanging="709"/>
        <w:jc w:val="both"/>
        <w:rPr>
          <w:color w:val="auto"/>
          <w:sz w:val="24"/>
        </w:rPr>
      </w:pPr>
      <w:bookmarkStart w:id="52" w:name="_Ref27147171"/>
      <w:bookmarkStart w:id="53" w:name="_Toc120865228"/>
      <w:r w:rsidRPr="00BB6320">
        <w:rPr>
          <w:color w:val="auto"/>
          <w:sz w:val="24"/>
        </w:rPr>
        <w:t>Препарат сравнения</w:t>
      </w:r>
      <w:r w:rsidR="00385A30" w:rsidRPr="00BB6320">
        <w:rPr>
          <w:color w:val="auto"/>
          <w:sz w:val="24"/>
        </w:rPr>
        <w:t>: Авастин</w:t>
      </w:r>
      <w:r w:rsidR="00121FA5" w:rsidRPr="00BB6320">
        <w:rPr>
          <w:rFonts w:cs="Times New Roman"/>
          <w:color w:val="auto"/>
          <w:sz w:val="24"/>
          <w:vertAlign w:val="superscript"/>
        </w:rPr>
        <w:t>®</w:t>
      </w:r>
      <w:bookmarkEnd w:id="51"/>
      <w:bookmarkEnd w:id="52"/>
      <w:bookmarkEnd w:id="53"/>
    </w:p>
    <w:p w14:paraId="000893E0" w14:textId="77777777" w:rsidR="00AC1047" w:rsidRPr="009E6200" w:rsidRDefault="00AC1047" w:rsidP="007B46F5">
      <w:pPr>
        <w:pStyle w:val="SDText"/>
        <w:jc w:val="both"/>
        <w:rPr>
          <w:lang w:eastAsia="ru-RU"/>
        </w:rPr>
      </w:pPr>
    </w:p>
    <w:p w14:paraId="641DA628" w14:textId="77777777" w:rsidR="00E05A5D" w:rsidRPr="009E6200" w:rsidRDefault="00E05A5D" w:rsidP="007B46F5">
      <w:pPr>
        <w:pStyle w:val="SDText"/>
        <w:jc w:val="both"/>
        <w:rPr>
          <w:b/>
          <w:bCs/>
          <w:lang w:eastAsia="ru-RU" w:bidi="ru-RU"/>
        </w:rPr>
      </w:pPr>
      <w:bookmarkStart w:id="54" w:name="bookmark2"/>
      <w:bookmarkStart w:id="55" w:name="bookmark3"/>
      <w:r w:rsidRPr="009E6200">
        <w:rPr>
          <w:b/>
          <w:bCs/>
          <w:lang w:eastAsia="ru-RU" w:bidi="ru-RU"/>
        </w:rPr>
        <w:t>Регистрационный номер</w:t>
      </w:r>
      <w:bookmarkEnd w:id="54"/>
      <w:bookmarkEnd w:id="55"/>
    </w:p>
    <w:p w14:paraId="7BA90564" w14:textId="77777777" w:rsidR="00577BCF" w:rsidRDefault="00577BCF" w:rsidP="007B46F5">
      <w:pPr>
        <w:pStyle w:val="SDText"/>
        <w:jc w:val="both"/>
        <w:rPr>
          <w:lang w:eastAsia="ru-RU" w:bidi="ru-RU"/>
        </w:rPr>
      </w:pPr>
    </w:p>
    <w:p w14:paraId="607C25B2" w14:textId="00E8BD0B" w:rsidR="00E05A5D" w:rsidRPr="009E6200" w:rsidRDefault="00E05A5D" w:rsidP="007B46F5">
      <w:pPr>
        <w:pStyle w:val="SDText"/>
        <w:ind w:firstLine="709"/>
        <w:jc w:val="both"/>
        <w:rPr>
          <w:lang w:eastAsia="ru-RU" w:bidi="ru-RU"/>
        </w:rPr>
      </w:pPr>
      <w:r w:rsidRPr="009E6200">
        <w:rPr>
          <w:lang w:eastAsia="ru-RU" w:bidi="ru-RU"/>
        </w:rPr>
        <w:t>ЛС-000533</w:t>
      </w:r>
    </w:p>
    <w:p w14:paraId="15BF0AFD" w14:textId="77777777" w:rsidR="00E05A5D" w:rsidRPr="009E6200" w:rsidRDefault="00E05A5D" w:rsidP="007B46F5">
      <w:pPr>
        <w:pStyle w:val="SDText"/>
        <w:jc w:val="both"/>
        <w:rPr>
          <w:b/>
          <w:bCs/>
          <w:lang w:eastAsia="ru-RU" w:bidi="ru-RU"/>
        </w:rPr>
      </w:pPr>
      <w:bookmarkStart w:id="56" w:name="bookmark4"/>
      <w:bookmarkStart w:id="57" w:name="bookmark5"/>
    </w:p>
    <w:p w14:paraId="5D153FE9" w14:textId="77777777" w:rsidR="00E05A5D" w:rsidRPr="009E6200" w:rsidRDefault="00E05A5D" w:rsidP="007B46F5">
      <w:pPr>
        <w:pStyle w:val="SDText"/>
        <w:jc w:val="both"/>
        <w:rPr>
          <w:b/>
          <w:bCs/>
          <w:lang w:eastAsia="ru-RU" w:bidi="ru-RU"/>
        </w:rPr>
      </w:pPr>
      <w:r w:rsidRPr="009E6200">
        <w:rPr>
          <w:b/>
          <w:bCs/>
          <w:lang w:eastAsia="ru-RU" w:bidi="ru-RU"/>
        </w:rPr>
        <w:t>Торговое наименование</w:t>
      </w:r>
      <w:bookmarkEnd w:id="56"/>
      <w:bookmarkEnd w:id="57"/>
    </w:p>
    <w:p w14:paraId="7A337F6D" w14:textId="77777777" w:rsidR="00577BCF" w:rsidRDefault="00577BCF" w:rsidP="007B46F5">
      <w:pPr>
        <w:pStyle w:val="SDText"/>
        <w:jc w:val="both"/>
        <w:rPr>
          <w:lang w:eastAsia="ru-RU" w:bidi="ru-RU"/>
        </w:rPr>
      </w:pPr>
    </w:p>
    <w:p w14:paraId="1341A9BC" w14:textId="60716B70" w:rsidR="00E05A5D" w:rsidRPr="009E6200" w:rsidRDefault="00E05A5D" w:rsidP="007B46F5">
      <w:pPr>
        <w:pStyle w:val="SDText"/>
        <w:ind w:firstLine="709"/>
        <w:jc w:val="both"/>
        <w:rPr>
          <w:lang w:eastAsia="ru-RU" w:bidi="ru-RU"/>
        </w:rPr>
      </w:pPr>
      <w:r w:rsidRPr="009E6200">
        <w:rPr>
          <w:lang w:eastAsia="ru-RU" w:bidi="ru-RU"/>
        </w:rPr>
        <w:t>Авастин</w:t>
      </w:r>
      <w:r w:rsidRPr="009E6200">
        <w:rPr>
          <w:vertAlign w:val="superscript"/>
          <w:lang w:eastAsia="ru-RU" w:bidi="ru-RU"/>
        </w:rPr>
        <w:t>®</w:t>
      </w:r>
    </w:p>
    <w:p w14:paraId="59194DD6" w14:textId="77777777" w:rsidR="00E05A5D" w:rsidRPr="009E6200" w:rsidRDefault="00E05A5D" w:rsidP="007B46F5">
      <w:pPr>
        <w:pStyle w:val="SDText"/>
        <w:jc w:val="both"/>
        <w:rPr>
          <w:b/>
          <w:bCs/>
          <w:lang w:eastAsia="ru-RU" w:bidi="ru-RU"/>
        </w:rPr>
      </w:pPr>
      <w:bookmarkStart w:id="58" w:name="bookmark6"/>
      <w:bookmarkStart w:id="59" w:name="bookmark7"/>
    </w:p>
    <w:p w14:paraId="3ACC01F4" w14:textId="77777777" w:rsidR="00E05A5D" w:rsidRPr="009E6200" w:rsidRDefault="00E05A5D" w:rsidP="007B46F5">
      <w:pPr>
        <w:pStyle w:val="SDText"/>
        <w:jc w:val="both"/>
        <w:rPr>
          <w:b/>
          <w:bCs/>
          <w:lang w:eastAsia="ru-RU" w:bidi="ru-RU"/>
        </w:rPr>
      </w:pPr>
      <w:r w:rsidRPr="009E6200">
        <w:rPr>
          <w:b/>
          <w:bCs/>
          <w:lang w:eastAsia="ru-RU" w:bidi="ru-RU"/>
        </w:rPr>
        <w:t>Международное непатентованное название</w:t>
      </w:r>
      <w:bookmarkEnd w:id="58"/>
      <w:bookmarkEnd w:id="59"/>
    </w:p>
    <w:p w14:paraId="20A75D59" w14:textId="77777777" w:rsidR="00577BCF" w:rsidRDefault="00577BCF" w:rsidP="007B46F5">
      <w:pPr>
        <w:pStyle w:val="SDText"/>
        <w:jc w:val="both"/>
        <w:rPr>
          <w:lang w:eastAsia="ru-RU" w:bidi="ru-RU"/>
        </w:rPr>
      </w:pPr>
    </w:p>
    <w:p w14:paraId="3F73C71B" w14:textId="263D81C0" w:rsidR="00E05A5D" w:rsidRPr="009E6200" w:rsidRDefault="00E05A5D" w:rsidP="007B46F5">
      <w:pPr>
        <w:pStyle w:val="SDText"/>
        <w:ind w:firstLine="709"/>
        <w:jc w:val="both"/>
        <w:rPr>
          <w:lang w:eastAsia="ru-RU" w:bidi="ru-RU"/>
        </w:rPr>
      </w:pPr>
      <w:r w:rsidRPr="009E6200">
        <w:rPr>
          <w:lang w:eastAsia="ru-RU" w:bidi="ru-RU"/>
        </w:rPr>
        <w:t>Бевацизумаб</w:t>
      </w:r>
    </w:p>
    <w:p w14:paraId="57AA2C00" w14:textId="77777777" w:rsidR="00E05A5D" w:rsidRPr="009E6200" w:rsidRDefault="00E05A5D" w:rsidP="007B46F5">
      <w:pPr>
        <w:pStyle w:val="SDText"/>
        <w:jc w:val="both"/>
        <w:rPr>
          <w:b/>
          <w:bCs/>
          <w:lang w:eastAsia="ru-RU" w:bidi="ru-RU"/>
        </w:rPr>
      </w:pPr>
      <w:bookmarkStart w:id="60" w:name="bookmark8"/>
      <w:bookmarkStart w:id="61" w:name="bookmark9"/>
    </w:p>
    <w:p w14:paraId="3666E9FF" w14:textId="77777777" w:rsidR="00E05A5D" w:rsidRPr="009E6200" w:rsidRDefault="00E05A5D" w:rsidP="007B46F5">
      <w:pPr>
        <w:pStyle w:val="SDText"/>
        <w:jc w:val="both"/>
        <w:rPr>
          <w:b/>
          <w:bCs/>
          <w:lang w:eastAsia="ru-RU" w:bidi="ru-RU"/>
        </w:rPr>
      </w:pPr>
      <w:r w:rsidRPr="009E6200">
        <w:rPr>
          <w:b/>
          <w:bCs/>
          <w:lang w:eastAsia="ru-RU" w:bidi="ru-RU"/>
        </w:rPr>
        <w:t>Лекарственная форма</w:t>
      </w:r>
      <w:bookmarkEnd w:id="60"/>
      <w:bookmarkEnd w:id="61"/>
    </w:p>
    <w:p w14:paraId="04F5CBD2" w14:textId="77777777" w:rsidR="00577BCF" w:rsidRDefault="00577BCF" w:rsidP="007B46F5">
      <w:pPr>
        <w:pStyle w:val="SDText"/>
        <w:jc w:val="both"/>
        <w:rPr>
          <w:lang w:eastAsia="ru-RU" w:bidi="ru-RU"/>
        </w:rPr>
      </w:pPr>
    </w:p>
    <w:p w14:paraId="252BA7FE" w14:textId="405E83DF" w:rsidR="00E05A5D" w:rsidRPr="009E6200" w:rsidRDefault="00E05A5D" w:rsidP="007B46F5">
      <w:pPr>
        <w:pStyle w:val="SDText"/>
        <w:ind w:firstLine="709"/>
        <w:jc w:val="both"/>
        <w:rPr>
          <w:lang w:eastAsia="ru-RU" w:bidi="ru-RU"/>
        </w:rPr>
      </w:pPr>
      <w:r w:rsidRPr="009E6200">
        <w:rPr>
          <w:lang w:eastAsia="ru-RU" w:bidi="ru-RU"/>
        </w:rPr>
        <w:t>Концентрат для приготовления раствора для инфузий</w:t>
      </w:r>
    </w:p>
    <w:p w14:paraId="16D87246" w14:textId="77777777" w:rsidR="00E05A5D" w:rsidRPr="009E6200" w:rsidRDefault="00E05A5D" w:rsidP="007B46F5">
      <w:pPr>
        <w:pStyle w:val="SDText"/>
        <w:jc w:val="both"/>
        <w:rPr>
          <w:b/>
          <w:bCs/>
          <w:lang w:eastAsia="ru-RU" w:bidi="ru-RU"/>
        </w:rPr>
      </w:pPr>
      <w:bookmarkStart w:id="62" w:name="bookmark10"/>
      <w:bookmarkStart w:id="63" w:name="bookmark11"/>
    </w:p>
    <w:p w14:paraId="08A4A759" w14:textId="77777777" w:rsidR="00E05A5D" w:rsidRPr="009E6200" w:rsidRDefault="00E05A5D" w:rsidP="007B46F5">
      <w:pPr>
        <w:pStyle w:val="SDText"/>
        <w:jc w:val="both"/>
        <w:rPr>
          <w:b/>
          <w:bCs/>
          <w:lang w:eastAsia="ru-RU" w:bidi="ru-RU"/>
        </w:rPr>
      </w:pPr>
      <w:r w:rsidRPr="009E6200">
        <w:rPr>
          <w:b/>
          <w:bCs/>
          <w:lang w:eastAsia="ru-RU" w:bidi="ru-RU"/>
        </w:rPr>
        <w:t>Состав</w:t>
      </w:r>
      <w:bookmarkEnd w:id="62"/>
      <w:bookmarkEnd w:id="63"/>
    </w:p>
    <w:p w14:paraId="56737E38" w14:textId="77777777" w:rsidR="00577BCF" w:rsidRDefault="00577BCF" w:rsidP="007B46F5">
      <w:pPr>
        <w:pStyle w:val="SDText"/>
        <w:jc w:val="both"/>
        <w:rPr>
          <w:lang w:eastAsia="ru-RU" w:bidi="ru-RU"/>
        </w:rPr>
      </w:pPr>
    </w:p>
    <w:p w14:paraId="2FB4B27C" w14:textId="06FDECD6" w:rsidR="00E05A5D" w:rsidRPr="009E6200" w:rsidRDefault="00E05A5D" w:rsidP="007B46F5">
      <w:pPr>
        <w:pStyle w:val="SDText"/>
        <w:jc w:val="both"/>
        <w:rPr>
          <w:lang w:eastAsia="ru-RU" w:bidi="ru-RU"/>
        </w:rPr>
      </w:pPr>
      <w:r w:rsidRPr="009E6200">
        <w:rPr>
          <w:lang w:eastAsia="ru-RU" w:bidi="ru-RU"/>
        </w:rPr>
        <w:t>1 флакон содержит:</w:t>
      </w:r>
    </w:p>
    <w:p w14:paraId="42301EE1" w14:textId="77777777" w:rsidR="00E05A5D" w:rsidRPr="009E6200" w:rsidRDefault="00E05A5D" w:rsidP="007B46F5">
      <w:pPr>
        <w:pStyle w:val="SDText"/>
        <w:jc w:val="both"/>
        <w:rPr>
          <w:lang w:eastAsia="ru-RU" w:bidi="ru-RU"/>
        </w:rPr>
      </w:pPr>
      <w:r w:rsidRPr="009E6200">
        <w:rPr>
          <w:i/>
          <w:iCs/>
          <w:lang w:eastAsia="ru-RU" w:bidi="ru-RU"/>
        </w:rPr>
        <w:t>активное вещество:</w:t>
      </w:r>
      <w:r w:rsidRPr="009E6200">
        <w:rPr>
          <w:lang w:eastAsia="ru-RU" w:bidi="ru-RU"/>
        </w:rPr>
        <w:t xml:space="preserve"> бевацизумаб - 100 мг (концентрация во флаконе 100 мг/4 мл)/ 400 мг (концентрация во флаконе 400 мг/16 мл);</w:t>
      </w:r>
    </w:p>
    <w:p w14:paraId="4B1D83CA" w14:textId="40671089" w:rsidR="00E05A5D" w:rsidRPr="009E6200" w:rsidRDefault="00E05A5D" w:rsidP="007B46F5">
      <w:pPr>
        <w:pStyle w:val="SDText"/>
        <w:jc w:val="both"/>
        <w:rPr>
          <w:lang w:eastAsia="ru-RU" w:bidi="ru-RU"/>
        </w:rPr>
      </w:pPr>
      <w:r w:rsidRPr="009E6200">
        <w:rPr>
          <w:i/>
          <w:iCs/>
          <w:lang w:eastAsia="ru-RU" w:bidi="ru-RU"/>
        </w:rPr>
        <w:t>вспомогательные вещества:</w:t>
      </w:r>
      <w:r w:rsidRPr="009E6200">
        <w:rPr>
          <w:lang w:eastAsia="ru-RU" w:bidi="ru-RU"/>
        </w:rPr>
        <w:t xml:space="preserve"> а,а-трегалозы дигидрат - 240.0/960.0 мг, натрия дигидрофосфата моногидрат - 23.2/92</w:t>
      </w:r>
      <w:r w:rsidR="001D23B0">
        <w:rPr>
          <w:lang w:eastAsia="ru-RU" w:bidi="ru-RU"/>
        </w:rPr>
        <w:t>,</w:t>
      </w:r>
      <w:r w:rsidRPr="009E6200">
        <w:rPr>
          <w:lang w:eastAsia="ru-RU" w:bidi="ru-RU"/>
        </w:rPr>
        <w:t>8 мг, натрия гидрофосфат безводный - 4</w:t>
      </w:r>
      <w:r w:rsidR="001D23B0">
        <w:rPr>
          <w:lang w:eastAsia="ru-RU" w:bidi="ru-RU"/>
        </w:rPr>
        <w:t>,</w:t>
      </w:r>
      <w:r w:rsidRPr="009E6200">
        <w:rPr>
          <w:lang w:eastAsia="ru-RU" w:bidi="ru-RU"/>
        </w:rPr>
        <w:t>8/19</w:t>
      </w:r>
      <w:r w:rsidR="001D23B0">
        <w:rPr>
          <w:lang w:eastAsia="ru-RU" w:bidi="ru-RU"/>
        </w:rPr>
        <w:t>.</w:t>
      </w:r>
      <w:r w:rsidRPr="009E6200">
        <w:rPr>
          <w:lang w:eastAsia="ru-RU" w:bidi="ru-RU"/>
        </w:rPr>
        <w:t xml:space="preserve">2 мг, полисорбат 20 </w:t>
      </w:r>
      <w:r w:rsidR="001D23B0">
        <w:rPr>
          <w:lang w:eastAsia="ru-RU" w:bidi="ru-RU"/>
        </w:rPr>
        <w:t>–</w:t>
      </w:r>
      <w:r w:rsidRPr="009E6200">
        <w:rPr>
          <w:lang w:eastAsia="ru-RU" w:bidi="ru-RU"/>
        </w:rPr>
        <w:t xml:space="preserve"> 1</w:t>
      </w:r>
      <w:r w:rsidR="001D23B0">
        <w:rPr>
          <w:lang w:eastAsia="ru-RU" w:bidi="ru-RU"/>
        </w:rPr>
        <w:t>,</w:t>
      </w:r>
      <w:r w:rsidRPr="009E6200">
        <w:rPr>
          <w:lang w:eastAsia="ru-RU" w:bidi="ru-RU"/>
        </w:rPr>
        <w:t>6/6</w:t>
      </w:r>
      <w:r w:rsidR="001D23B0">
        <w:rPr>
          <w:lang w:eastAsia="ru-RU" w:bidi="ru-RU"/>
        </w:rPr>
        <w:t>,</w:t>
      </w:r>
      <w:r w:rsidRPr="009E6200">
        <w:rPr>
          <w:lang w:eastAsia="ru-RU" w:bidi="ru-RU"/>
        </w:rPr>
        <w:t>4 мг, вода для инъекций до 4</w:t>
      </w:r>
      <w:r w:rsidR="001D23B0">
        <w:rPr>
          <w:lang w:eastAsia="ru-RU" w:bidi="ru-RU"/>
        </w:rPr>
        <w:t>,</w:t>
      </w:r>
      <w:r w:rsidRPr="009E6200">
        <w:rPr>
          <w:lang w:eastAsia="ru-RU" w:bidi="ru-RU"/>
        </w:rPr>
        <w:t>0/16</w:t>
      </w:r>
      <w:r w:rsidR="001D23B0">
        <w:rPr>
          <w:lang w:eastAsia="ru-RU" w:bidi="ru-RU"/>
        </w:rPr>
        <w:t>,</w:t>
      </w:r>
      <w:r w:rsidRPr="009E6200">
        <w:rPr>
          <w:lang w:eastAsia="ru-RU" w:bidi="ru-RU"/>
        </w:rPr>
        <w:t>0 мл.</w:t>
      </w:r>
    </w:p>
    <w:p w14:paraId="4655C55B" w14:textId="77777777" w:rsidR="00E05A5D" w:rsidRPr="009E6200" w:rsidRDefault="00E05A5D" w:rsidP="007B46F5">
      <w:pPr>
        <w:pStyle w:val="SDText"/>
        <w:jc w:val="both"/>
        <w:rPr>
          <w:b/>
          <w:bCs/>
          <w:lang w:eastAsia="ru-RU" w:bidi="ru-RU"/>
        </w:rPr>
      </w:pPr>
      <w:bookmarkStart w:id="64" w:name="bookmark12"/>
      <w:bookmarkStart w:id="65" w:name="bookmark13"/>
    </w:p>
    <w:p w14:paraId="63812041" w14:textId="77777777" w:rsidR="00E05A5D" w:rsidRPr="009E6200" w:rsidRDefault="00E05A5D" w:rsidP="007B46F5">
      <w:pPr>
        <w:pStyle w:val="SDText"/>
        <w:jc w:val="both"/>
        <w:rPr>
          <w:b/>
          <w:bCs/>
          <w:lang w:eastAsia="ru-RU" w:bidi="ru-RU"/>
        </w:rPr>
      </w:pPr>
      <w:r w:rsidRPr="009E6200">
        <w:rPr>
          <w:b/>
          <w:bCs/>
          <w:lang w:eastAsia="ru-RU" w:bidi="ru-RU"/>
        </w:rPr>
        <w:t>Описание</w:t>
      </w:r>
      <w:bookmarkEnd w:id="64"/>
      <w:bookmarkEnd w:id="65"/>
    </w:p>
    <w:p w14:paraId="64974BD3" w14:textId="77777777" w:rsidR="00577BCF" w:rsidRDefault="00577BCF" w:rsidP="007B46F5">
      <w:pPr>
        <w:pStyle w:val="SDText"/>
        <w:jc w:val="both"/>
        <w:rPr>
          <w:lang w:eastAsia="ru-RU" w:bidi="ru-RU"/>
        </w:rPr>
      </w:pPr>
    </w:p>
    <w:p w14:paraId="6BBF428A" w14:textId="0D5A846F" w:rsidR="00E05A5D" w:rsidRPr="009E6200" w:rsidRDefault="00E05A5D" w:rsidP="007B46F5">
      <w:pPr>
        <w:pStyle w:val="SDText"/>
        <w:ind w:firstLine="709"/>
        <w:jc w:val="both"/>
        <w:rPr>
          <w:lang w:eastAsia="ru-RU" w:bidi="ru-RU"/>
        </w:rPr>
      </w:pPr>
      <w:r w:rsidRPr="009E6200">
        <w:rPr>
          <w:lang w:eastAsia="ru-RU" w:bidi="ru-RU"/>
        </w:rPr>
        <w:t>Прозрачная или опалесцирующая, бесцветная или слегка коричневатого цвета жидкость.</w:t>
      </w:r>
    </w:p>
    <w:p w14:paraId="23689BAD" w14:textId="77777777" w:rsidR="00E05A5D" w:rsidRPr="009E6200" w:rsidRDefault="00E05A5D" w:rsidP="007B46F5">
      <w:pPr>
        <w:pStyle w:val="SDText"/>
        <w:jc w:val="both"/>
        <w:rPr>
          <w:b/>
          <w:bCs/>
          <w:lang w:eastAsia="ru-RU" w:bidi="ru-RU"/>
        </w:rPr>
      </w:pPr>
      <w:bookmarkStart w:id="66" w:name="bookmark14"/>
      <w:bookmarkStart w:id="67" w:name="bookmark15"/>
    </w:p>
    <w:p w14:paraId="7F28F2EB" w14:textId="77777777" w:rsidR="00E05A5D" w:rsidRPr="009E6200" w:rsidRDefault="00E05A5D" w:rsidP="007B46F5">
      <w:pPr>
        <w:pStyle w:val="SDText"/>
        <w:jc w:val="both"/>
        <w:rPr>
          <w:b/>
          <w:bCs/>
          <w:lang w:eastAsia="ru-RU" w:bidi="ru-RU"/>
        </w:rPr>
      </w:pPr>
      <w:r w:rsidRPr="009E6200">
        <w:rPr>
          <w:b/>
          <w:bCs/>
          <w:lang w:eastAsia="ru-RU" w:bidi="ru-RU"/>
        </w:rPr>
        <w:t>Фармакотерапевтическая группа</w:t>
      </w:r>
      <w:bookmarkEnd w:id="66"/>
      <w:bookmarkEnd w:id="67"/>
    </w:p>
    <w:p w14:paraId="01844C10" w14:textId="77777777" w:rsidR="00577BCF" w:rsidRDefault="00577BCF" w:rsidP="007B46F5">
      <w:pPr>
        <w:pStyle w:val="SDText"/>
        <w:jc w:val="both"/>
        <w:rPr>
          <w:lang w:eastAsia="ru-RU" w:bidi="ru-RU"/>
        </w:rPr>
      </w:pPr>
    </w:p>
    <w:p w14:paraId="60FC0E9D" w14:textId="42B6FFE8" w:rsidR="00E05A5D" w:rsidRPr="009E6200" w:rsidRDefault="00E05A5D" w:rsidP="007B46F5">
      <w:pPr>
        <w:pStyle w:val="SDText"/>
        <w:ind w:firstLine="709"/>
        <w:jc w:val="both"/>
        <w:rPr>
          <w:lang w:eastAsia="ru-RU" w:bidi="ru-RU"/>
        </w:rPr>
      </w:pPr>
      <w:r w:rsidRPr="009E6200">
        <w:rPr>
          <w:lang w:eastAsia="ru-RU" w:bidi="ru-RU"/>
        </w:rPr>
        <w:t>Противоопухолевое средство, антитела моноклональные.</w:t>
      </w:r>
    </w:p>
    <w:p w14:paraId="40C996F2" w14:textId="77777777" w:rsidR="00E05A5D" w:rsidRPr="009E6200" w:rsidRDefault="00E05A5D" w:rsidP="007B46F5">
      <w:pPr>
        <w:pStyle w:val="SDText"/>
        <w:ind w:firstLine="709"/>
        <w:jc w:val="both"/>
        <w:rPr>
          <w:lang w:eastAsia="ru-RU" w:bidi="ru-RU"/>
        </w:rPr>
      </w:pPr>
      <w:r w:rsidRPr="009E6200">
        <w:rPr>
          <w:lang w:eastAsia="ru-RU" w:bidi="ru-RU"/>
        </w:rPr>
        <w:t xml:space="preserve">Код АТХ </w:t>
      </w:r>
      <w:r w:rsidRPr="009E6200">
        <w:rPr>
          <w:lang w:eastAsia="ru-RU"/>
        </w:rPr>
        <w:t>[</w:t>
      </w:r>
      <w:r w:rsidRPr="009E6200">
        <w:rPr>
          <w:lang w:eastAsia="ru-RU" w:bidi="en-US"/>
        </w:rPr>
        <w:t>L</w:t>
      </w:r>
      <w:r w:rsidRPr="009E6200">
        <w:rPr>
          <w:lang w:eastAsia="ru-RU"/>
        </w:rPr>
        <w:t>01</w:t>
      </w:r>
      <w:r w:rsidRPr="009E6200">
        <w:rPr>
          <w:lang w:eastAsia="ru-RU" w:bidi="en-US"/>
        </w:rPr>
        <w:t>XC</w:t>
      </w:r>
      <w:r w:rsidRPr="009E6200">
        <w:rPr>
          <w:lang w:eastAsia="ru-RU"/>
        </w:rPr>
        <w:t>07]</w:t>
      </w:r>
    </w:p>
    <w:p w14:paraId="10B089B3" w14:textId="77777777" w:rsidR="00E05A5D" w:rsidRPr="009E6200" w:rsidRDefault="00E05A5D" w:rsidP="007B46F5">
      <w:pPr>
        <w:pStyle w:val="SDText"/>
        <w:jc w:val="both"/>
        <w:rPr>
          <w:b/>
          <w:bCs/>
          <w:lang w:eastAsia="ru-RU" w:bidi="ru-RU"/>
        </w:rPr>
      </w:pPr>
    </w:p>
    <w:p w14:paraId="5F9F4BF3" w14:textId="77777777" w:rsidR="00E05A5D" w:rsidRPr="009E6200" w:rsidRDefault="00E05A5D" w:rsidP="007B46F5">
      <w:pPr>
        <w:pStyle w:val="SDText"/>
        <w:jc w:val="both"/>
        <w:rPr>
          <w:lang w:eastAsia="ru-RU" w:bidi="ru-RU"/>
        </w:rPr>
      </w:pPr>
      <w:r w:rsidRPr="009E6200">
        <w:rPr>
          <w:b/>
          <w:bCs/>
          <w:lang w:eastAsia="ru-RU" w:bidi="ru-RU"/>
        </w:rPr>
        <w:t>Фармакологическое действие</w:t>
      </w:r>
    </w:p>
    <w:p w14:paraId="04AD5214" w14:textId="77777777" w:rsidR="00577BCF" w:rsidRDefault="00577BCF" w:rsidP="007B46F5">
      <w:pPr>
        <w:pStyle w:val="SDText"/>
        <w:jc w:val="both"/>
        <w:rPr>
          <w:b/>
          <w:bCs/>
          <w:i/>
          <w:iCs/>
          <w:lang w:eastAsia="ru-RU" w:bidi="ru-RU"/>
        </w:rPr>
      </w:pPr>
    </w:p>
    <w:p w14:paraId="7D31A4C1" w14:textId="1388DDB0" w:rsidR="00E05A5D" w:rsidRPr="009E6200" w:rsidRDefault="00E05A5D" w:rsidP="007B46F5">
      <w:pPr>
        <w:pStyle w:val="SDText"/>
        <w:jc w:val="both"/>
        <w:rPr>
          <w:lang w:eastAsia="ru-RU" w:bidi="ru-RU"/>
        </w:rPr>
      </w:pPr>
      <w:r w:rsidRPr="009E6200">
        <w:rPr>
          <w:b/>
          <w:bCs/>
          <w:i/>
          <w:iCs/>
          <w:lang w:eastAsia="ru-RU" w:bidi="ru-RU"/>
        </w:rPr>
        <w:t>Фармакодинамика</w:t>
      </w:r>
    </w:p>
    <w:p w14:paraId="225E799F" w14:textId="77777777" w:rsidR="00577BCF" w:rsidRDefault="00577BCF" w:rsidP="007B46F5">
      <w:pPr>
        <w:pStyle w:val="SDText"/>
        <w:jc w:val="both"/>
        <w:rPr>
          <w:lang w:eastAsia="ru-RU" w:bidi="ru-RU"/>
        </w:rPr>
      </w:pPr>
    </w:p>
    <w:p w14:paraId="748A8D80" w14:textId="7315B21A" w:rsidR="00E05A5D" w:rsidRPr="009E6200" w:rsidRDefault="00E05A5D" w:rsidP="007B46F5">
      <w:pPr>
        <w:pStyle w:val="SDText"/>
        <w:ind w:firstLine="709"/>
        <w:jc w:val="both"/>
        <w:rPr>
          <w:lang w:eastAsia="ru-RU" w:bidi="ru-RU"/>
        </w:rPr>
      </w:pPr>
      <w:r w:rsidRPr="009E6200">
        <w:rPr>
          <w:lang w:eastAsia="ru-RU" w:bidi="ru-RU"/>
        </w:rPr>
        <w:t>Препарат Авастин</w:t>
      </w:r>
      <w:r w:rsidRPr="009E6200">
        <w:rPr>
          <w:vertAlign w:val="superscript"/>
          <w:lang w:eastAsia="ru-RU" w:bidi="ru-RU"/>
        </w:rPr>
        <w:t>®</w:t>
      </w:r>
      <w:r w:rsidRPr="009E6200">
        <w:rPr>
          <w:lang w:eastAsia="ru-RU" w:bidi="ru-RU"/>
        </w:rPr>
        <w:t xml:space="preserve"> (бевацизумаб) - гуманизированное рекомбинантное гиперхимерное моноклональное антитело, которое селективно связывается с биологически активным фактором роста эндотелия сосудов </w:t>
      </w:r>
      <w:r w:rsidRPr="009E6200">
        <w:rPr>
          <w:lang w:eastAsia="ru-RU"/>
        </w:rPr>
        <w:t>(</w:t>
      </w:r>
      <w:r w:rsidRPr="009E6200">
        <w:rPr>
          <w:lang w:eastAsia="ru-RU" w:bidi="en-US"/>
        </w:rPr>
        <w:t>vascular</w:t>
      </w:r>
      <w:r w:rsidRPr="009E6200">
        <w:rPr>
          <w:lang w:eastAsia="ru-RU"/>
        </w:rPr>
        <w:t xml:space="preserve"> </w:t>
      </w:r>
      <w:r w:rsidRPr="009E6200">
        <w:rPr>
          <w:lang w:eastAsia="ru-RU" w:bidi="en-US"/>
        </w:rPr>
        <w:t>endothelial</w:t>
      </w:r>
      <w:r w:rsidRPr="009E6200">
        <w:rPr>
          <w:lang w:eastAsia="ru-RU"/>
        </w:rPr>
        <w:t xml:space="preserve"> </w:t>
      </w:r>
      <w:r w:rsidRPr="009E6200">
        <w:rPr>
          <w:lang w:eastAsia="ru-RU" w:bidi="en-US"/>
        </w:rPr>
        <w:t>growth</w:t>
      </w:r>
      <w:r w:rsidRPr="009E6200">
        <w:rPr>
          <w:lang w:eastAsia="ru-RU"/>
        </w:rPr>
        <w:t xml:space="preserve"> </w:t>
      </w:r>
      <w:r w:rsidRPr="009E6200">
        <w:rPr>
          <w:lang w:eastAsia="ru-RU" w:bidi="en-US"/>
        </w:rPr>
        <w:t>factor</w:t>
      </w:r>
      <w:r w:rsidRPr="009E6200">
        <w:rPr>
          <w:lang w:eastAsia="ru-RU"/>
        </w:rPr>
        <w:t xml:space="preserve"> </w:t>
      </w:r>
      <w:r w:rsidRPr="009E6200">
        <w:rPr>
          <w:lang w:eastAsia="ru-RU" w:bidi="ru-RU"/>
        </w:rPr>
        <w:t xml:space="preserve">- </w:t>
      </w:r>
      <w:r w:rsidRPr="009E6200">
        <w:rPr>
          <w:lang w:eastAsia="ru-RU" w:bidi="en-US"/>
        </w:rPr>
        <w:t>VEGF</w:t>
      </w:r>
      <w:r w:rsidRPr="009E6200">
        <w:rPr>
          <w:lang w:eastAsia="ru-RU"/>
        </w:rPr>
        <w:t xml:space="preserve">) </w:t>
      </w:r>
      <w:r w:rsidRPr="009E6200">
        <w:rPr>
          <w:lang w:eastAsia="ru-RU" w:bidi="ru-RU"/>
        </w:rPr>
        <w:t>и нейтрализует его. Препарат Авастин</w:t>
      </w:r>
      <w:r w:rsidRPr="009E6200">
        <w:rPr>
          <w:vertAlign w:val="superscript"/>
          <w:lang w:eastAsia="ru-RU" w:bidi="ru-RU"/>
        </w:rPr>
        <w:t>®</w:t>
      </w:r>
      <w:r w:rsidRPr="009E6200">
        <w:rPr>
          <w:lang w:eastAsia="ru-RU" w:bidi="ru-RU"/>
        </w:rPr>
        <w:t xml:space="preserve"> ингибирует связывание фактора роста эндотелия сосудов с его рецепторами 1 и 2 типа </w:t>
      </w:r>
      <w:r w:rsidRPr="009E6200">
        <w:rPr>
          <w:lang w:eastAsia="ru-RU"/>
        </w:rPr>
        <w:t>(</w:t>
      </w:r>
      <w:r w:rsidRPr="009E6200">
        <w:rPr>
          <w:lang w:eastAsia="ru-RU" w:bidi="en-US"/>
        </w:rPr>
        <w:t>Flt</w:t>
      </w:r>
      <w:r w:rsidRPr="009E6200">
        <w:rPr>
          <w:lang w:eastAsia="ru-RU"/>
        </w:rPr>
        <w:t xml:space="preserve">-1, </w:t>
      </w:r>
      <w:r w:rsidRPr="009E6200">
        <w:rPr>
          <w:lang w:eastAsia="ru-RU" w:bidi="en-US"/>
        </w:rPr>
        <w:t>KDR</w:t>
      </w:r>
      <w:r w:rsidRPr="009E6200">
        <w:rPr>
          <w:lang w:eastAsia="ru-RU"/>
        </w:rPr>
        <w:t xml:space="preserve">) </w:t>
      </w:r>
      <w:r w:rsidRPr="009E6200">
        <w:rPr>
          <w:lang w:eastAsia="ru-RU" w:bidi="ru-RU"/>
        </w:rPr>
        <w:t>на поверхности эндотелиальных клеток, что приводит к снижению васкуляризации и угнетению роста опухоли.</w:t>
      </w:r>
    </w:p>
    <w:p w14:paraId="02635E6A" w14:textId="77777777" w:rsidR="00E05A5D" w:rsidRPr="009E6200" w:rsidRDefault="00E05A5D" w:rsidP="007B46F5">
      <w:pPr>
        <w:pStyle w:val="SDText"/>
        <w:ind w:firstLine="709"/>
        <w:jc w:val="both"/>
        <w:rPr>
          <w:lang w:eastAsia="ru-RU" w:bidi="ru-RU"/>
        </w:rPr>
      </w:pPr>
      <w:r w:rsidRPr="009E6200">
        <w:rPr>
          <w:lang w:eastAsia="ru-RU" w:bidi="ru-RU"/>
        </w:rPr>
        <w:t xml:space="preserve">Бевацизумаб содержит полностью человеческие каркасные участки с определяющими комплементарность участками гиперхимерного антитела мыши, которые связываются с </w:t>
      </w:r>
      <w:r w:rsidRPr="009E6200">
        <w:rPr>
          <w:lang w:eastAsia="ru-RU" w:bidi="en-US"/>
        </w:rPr>
        <w:t>VEGF</w:t>
      </w:r>
      <w:r w:rsidRPr="009E6200">
        <w:rPr>
          <w:lang w:eastAsia="ru-RU"/>
        </w:rPr>
        <w:t xml:space="preserve">. </w:t>
      </w:r>
      <w:r w:rsidRPr="009E6200">
        <w:rPr>
          <w:lang w:eastAsia="ru-RU" w:bidi="ru-RU"/>
        </w:rPr>
        <w:t>Бевацизумаб получают по технологии рекомбинантной дезоксирибонуклеиновой кислоты (ДНК) в системе для экспрессии, представленной клетками яичников китайского хомячка. Бевацизумаб состоит из 214 аминокислот и имеет молекулярный вес около 149000 дальтон.</w:t>
      </w:r>
    </w:p>
    <w:p w14:paraId="3929C62D" w14:textId="77777777" w:rsidR="00E05A5D" w:rsidRPr="009E6200" w:rsidRDefault="00E05A5D" w:rsidP="007B46F5">
      <w:pPr>
        <w:pStyle w:val="SDText"/>
        <w:ind w:firstLine="709"/>
        <w:jc w:val="both"/>
        <w:rPr>
          <w:lang w:eastAsia="ru-RU" w:bidi="ru-RU"/>
        </w:rPr>
      </w:pPr>
      <w:r w:rsidRPr="009E6200">
        <w:rPr>
          <w:lang w:eastAsia="ru-RU" w:bidi="ru-RU"/>
        </w:rPr>
        <w:t>Введение бевацизумаба приводит к подавлению метастатического прогрессирования заболевания и снижению микрососудистой проницаемости при различных опухолях человека, включая рак ободочной кишки, молочной железы, поджелудочной железы и предстательной железы.</w:t>
      </w:r>
    </w:p>
    <w:p w14:paraId="30C48B79" w14:textId="77777777" w:rsidR="00577BCF" w:rsidRDefault="00577BCF" w:rsidP="007B46F5">
      <w:pPr>
        <w:pStyle w:val="SDText"/>
        <w:jc w:val="both"/>
        <w:rPr>
          <w:i/>
          <w:iCs/>
          <w:lang w:eastAsia="ru-RU" w:bidi="ru-RU"/>
        </w:rPr>
      </w:pPr>
    </w:p>
    <w:p w14:paraId="12A472A3" w14:textId="0B1E9EF3" w:rsidR="00E05A5D" w:rsidRPr="009E6200" w:rsidRDefault="00E05A5D" w:rsidP="007B46F5">
      <w:pPr>
        <w:pStyle w:val="SDText"/>
        <w:jc w:val="both"/>
        <w:rPr>
          <w:lang w:eastAsia="ru-RU" w:bidi="ru-RU"/>
        </w:rPr>
      </w:pPr>
      <w:r w:rsidRPr="009E6200">
        <w:rPr>
          <w:i/>
          <w:iCs/>
          <w:lang w:eastAsia="ru-RU" w:bidi="ru-RU"/>
        </w:rPr>
        <w:t>Доклинические данные по безопасности</w:t>
      </w:r>
    </w:p>
    <w:p w14:paraId="71CE315F" w14:textId="77777777" w:rsidR="00577BCF" w:rsidRDefault="00577BCF" w:rsidP="007B46F5">
      <w:pPr>
        <w:pStyle w:val="SDText"/>
        <w:jc w:val="both"/>
        <w:rPr>
          <w:lang w:eastAsia="ru-RU" w:bidi="ru-RU"/>
        </w:rPr>
      </w:pPr>
    </w:p>
    <w:p w14:paraId="49CE89DE" w14:textId="2B5EE043" w:rsidR="00E05A5D" w:rsidRPr="009E6200" w:rsidRDefault="00E05A5D" w:rsidP="007B46F5">
      <w:pPr>
        <w:pStyle w:val="SDText"/>
        <w:ind w:firstLine="709"/>
        <w:jc w:val="both"/>
        <w:rPr>
          <w:lang w:eastAsia="ru-RU" w:bidi="ru-RU"/>
        </w:rPr>
      </w:pPr>
      <w:r w:rsidRPr="009E6200">
        <w:rPr>
          <w:lang w:eastAsia="ru-RU" w:bidi="ru-RU"/>
        </w:rPr>
        <w:t>Канцерогенный и мутагенный потенциал препарата Авастин</w:t>
      </w:r>
      <w:r w:rsidRPr="009E6200">
        <w:rPr>
          <w:vertAlign w:val="superscript"/>
          <w:lang w:eastAsia="ru-RU" w:bidi="ru-RU"/>
        </w:rPr>
        <w:t>®</w:t>
      </w:r>
      <w:r w:rsidRPr="009E6200">
        <w:rPr>
          <w:lang w:eastAsia="ru-RU" w:bidi="ru-RU"/>
        </w:rPr>
        <w:t xml:space="preserve"> не изучался.</w:t>
      </w:r>
    </w:p>
    <w:p w14:paraId="138BDB66" w14:textId="77777777" w:rsidR="00E05A5D" w:rsidRPr="009E6200" w:rsidRDefault="00E05A5D" w:rsidP="007B46F5">
      <w:pPr>
        <w:pStyle w:val="SDText"/>
        <w:jc w:val="both"/>
        <w:rPr>
          <w:lang w:eastAsia="ru-RU" w:bidi="ru-RU"/>
        </w:rPr>
      </w:pPr>
      <w:r w:rsidRPr="009E6200">
        <w:rPr>
          <w:lang w:eastAsia="ru-RU" w:bidi="ru-RU"/>
        </w:rPr>
        <w:t>При введении животным препарата Авастин</w:t>
      </w:r>
      <w:r w:rsidRPr="009E6200">
        <w:rPr>
          <w:vertAlign w:val="superscript"/>
          <w:lang w:eastAsia="ru-RU" w:bidi="ru-RU"/>
        </w:rPr>
        <w:t>®</w:t>
      </w:r>
      <w:r w:rsidRPr="009E6200">
        <w:rPr>
          <w:lang w:eastAsia="ru-RU" w:bidi="ru-RU"/>
        </w:rPr>
        <w:t xml:space="preserve"> наблюдалось эмбриотоксическое и тератогенное действие.</w:t>
      </w:r>
    </w:p>
    <w:p w14:paraId="776C920C" w14:textId="77777777" w:rsidR="00E05A5D" w:rsidRPr="009E6200" w:rsidRDefault="00E05A5D" w:rsidP="007B46F5">
      <w:pPr>
        <w:pStyle w:val="SDText"/>
        <w:ind w:firstLine="709"/>
        <w:jc w:val="both"/>
        <w:rPr>
          <w:lang w:eastAsia="ru-RU" w:bidi="ru-RU"/>
        </w:rPr>
      </w:pPr>
      <w:r w:rsidRPr="009E6200">
        <w:rPr>
          <w:lang w:eastAsia="ru-RU" w:bidi="ru-RU"/>
        </w:rPr>
        <w:t>У активно растущих животных с открытыми зонами роста применение препарата Авастин</w:t>
      </w:r>
      <w:r w:rsidRPr="009E6200">
        <w:rPr>
          <w:vertAlign w:val="superscript"/>
          <w:lang w:eastAsia="ru-RU" w:bidi="ru-RU"/>
        </w:rPr>
        <w:t>®</w:t>
      </w:r>
      <w:r w:rsidRPr="009E6200">
        <w:rPr>
          <w:lang w:eastAsia="ru-RU" w:bidi="ru-RU"/>
        </w:rPr>
        <w:t xml:space="preserve"> ассоциировалось с дисплазией хрящевой пластины.</w:t>
      </w:r>
    </w:p>
    <w:p w14:paraId="599D4E20" w14:textId="77777777" w:rsidR="00577BCF" w:rsidRDefault="00577BCF" w:rsidP="007B46F5">
      <w:pPr>
        <w:pStyle w:val="SDText"/>
        <w:jc w:val="both"/>
        <w:rPr>
          <w:b/>
          <w:bCs/>
          <w:i/>
          <w:iCs/>
          <w:lang w:eastAsia="ru-RU" w:bidi="ru-RU"/>
        </w:rPr>
      </w:pPr>
    </w:p>
    <w:p w14:paraId="1B2BC6D4" w14:textId="2356F262" w:rsidR="00E05A5D" w:rsidRPr="009E6200" w:rsidRDefault="00E05A5D" w:rsidP="007B46F5">
      <w:pPr>
        <w:pStyle w:val="SDText"/>
        <w:jc w:val="both"/>
        <w:rPr>
          <w:lang w:eastAsia="ru-RU" w:bidi="ru-RU"/>
        </w:rPr>
      </w:pPr>
      <w:r w:rsidRPr="009E6200">
        <w:rPr>
          <w:b/>
          <w:bCs/>
          <w:i/>
          <w:iCs/>
          <w:lang w:eastAsia="ru-RU" w:bidi="ru-RU"/>
        </w:rPr>
        <w:t>Фармакокинетика</w:t>
      </w:r>
    </w:p>
    <w:p w14:paraId="1EED8765" w14:textId="77777777" w:rsidR="00577BCF" w:rsidRDefault="00577BCF" w:rsidP="007B46F5">
      <w:pPr>
        <w:pStyle w:val="SDText"/>
        <w:jc w:val="both"/>
        <w:rPr>
          <w:lang w:eastAsia="ru-RU" w:bidi="ru-RU"/>
        </w:rPr>
      </w:pPr>
    </w:p>
    <w:p w14:paraId="79777F37" w14:textId="1E1ECEBA" w:rsidR="00E05A5D" w:rsidRPr="009E6200" w:rsidRDefault="00E05A5D" w:rsidP="007B46F5">
      <w:pPr>
        <w:pStyle w:val="SDText"/>
        <w:ind w:firstLine="709"/>
        <w:jc w:val="both"/>
        <w:rPr>
          <w:lang w:eastAsia="ru-RU" w:bidi="ru-RU"/>
        </w:rPr>
      </w:pPr>
      <w:r w:rsidRPr="009E6200">
        <w:rPr>
          <w:lang w:eastAsia="ru-RU" w:bidi="ru-RU"/>
        </w:rPr>
        <w:t>Изучалась фармакокинетика препарата Авастин</w:t>
      </w:r>
      <w:r w:rsidRPr="009E6200">
        <w:rPr>
          <w:vertAlign w:val="superscript"/>
          <w:lang w:eastAsia="ru-RU" w:bidi="ru-RU"/>
        </w:rPr>
        <w:t>®</w:t>
      </w:r>
      <w:r w:rsidRPr="009E6200">
        <w:rPr>
          <w:lang w:eastAsia="ru-RU" w:bidi="ru-RU"/>
        </w:rPr>
        <w:t xml:space="preserve"> после внутривенного введения (в/в) в различных дозах (0.1-10 мг/кг каждую неделю; 3-20 мг/кг каждые 2 или 3 недели; 5 мг/кг каждые 2 недели или 15 мг/кг каждые 3 недели) у пациентов с различными солидными опухолями.</w:t>
      </w:r>
    </w:p>
    <w:p w14:paraId="785856C4" w14:textId="77777777" w:rsidR="00E05A5D" w:rsidRPr="009E6200" w:rsidRDefault="00E05A5D" w:rsidP="007B46F5">
      <w:pPr>
        <w:pStyle w:val="SDText"/>
        <w:ind w:firstLine="709"/>
        <w:jc w:val="both"/>
        <w:rPr>
          <w:lang w:eastAsia="ru-RU" w:bidi="ru-RU"/>
        </w:rPr>
      </w:pPr>
      <w:r w:rsidRPr="009E6200">
        <w:rPr>
          <w:lang w:eastAsia="ru-RU" w:bidi="ru-RU"/>
        </w:rPr>
        <w:t>Фармакокинетика бевацизумаба, как и других антител, описывается двухкамерной моделью. Распределение препарата Авастин</w:t>
      </w:r>
      <w:r w:rsidRPr="009E6200">
        <w:rPr>
          <w:vertAlign w:val="superscript"/>
          <w:lang w:eastAsia="ru-RU" w:bidi="ru-RU"/>
        </w:rPr>
        <w:t>®</w:t>
      </w:r>
      <w:r w:rsidRPr="009E6200">
        <w:rPr>
          <w:lang w:eastAsia="ru-RU" w:bidi="ru-RU"/>
        </w:rPr>
        <w:t xml:space="preserve"> характеризуется низким клиренсом, низким объемом распределения в центральной камере </w:t>
      </w:r>
      <w:r w:rsidRPr="009E6200">
        <w:rPr>
          <w:lang w:eastAsia="ru-RU"/>
        </w:rPr>
        <w:t>(</w:t>
      </w:r>
      <w:r w:rsidRPr="009E6200">
        <w:rPr>
          <w:lang w:eastAsia="ru-RU" w:bidi="en-US"/>
        </w:rPr>
        <w:t>V</w:t>
      </w:r>
      <w:r w:rsidRPr="009E6200">
        <w:rPr>
          <w:vertAlign w:val="subscript"/>
          <w:lang w:eastAsia="ru-RU" w:bidi="en-US"/>
        </w:rPr>
        <w:t>c</w:t>
      </w:r>
      <w:r w:rsidRPr="009E6200">
        <w:rPr>
          <w:lang w:eastAsia="ru-RU"/>
        </w:rPr>
        <w:t xml:space="preserve">) </w:t>
      </w:r>
      <w:r w:rsidRPr="009E6200">
        <w:rPr>
          <w:lang w:eastAsia="ru-RU" w:bidi="ru-RU"/>
        </w:rPr>
        <w:t>и длительным периодом полувыведения, что позволяет добиться поддержания необходимой терапевтической концентрации препарата в плазме при введении 1 раз в 2-3 недели.</w:t>
      </w:r>
    </w:p>
    <w:p w14:paraId="70058BB8" w14:textId="77777777" w:rsidR="00E05A5D" w:rsidRPr="009E6200" w:rsidRDefault="00E05A5D" w:rsidP="007B46F5">
      <w:pPr>
        <w:pStyle w:val="SDText"/>
        <w:jc w:val="both"/>
        <w:rPr>
          <w:lang w:eastAsia="ru-RU" w:bidi="ru-RU"/>
        </w:rPr>
      </w:pPr>
      <w:r w:rsidRPr="009E6200">
        <w:rPr>
          <w:lang w:eastAsia="ru-RU" w:bidi="ru-RU"/>
        </w:rPr>
        <w:t>Клиренс бевацизумаба не зависит от возраста пациента.</w:t>
      </w:r>
    </w:p>
    <w:p w14:paraId="1FCE0F0D" w14:textId="77777777" w:rsidR="00E05A5D" w:rsidRPr="009E6200" w:rsidRDefault="00E05A5D" w:rsidP="007B46F5">
      <w:pPr>
        <w:pStyle w:val="SDText"/>
        <w:jc w:val="both"/>
        <w:rPr>
          <w:lang w:eastAsia="ru-RU" w:bidi="ru-RU"/>
        </w:rPr>
      </w:pPr>
      <w:r w:rsidRPr="009E6200">
        <w:rPr>
          <w:lang w:eastAsia="ru-RU" w:bidi="ru-RU"/>
        </w:rPr>
        <w:t>По данным популяционного фармакокинетического мета-анализа значимого различия фармакокинетики бевацизумаба в зависимости от расы при включении в анализ массы тела или в зависимости от возраста не отмечалось (корреляция между клиренсом креатинина и возрастом пациента отсутствует [медиана возраста - 59 лет, а 5-й и 95-й процентили - 37 и 76 лет]).</w:t>
      </w:r>
    </w:p>
    <w:p w14:paraId="3F242D48" w14:textId="77777777" w:rsidR="00E05A5D" w:rsidRPr="009E6200" w:rsidRDefault="00E05A5D" w:rsidP="007B46F5">
      <w:pPr>
        <w:pStyle w:val="SDText"/>
        <w:ind w:firstLine="709"/>
        <w:jc w:val="both"/>
        <w:rPr>
          <w:lang w:eastAsia="ru-RU" w:bidi="ru-RU"/>
        </w:rPr>
      </w:pPr>
      <w:r w:rsidRPr="009E6200">
        <w:rPr>
          <w:lang w:eastAsia="ru-RU" w:bidi="ru-RU"/>
        </w:rPr>
        <w:t>Клиренс бевацизумаба на 30% выше у пациентов с низким уровнем альбумина и на 7% выше у пациентов с большой опухолевой массой по сравнению с пациентами со средними значениями альбумина и опухолевой массы.</w:t>
      </w:r>
    </w:p>
    <w:p w14:paraId="69E9E88A" w14:textId="1CDB799C" w:rsidR="00E05A5D" w:rsidRPr="009E6200" w:rsidRDefault="00E05A5D" w:rsidP="007B46F5">
      <w:pPr>
        <w:pStyle w:val="SDText"/>
        <w:jc w:val="both"/>
        <w:rPr>
          <w:lang w:eastAsia="ru-RU" w:bidi="ru-RU"/>
        </w:rPr>
      </w:pPr>
      <w:r w:rsidRPr="009E6200">
        <w:rPr>
          <w:i/>
          <w:iCs/>
          <w:lang w:eastAsia="ru-RU" w:bidi="ru-RU"/>
        </w:rPr>
        <w:t>Распределение</w:t>
      </w:r>
    </w:p>
    <w:p w14:paraId="4D8AD79D" w14:textId="13BF0510" w:rsidR="00E05A5D" w:rsidRPr="009E6200" w:rsidRDefault="00E05A5D" w:rsidP="007B46F5">
      <w:pPr>
        <w:pStyle w:val="SDText"/>
        <w:ind w:firstLine="709"/>
        <w:jc w:val="both"/>
        <w:rPr>
          <w:lang w:eastAsia="ru-RU" w:bidi="ru-RU"/>
        </w:rPr>
      </w:pPr>
      <w:r w:rsidRPr="009E6200">
        <w:rPr>
          <w:lang w:eastAsia="ru-RU" w:bidi="ru-RU"/>
        </w:rPr>
        <w:t>V составляет 2</w:t>
      </w:r>
      <w:r w:rsidR="001D23B0">
        <w:rPr>
          <w:lang w:eastAsia="ru-RU" w:bidi="ru-RU"/>
        </w:rPr>
        <w:t>,</w:t>
      </w:r>
      <w:r w:rsidRPr="009E6200">
        <w:rPr>
          <w:lang w:eastAsia="ru-RU" w:bidi="ru-RU"/>
        </w:rPr>
        <w:t>73 л и 3</w:t>
      </w:r>
      <w:r w:rsidR="001D23B0">
        <w:rPr>
          <w:lang w:eastAsia="ru-RU" w:bidi="ru-RU"/>
        </w:rPr>
        <w:t>,</w:t>
      </w:r>
      <w:r w:rsidRPr="009E6200">
        <w:rPr>
          <w:lang w:eastAsia="ru-RU" w:bidi="ru-RU"/>
        </w:rPr>
        <w:t xml:space="preserve">28 л у женщин и мужчин, соответственно, что соответствует объему распределения иммуноглобулинов класса </w:t>
      </w:r>
      <w:r w:rsidRPr="009E6200">
        <w:rPr>
          <w:lang w:eastAsia="ru-RU" w:bidi="en-US"/>
        </w:rPr>
        <w:t>G</w:t>
      </w:r>
      <w:r w:rsidRPr="009E6200">
        <w:rPr>
          <w:lang w:eastAsia="ru-RU"/>
        </w:rPr>
        <w:t xml:space="preserve"> (</w:t>
      </w:r>
      <w:r w:rsidRPr="009E6200">
        <w:rPr>
          <w:lang w:eastAsia="ru-RU" w:bidi="en-US"/>
        </w:rPr>
        <w:t>IgG</w:t>
      </w:r>
      <w:r w:rsidRPr="009E6200">
        <w:rPr>
          <w:lang w:eastAsia="ru-RU"/>
        </w:rPr>
        <w:t xml:space="preserve">) </w:t>
      </w:r>
      <w:r w:rsidRPr="009E6200">
        <w:rPr>
          <w:lang w:eastAsia="ru-RU" w:bidi="ru-RU"/>
        </w:rPr>
        <w:t>и других моноклональных антител. Объем распределения в периферической камере (У</w:t>
      </w:r>
      <w:r w:rsidRPr="009E6200">
        <w:rPr>
          <w:vertAlign w:val="subscript"/>
          <w:lang w:eastAsia="ru-RU" w:bidi="ru-RU"/>
        </w:rPr>
        <w:t>р</w:t>
      </w:r>
      <w:r w:rsidRPr="009E6200">
        <w:rPr>
          <w:lang w:eastAsia="ru-RU" w:bidi="ru-RU"/>
        </w:rPr>
        <w:t>) составляет 1</w:t>
      </w:r>
      <w:r w:rsidR="001D23B0">
        <w:rPr>
          <w:lang w:eastAsia="ru-RU" w:bidi="ru-RU"/>
        </w:rPr>
        <w:t>,</w:t>
      </w:r>
      <w:r w:rsidRPr="009E6200">
        <w:rPr>
          <w:lang w:eastAsia="ru-RU" w:bidi="ru-RU"/>
        </w:rPr>
        <w:t>69 л и 2</w:t>
      </w:r>
      <w:r w:rsidR="001D23B0">
        <w:rPr>
          <w:lang w:eastAsia="ru-RU" w:bidi="ru-RU"/>
        </w:rPr>
        <w:t>,</w:t>
      </w:r>
      <w:r w:rsidRPr="009E6200">
        <w:rPr>
          <w:lang w:eastAsia="ru-RU" w:bidi="ru-RU"/>
        </w:rPr>
        <w:t xml:space="preserve">35 л у женщин и мужчин, соответственно, при назначении бевацизумаба с другими противоопухолевыми препаратами. После коррекции дозы с учетом массы тела у мужчин </w:t>
      </w:r>
      <w:r w:rsidRPr="009E6200">
        <w:rPr>
          <w:lang w:eastAsia="ru-RU" w:bidi="en-US"/>
        </w:rPr>
        <w:t>Vc</w:t>
      </w:r>
      <w:r w:rsidRPr="009E6200">
        <w:rPr>
          <w:lang w:eastAsia="ru-RU"/>
        </w:rPr>
        <w:t xml:space="preserve"> </w:t>
      </w:r>
      <w:r w:rsidRPr="009E6200">
        <w:rPr>
          <w:lang w:eastAsia="ru-RU" w:bidi="ru-RU"/>
        </w:rPr>
        <w:t>на 20% больше, чем у женщин.</w:t>
      </w:r>
    </w:p>
    <w:p w14:paraId="627E87F0" w14:textId="3F6551E9" w:rsidR="00E05A5D" w:rsidRDefault="00E05A5D" w:rsidP="007B46F5">
      <w:pPr>
        <w:pStyle w:val="SDText"/>
        <w:jc w:val="both"/>
        <w:rPr>
          <w:i/>
          <w:iCs/>
          <w:lang w:eastAsia="ru-RU" w:bidi="ru-RU"/>
        </w:rPr>
      </w:pPr>
      <w:r w:rsidRPr="009E6200">
        <w:rPr>
          <w:i/>
          <w:iCs/>
          <w:lang w:eastAsia="ru-RU" w:bidi="ru-RU"/>
        </w:rPr>
        <w:t>Метаболизм</w:t>
      </w:r>
    </w:p>
    <w:p w14:paraId="2B31DD3A" w14:textId="77777777" w:rsidR="00E05A5D" w:rsidRPr="009E6200" w:rsidRDefault="00E05A5D" w:rsidP="007B46F5">
      <w:pPr>
        <w:pStyle w:val="SDText"/>
        <w:ind w:firstLine="709"/>
        <w:jc w:val="both"/>
        <w:rPr>
          <w:lang w:eastAsia="ru-RU" w:bidi="ru-RU"/>
        </w:rPr>
      </w:pPr>
      <w:r w:rsidRPr="009E6200">
        <w:rPr>
          <w:lang w:eastAsia="ru-RU" w:bidi="ru-RU"/>
        </w:rPr>
        <w:t xml:space="preserve">После однократного в/в введения </w:t>
      </w:r>
      <w:r w:rsidRPr="009E6200">
        <w:rPr>
          <w:vertAlign w:val="superscript"/>
          <w:lang w:eastAsia="ru-RU" w:bidi="ru-RU"/>
        </w:rPr>
        <w:t>125</w:t>
      </w:r>
      <w:r w:rsidRPr="009E6200">
        <w:rPr>
          <w:lang w:eastAsia="ru-RU" w:bidi="ru-RU"/>
        </w:rPr>
        <w:t xml:space="preserve">1-бевацизумаба его метаболические характеристики аналогичны характеристикам природной </w:t>
      </w:r>
      <w:r w:rsidRPr="009E6200">
        <w:rPr>
          <w:lang w:eastAsia="ru-RU" w:bidi="en-US"/>
        </w:rPr>
        <w:t>IgG</w:t>
      </w:r>
      <w:r w:rsidRPr="009E6200">
        <w:rPr>
          <w:lang w:eastAsia="ru-RU"/>
        </w:rPr>
        <w:t xml:space="preserve"> </w:t>
      </w:r>
      <w:r w:rsidRPr="009E6200">
        <w:rPr>
          <w:lang w:eastAsia="ru-RU" w:bidi="ru-RU"/>
        </w:rPr>
        <w:t xml:space="preserve">молекулы, которая не связывается с </w:t>
      </w:r>
      <w:r w:rsidRPr="009E6200">
        <w:rPr>
          <w:lang w:eastAsia="ru-RU" w:bidi="en-US"/>
        </w:rPr>
        <w:t>VEGF</w:t>
      </w:r>
      <w:r w:rsidRPr="009E6200">
        <w:rPr>
          <w:lang w:eastAsia="ru-RU"/>
        </w:rPr>
        <w:t xml:space="preserve">. </w:t>
      </w:r>
      <w:r w:rsidRPr="009E6200">
        <w:rPr>
          <w:lang w:eastAsia="ru-RU" w:bidi="ru-RU"/>
        </w:rPr>
        <w:t xml:space="preserve">Метаболизм и выведение бевацизумаба соответствует метаболизму и выведению эндогенного </w:t>
      </w:r>
      <w:r w:rsidRPr="009E6200">
        <w:rPr>
          <w:lang w:eastAsia="ru-RU" w:bidi="en-US"/>
        </w:rPr>
        <w:t>IgG</w:t>
      </w:r>
      <w:r w:rsidRPr="009E6200">
        <w:rPr>
          <w:lang w:eastAsia="ru-RU"/>
        </w:rPr>
        <w:t xml:space="preserve">, </w:t>
      </w:r>
      <w:r w:rsidRPr="009E6200">
        <w:rPr>
          <w:lang w:eastAsia="ru-RU" w:bidi="ru-RU"/>
        </w:rPr>
        <w:t xml:space="preserve">т. е. в основном осуществляется путем протеолитического катаболизма во всех клетках организма, включая эндотелиальные клетки, а не через почки и печень. Связывание </w:t>
      </w:r>
      <w:r w:rsidRPr="009E6200">
        <w:rPr>
          <w:lang w:eastAsia="ru-RU" w:bidi="en-US"/>
        </w:rPr>
        <w:t>IgG</w:t>
      </w:r>
      <w:r w:rsidRPr="009E6200">
        <w:rPr>
          <w:lang w:eastAsia="ru-RU"/>
        </w:rPr>
        <w:t xml:space="preserve"> </w:t>
      </w:r>
      <w:r w:rsidRPr="009E6200">
        <w:rPr>
          <w:lang w:eastAsia="ru-RU" w:bidi="ru-RU"/>
        </w:rPr>
        <w:t xml:space="preserve">с неонатальными рецепторами к кристаллизирующему фрагменту </w:t>
      </w:r>
      <w:r w:rsidRPr="009E6200">
        <w:rPr>
          <w:lang w:eastAsia="ru-RU" w:bidi="en-US"/>
        </w:rPr>
        <w:t>IgG</w:t>
      </w:r>
      <w:r w:rsidRPr="009E6200">
        <w:rPr>
          <w:lang w:eastAsia="ru-RU"/>
        </w:rPr>
        <w:t xml:space="preserve"> (</w:t>
      </w:r>
      <w:r w:rsidRPr="009E6200">
        <w:rPr>
          <w:lang w:eastAsia="ru-RU" w:bidi="en-US"/>
        </w:rPr>
        <w:t>FcRn</w:t>
      </w:r>
      <w:r w:rsidRPr="009E6200">
        <w:rPr>
          <w:lang w:eastAsia="ru-RU" w:bidi="ru-RU"/>
        </w:rPr>
        <w:t>-рецепторами) защищает его от клеточного метаболизма и обеспечивает длительный период полувыведения.</w:t>
      </w:r>
    </w:p>
    <w:p w14:paraId="3300C826" w14:textId="03EA52B9" w:rsidR="00E05A5D" w:rsidRPr="009E6200" w:rsidRDefault="00E05A5D" w:rsidP="007B46F5">
      <w:pPr>
        <w:pStyle w:val="SDText"/>
        <w:jc w:val="both"/>
        <w:rPr>
          <w:lang w:eastAsia="ru-RU" w:bidi="ru-RU"/>
        </w:rPr>
      </w:pPr>
      <w:r w:rsidRPr="009E6200">
        <w:rPr>
          <w:i/>
          <w:iCs/>
          <w:lang w:eastAsia="ru-RU" w:bidi="ru-RU"/>
        </w:rPr>
        <w:t>Выведение</w:t>
      </w:r>
    </w:p>
    <w:p w14:paraId="400B179F" w14:textId="6FD76BCD" w:rsidR="00E05A5D" w:rsidRPr="009E6200" w:rsidRDefault="00E05A5D" w:rsidP="007B46F5">
      <w:pPr>
        <w:pStyle w:val="SDText"/>
        <w:ind w:firstLine="709"/>
        <w:jc w:val="both"/>
        <w:rPr>
          <w:lang w:eastAsia="ru-RU" w:bidi="ru-RU"/>
        </w:rPr>
      </w:pPr>
      <w:r w:rsidRPr="009E6200">
        <w:rPr>
          <w:lang w:eastAsia="ru-RU" w:bidi="ru-RU"/>
        </w:rPr>
        <w:t>Фармакокинетика бевацизумаба в диапазоне доз от 1</w:t>
      </w:r>
      <w:r w:rsidR="001D23B0">
        <w:rPr>
          <w:lang w:eastAsia="ru-RU" w:bidi="ru-RU"/>
        </w:rPr>
        <w:t>,</w:t>
      </w:r>
      <w:r w:rsidRPr="009E6200">
        <w:rPr>
          <w:lang w:eastAsia="ru-RU" w:bidi="ru-RU"/>
        </w:rPr>
        <w:t>5 до 10 мг/кг в неделю имеет линейный характер.</w:t>
      </w:r>
    </w:p>
    <w:p w14:paraId="049602FC" w14:textId="362F0D72" w:rsidR="00E05A5D" w:rsidRPr="009E6200" w:rsidRDefault="00E05A5D" w:rsidP="007B46F5">
      <w:pPr>
        <w:pStyle w:val="SDText"/>
        <w:ind w:firstLine="709"/>
        <w:jc w:val="both"/>
        <w:rPr>
          <w:lang w:eastAsia="ru-RU" w:bidi="ru-RU"/>
        </w:rPr>
      </w:pPr>
      <w:r w:rsidRPr="009E6200">
        <w:rPr>
          <w:lang w:eastAsia="ru-RU" w:bidi="ru-RU"/>
        </w:rPr>
        <w:t>Клиренс бевацизумаба составляет 0.188 л/сутки у женщин и 0</w:t>
      </w:r>
      <w:r w:rsidR="001D23B0">
        <w:rPr>
          <w:lang w:eastAsia="ru-RU" w:bidi="ru-RU"/>
        </w:rPr>
        <w:t>.</w:t>
      </w:r>
      <w:r w:rsidRPr="009E6200">
        <w:rPr>
          <w:lang w:eastAsia="ru-RU" w:bidi="ru-RU"/>
        </w:rPr>
        <w:t>220 л/сутки у мужчин. После коррекции дозы с учетом массы тела у мужчин клиренс бевацизумаба на 17% больше, чем у женщин. Согласно двухкамерной модели период полувыведения для женщин составляет 18 дней, а для мужчин - 20 дней.</w:t>
      </w:r>
    </w:p>
    <w:p w14:paraId="3328562F" w14:textId="77777777" w:rsidR="00577BCF" w:rsidRDefault="00577BCF" w:rsidP="007B46F5">
      <w:pPr>
        <w:pStyle w:val="SDText"/>
        <w:jc w:val="both"/>
        <w:rPr>
          <w:b/>
          <w:bCs/>
          <w:i/>
          <w:iCs/>
          <w:lang w:eastAsia="ru-RU" w:bidi="ru-RU"/>
        </w:rPr>
      </w:pPr>
    </w:p>
    <w:p w14:paraId="09FD3752" w14:textId="330DCAC2" w:rsidR="00E05A5D" w:rsidRPr="009E6200" w:rsidRDefault="00E05A5D" w:rsidP="007B46F5">
      <w:pPr>
        <w:pStyle w:val="SDText"/>
        <w:jc w:val="both"/>
        <w:rPr>
          <w:lang w:eastAsia="ru-RU" w:bidi="ru-RU"/>
        </w:rPr>
      </w:pPr>
      <w:r w:rsidRPr="009E6200">
        <w:rPr>
          <w:b/>
          <w:bCs/>
          <w:i/>
          <w:iCs/>
          <w:lang w:eastAsia="ru-RU" w:bidi="ru-RU"/>
        </w:rPr>
        <w:t>Фармакокинетика у особых групп пациентов</w:t>
      </w:r>
    </w:p>
    <w:p w14:paraId="2F63E615" w14:textId="77777777" w:rsidR="00577BCF" w:rsidRDefault="00577BCF" w:rsidP="007B46F5">
      <w:pPr>
        <w:pStyle w:val="SDText"/>
        <w:jc w:val="both"/>
        <w:rPr>
          <w:i/>
          <w:iCs/>
          <w:lang w:eastAsia="ru-RU" w:bidi="ru-RU"/>
        </w:rPr>
      </w:pPr>
    </w:p>
    <w:p w14:paraId="523FF9FD" w14:textId="77D4879F" w:rsidR="00E05A5D" w:rsidRPr="009E6200" w:rsidRDefault="00E05A5D" w:rsidP="007B46F5">
      <w:pPr>
        <w:pStyle w:val="SDText"/>
        <w:jc w:val="both"/>
        <w:rPr>
          <w:lang w:eastAsia="ru-RU" w:bidi="ru-RU"/>
        </w:rPr>
      </w:pPr>
      <w:r w:rsidRPr="009E6200">
        <w:rPr>
          <w:i/>
          <w:iCs/>
          <w:lang w:eastAsia="ru-RU" w:bidi="ru-RU"/>
        </w:rPr>
        <w:t>Пациенты пожилого возраста (старше 65 лет)</w:t>
      </w:r>
    </w:p>
    <w:p w14:paraId="7B663766" w14:textId="77777777" w:rsidR="00E05A5D" w:rsidRPr="009E6200" w:rsidRDefault="00E05A5D" w:rsidP="007B46F5">
      <w:pPr>
        <w:pStyle w:val="SDText"/>
        <w:ind w:firstLine="709"/>
        <w:jc w:val="both"/>
        <w:rPr>
          <w:lang w:eastAsia="ru-RU" w:bidi="ru-RU"/>
        </w:rPr>
      </w:pPr>
      <w:r w:rsidRPr="009E6200">
        <w:rPr>
          <w:lang w:eastAsia="ru-RU" w:bidi="ru-RU"/>
        </w:rPr>
        <w:t>Не выявлено значимого различия фармакокинетики бевацизумаба в зависимости от возраста.</w:t>
      </w:r>
    </w:p>
    <w:p w14:paraId="1B6831C1" w14:textId="77777777" w:rsidR="00E05A5D" w:rsidRPr="009E6200" w:rsidRDefault="00E05A5D" w:rsidP="007B46F5">
      <w:pPr>
        <w:pStyle w:val="SDText"/>
        <w:jc w:val="both"/>
        <w:rPr>
          <w:lang w:eastAsia="ru-RU" w:bidi="ru-RU"/>
        </w:rPr>
      </w:pPr>
      <w:r w:rsidRPr="009E6200">
        <w:rPr>
          <w:i/>
          <w:iCs/>
          <w:lang w:eastAsia="ru-RU" w:bidi="ru-RU"/>
        </w:rPr>
        <w:t>Дети и подростки</w:t>
      </w:r>
    </w:p>
    <w:p w14:paraId="07496998" w14:textId="17FF910B" w:rsidR="00E05A5D" w:rsidRPr="009E6200" w:rsidRDefault="00E05A5D" w:rsidP="007B46F5">
      <w:pPr>
        <w:pStyle w:val="SDText"/>
        <w:ind w:firstLine="709"/>
        <w:jc w:val="both"/>
        <w:rPr>
          <w:lang w:eastAsia="ru-RU" w:bidi="ru-RU"/>
        </w:rPr>
      </w:pPr>
      <w:r w:rsidRPr="009E6200">
        <w:rPr>
          <w:lang w:eastAsia="ru-RU" w:bidi="ru-RU"/>
        </w:rPr>
        <w:t>Фармакокинетику бевацизумаба оценивали у пациентов в клинических исследованиях с использованием популяционной фармакокинетической модели (возраст пациентов: 7 месяцев - 21 год; масса тела: 5</w:t>
      </w:r>
      <w:r w:rsidR="001D23B0">
        <w:rPr>
          <w:lang w:eastAsia="ru-RU" w:bidi="ru-RU"/>
        </w:rPr>
        <w:t>,</w:t>
      </w:r>
      <w:r w:rsidRPr="009E6200">
        <w:rPr>
          <w:lang w:eastAsia="ru-RU" w:bidi="ru-RU"/>
        </w:rPr>
        <w:t>9 - 125 кг). Результаты изучения фармакокинетики показали, что клиренс и объем распределения бевацизумаба были сопоставимы у пациентов детского возраста и взрослых пациентов при нормализации по массе тела. Возраст не оказывал влияния на значения показателей фармакокинетики бевацизумаба при поправке на массу тела.</w:t>
      </w:r>
    </w:p>
    <w:p w14:paraId="2664B3B4" w14:textId="77777777" w:rsidR="00E05A5D" w:rsidRPr="009E6200" w:rsidRDefault="00E05A5D" w:rsidP="007B46F5">
      <w:pPr>
        <w:pStyle w:val="SDText"/>
        <w:jc w:val="both"/>
        <w:rPr>
          <w:lang w:eastAsia="ru-RU" w:bidi="ru-RU"/>
        </w:rPr>
      </w:pPr>
      <w:r w:rsidRPr="009E6200">
        <w:rPr>
          <w:i/>
          <w:iCs/>
          <w:lang w:eastAsia="ru-RU" w:bidi="ru-RU"/>
        </w:rPr>
        <w:t>Пациенты с почечной недостаточностью</w:t>
      </w:r>
    </w:p>
    <w:p w14:paraId="004EBECF" w14:textId="77777777" w:rsidR="00E05A5D" w:rsidRPr="009E6200" w:rsidRDefault="00E05A5D" w:rsidP="007B46F5">
      <w:pPr>
        <w:pStyle w:val="SDText"/>
        <w:ind w:firstLine="709"/>
        <w:jc w:val="both"/>
        <w:rPr>
          <w:lang w:eastAsia="ru-RU" w:bidi="ru-RU"/>
        </w:rPr>
      </w:pPr>
      <w:r w:rsidRPr="009E6200">
        <w:rPr>
          <w:lang w:eastAsia="ru-RU" w:bidi="ru-RU"/>
        </w:rPr>
        <w:t>Безопасность и эффективность бевацизумаба у пациентов с почечной недостаточностью не изучалась, т. к. почки не являются основными органами метаболизма и выведения бевацизумаба.</w:t>
      </w:r>
    </w:p>
    <w:p w14:paraId="67FACA70" w14:textId="77777777" w:rsidR="00E05A5D" w:rsidRPr="009E6200" w:rsidRDefault="00E05A5D" w:rsidP="007B46F5">
      <w:pPr>
        <w:pStyle w:val="SDText"/>
        <w:jc w:val="both"/>
        <w:rPr>
          <w:lang w:eastAsia="ru-RU" w:bidi="ru-RU"/>
        </w:rPr>
      </w:pPr>
      <w:r w:rsidRPr="009E6200">
        <w:rPr>
          <w:i/>
          <w:iCs/>
          <w:lang w:eastAsia="ru-RU" w:bidi="ru-RU"/>
        </w:rPr>
        <w:t>Пациенты с печеночной недостаточностью</w:t>
      </w:r>
    </w:p>
    <w:p w14:paraId="1B351038" w14:textId="77777777" w:rsidR="00E05A5D" w:rsidRPr="009E6200" w:rsidRDefault="00E05A5D" w:rsidP="007B46F5">
      <w:pPr>
        <w:pStyle w:val="SDText"/>
        <w:ind w:firstLine="709"/>
        <w:jc w:val="both"/>
        <w:rPr>
          <w:lang w:eastAsia="ru-RU" w:bidi="ru-RU"/>
        </w:rPr>
      </w:pPr>
      <w:r w:rsidRPr="009E6200">
        <w:rPr>
          <w:lang w:eastAsia="ru-RU" w:bidi="ru-RU"/>
        </w:rPr>
        <w:t>Безопасность и эффективность бевацизумаба у пациентов с печеночной недостаточностью не изучалась, т. к. печень не является основным органом метаболизма и выведения бевацизумаба.</w:t>
      </w:r>
    </w:p>
    <w:p w14:paraId="405E91FA" w14:textId="77777777" w:rsidR="00577BCF" w:rsidRDefault="00577BCF" w:rsidP="007B46F5">
      <w:pPr>
        <w:pStyle w:val="SDText"/>
        <w:jc w:val="both"/>
        <w:rPr>
          <w:b/>
          <w:bCs/>
          <w:lang w:eastAsia="ru-RU" w:bidi="ru-RU"/>
        </w:rPr>
      </w:pPr>
      <w:bookmarkStart w:id="68" w:name="bookmark16"/>
      <w:bookmarkStart w:id="69" w:name="bookmark17"/>
    </w:p>
    <w:p w14:paraId="5DBBFAED" w14:textId="1FDB6FD9" w:rsidR="00E05A5D" w:rsidRPr="009E6200" w:rsidRDefault="00E05A5D" w:rsidP="007B46F5">
      <w:pPr>
        <w:pStyle w:val="SDText"/>
        <w:jc w:val="both"/>
        <w:rPr>
          <w:b/>
          <w:bCs/>
          <w:lang w:eastAsia="ru-RU" w:bidi="ru-RU"/>
        </w:rPr>
      </w:pPr>
      <w:r w:rsidRPr="009E6200">
        <w:rPr>
          <w:b/>
          <w:bCs/>
          <w:lang w:eastAsia="ru-RU" w:bidi="ru-RU"/>
        </w:rPr>
        <w:t>Показания</w:t>
      </w:r>
      <w:bookmarkEnd w:id="68"/>
      <w:bookmarkEnd w:id="69"/>
    </w:p>
    <w:p w14:paraId="7FB476F6" w14:textId="77777777" w:rsidR="00577BCF" w:rsidRDefault="00577BCF" w:rsidP="007B46F5">
      <w:pPr>
        <w:pStyle w:val="SDText"/>
        <w:jc w:val="both"/>
        <w:rPr>
          <w:i/>
          <w:iCs/>
          <w:lang w:eastAsia="ru-RU" w:bidi="ru-RU"/>
        </w:rPr>
      </w:pPr>
    </w:p>
    <w:p w14:paraId="0F9633FC" w14:textId="17DC7656" w:rsidR="00E05A5D" w:rsidRPr="009E6200" w:rsidRDefault="00E05A5D" w:rsidP="007B46F5">
      <w:pPr>
        <w:pStyle w:val="SDText"/>
        <w:jc w:val="both"/>
        <w:rPr>
          <w:lang w:eastAsia="ru-RU" w:bidi="ru-RU"/>
        </w:rPr>
      </w:pPr>
      <w:r w:rsidRPr="009E6200">
        <w:rPr>
          <w:i/>
          <w:iCs/>
          <w:lang w:eastAsia="ru-RU" w:bidi="ru-RU"/>
        </w:rPr>
        <w:t>Метастатический колоректальный рак</w:t>
      </w:r>
      <w:r w:rsidRPr="009E6200">
        <w:rPr>
          <w:lang w:eastAsia="ru-RU" w:bidi="ru-RU"/>
        </w:rPr>
        <w:t>:</w:t>
      </w:r>
    </w:p>
    <w:p w14:paraId="105514E1" w14:textId="77777777" w:rsidR="00E05A5D" w:rsidRPr="009E6200" w:rsidRDefault="00E05A5D" w:rsidP="007B46F5">
      <w:pPr>
        <w:pStyle w:val="SDText"/>
        <w:numPr>
          <w:ilvl w:val="0"/>
          <w:numId w:val="35"/>
        </w:numPr>
        <w:ind w:left="284" w:hanging="284"/>
        <w:jc w:val="both"/>
        <w:rPr>
          <w:lang w:eastAsia="ru-RU" w:bidi="ru-RU"/>
        </w:rPr>
      </w:pPr>
      <w:r w:rsidRPr="009E6200">
        <w:rPr>
          <w:lang w:eastAsia="ru-RU" w:bidi="ru-RU"/>
        </w:rPr>
        <w:t>в комбинации с химиотерапией на основе производных фторпиримидина.</w:t>
      </w:r>
    </w:p>
    <w:p w14:paraId="2B0EB669" w14:textId="77777777" w:rsidR="00E05A5D" w:rsidRPr="009E6200" w:rsidRDefault="00E05A5D" w:rsidP="007B46F5">
      <w:pPr>
        <w:pStyle w:val="SDText"/>
        <w:ind w:left="284" w:hanging="284"/>
        <w:jc w:val="both"/>
        <w:rPr>
          <w:lang w:eastAsia="ru-RU" w:bidi="ru-RU"/>
        </w:rPr>
      </w:pPr>
      <w:r w:rsidRPr="009E6200">
        <w:rPr>
          <w:i/>
          <w:iCs/>
          <w:lang w:eastAsia="ru-RU" w:bidi="ru-RU"/>
        </w:rPr>
        <w:t>Местно рецидивирующий или метастатический рак молочной железы:</w:t>
      </w:r>
    </w:p>
    <w:p w14:paraId="6E78963C" w14:textId="77777777" w:rsidR="00E05A5D" w:rsidRPr="009E6200" w:rsidRDefault="00E05A5D" w:rsidP="007B46F5">
      <w:pPr>
        <w:pStyle w:val="SDText"/>
        <w:numPr>
          <w:ilvl w:val="0"/>
          <w:numId w:val="35"/>
        </w:numPr>
        <w:ind w:left="284" w:hanging="284"/>
        <w:jc w:val="both"/>
        <w:rPr>
          <w:lang w:eastAsia="ru-RU" w:bidi="ru-RU"/>
        </w:rPr>
      </w:pPr>
      <w:r w:rsidRPr="009E6200">
        <w:rPr>
          <w:lang w:eastAsia="ru-RU" w:bidi="ru-RU"/>
        </w:rPr>
        <w:t>в качестве первой линии терапии в комбинации с паклитакселом.</w:t>
      </w:r>
    </w:p>
    <w:p w14:paraId="23286F90" w14:textId="77777777" w:rsidR="00E05A5D" w:rsidRPr="009E6200" w:rsidRDefault="00E05A5D" w:rsidP="007B46F5">
      <w:pPr>
        <w:pStyle w:val="SDText"/>
        <w:jc w:val="both"/>
        <w:rPr>
          <w:lang w:eastAsia="ru-RU" w:bidi="ru-RU"/>
        </w:rPr>
      </w:pPr>
      <w:r w:rsidRPr="009E6200">
        <w:rPr>
          <w:i/>
          <w:iCs/>
          <w:lang w:eastAsia="ru-RU" w:bidi="ru-RU"/>
        </w:rPr>
        <w:t>Распространенный неоперабельный, метастатический или рецидивирующий неплоскоклеточный немелкоклеточный рак легкого:</w:t>
      </w:r>
    </w:p>
    <w:p w14:paraId="614CB337" w14:textId="77777777" w:rsidR="00E05A5D" w:rsidRPr="009E6200" w:rsidRDefault="00E05A5D" w:rsidP="007B46F5">
      <w:pPr>
        <w:pStyle w:val="SDText"/>
        <w:numPr>
          <w:ilvl w:val="0"/>
          <w:numId w:val="35"/>
        </w:numPr>
        <w:ind w:left="284" w:hanging="284"/>
        <w:jc w:val="both"/>
        <w:rPr>
          <w:lang w:eastAsia="ru-RU" w:bidi="ru-RU"/>
        </w:rPr>
      </w:pPr>
      <w:r w:rsidRPr="009E6200">
        <w:rPr>
          <w:lang w:eastAsia="ru-RU" w:bidi="ru-RU"/>
        </w:rPr>
        <w:t>в качестве первой линии терапии дополнительно к химиотерапии на основе препаратов платины;</w:t>
      </w:r>
    </w:p>
    <w:p w14:paraId="56841EE5" w14:textId="77777777" w:rsidR="00E05A5D" w:rsidRPr="009E6200" w:rsidRDefault="00E05A5D" w:rsidP="007B46F5">
      <w:pPr>
        <w:pStyle w:val="SDText"/>
        <w:numPr>
          <w:ilvl w:val="0"/>
          <w:numId w:val="35"/>
        </w:numPr>
        <w:ind w:left="284" w:hanging="284"/>
        <w:jc w:val="both"/>
        <w:rPr>
          <w:lang w:eastAsia="ru-RU" w:bidi="ru-RU"/>
        </w:rPr>
      </w:pPr>
      <w:r w:rsidRPr="009E6200">
        <w:rPr>
          <w:lang w:eastAsia="ru-RU" w:bidi="ru-RU"/>
        </w:rPr>
        <w:t xml:space="preserve">в качестве первой линии терапии при распространенном неоперабельном, метастатическом или рецидивирующем неплоскоклеточном немелкоклеточном раке легкого с активирующими мутациями в гене </w:t>
      </w:r>
      <w:r w:rsidRPr="009E6200">
        <w:rPr>
          <w:lang w:eastAsia="ru-RU" w:bidi="en-US"/>
        </w:rPr>
        <w:t xml:space="preserve">EGFR </w:t>
      </w:r>
      <w:r w:rsidRPr="009E6200">
        <w:rPr>
          <w:lang w:eastAsia="ru-RU" w:bidi="ru-RU"/>
        </w:rPr>
        <w:t>(рецептор эпидермального фактора роста) в комбинации с эрлотинибом.</w:t>
      </w:r>
    </w:p>
    <w:p w14:paraId="25A20FD5" w14:textId="77777777" w:rsidR="00E05A5D" w:rsidRPr="009E6200" w:rsidRDefault="00E05A5D" w:rsidP="007B46F5">
      <w:pPr>
        <w:pStyle w:val="SDText"/>
        <w:ind w:left="284" w:hanging="284"/>
        <w:jc w:val="both"/>
        <w:rPr>
          <w:lang w:eastAsia="ru-RU" w:bidi="ru-RU"/>
        </w:rPr>
      </w:pPr>
      <w:r w:rsidRPr="009E6200">
        <w:rPr>
          <w:i/>
          <w:iCs/>
          <w:lang w:eastAsia="ru-RU" w:bidi="ru-RU"/>
        </w:rPr>
        <w:t>Распространенный и/или метастатический почечно-клеточный рак:</w:t>
      </w:r>
    </w:p>
    <w:p w14:paraId="554633A5" w14:textId="77777777" w:rsidR="00E05A5D" w:rsidRPr="009E6200" w:rsidRDefault="00E05A5D" w:rsidP="007B46F5">
      <w:pPr>
        <w:pStyle w:val="SDText"/>
        <w:numPr>
          <w:ilvl w:val="0"/>
          <w:numId w:val="35"/>
        </w:numPr>
        <w:ind w:left="284" w:hanging="284"/>
        <w:jc w:val="both"/>
        <w:rPr>
          <w:lang w:eastAsia="ru-RU" w:bidi="ru-RU"/>
        </w:rPr>
      </w:pPr>
      <w:r w:rsidRPr="009E6200">
        <w:rPr>
          <w:lang w:eastAsia="ru-RU" w:bidi="ru-RU"/>
        </w:rPr>
        <w:t>в качестве первой линии терапии в комбинации с интерфероном альфа-2а</w:t>
      </w:r>
      <w:r w:rsidRPr="009E6200">
        <w:rPr>
          <w:i/>
          <w:iCs/>
          <w:lang w:eastAsia="ru-RU" w:bidi="ru-RU"/>
        </w:rPr>
        <w:t xml:space="preserve">. Глиобластома (глиома </w:t>
      </w:r>
      <w:r w:rsidRPr="009E6200">
        <w:rPr>
          <w:i/>
          <w:iCs/>
          <w:lang w:eastAsia="ru-RU" w:bidi="en-US"/>
        </w:rPr>
        <w:t xml:space="preserve">IV </w:t>
      </w:r>
      <w:r w:rsidRPr="009E6200">
        <w:rPr>
          <w:i/>
          <w:iCs/>
          <w:lang w:eastAsia="ru-RU" w:bidi="ru-RU"/>
        </w:rPr>
        <w:t>степени злокачественности по классификации Всемирной организации здравоохранения (ВОЗ)):</w:t>
      </w:r>
    </w:p>
    <w:p w14:paraId="013835E9" w14:textId="77777777" w:rsidR="00E05A5D" w:rsidRPr="009E6200" w:rsidRDefault="00E05A5D" w:rsidP="007B46F5">
      <w:pPr>
        <w:pStyle w:val="SDText"/>
        <w:numPr>
          <w:ilvl w:val="0"/>
          <w:numId w:val="35"/>
        </w:numPr>
        <w:ind w:left="284" w:hanging="284"/>
        <w:jc w:val="both"/>
        <w:rPr>
          <w:lang w:eastAsia="ru-RU" w:bidi="ru-RU"/>
        </w:rPr>
      </w:pPr>
      <w:r w:rsidRPr="009E6200">
        <w:rPr>
          <w:lang w:eastAsia="ru-RU" w:bidi="ru-RU"/>
        </w:rPr>
        <w:t>в комбинации с лучевой терапией и темозоломидом у пациентов с впервые диагностированной глиобластомой;</w:t>
      </w:r>
    </w:p>
    <w:p w14:paraId="6478CD83" w14:textId="77777777" w:rsidR="00E05A5D" w:rsidRPr="009E6200" w:rsidRDefault="00E05A5D" w:rsidP="007B46F5">
      <w:pPr>
        <w:pStyle w:val="SDText"/>
        <w:numPr>
          <w:ilvl w:val="0"/>
          <w:numId w:val="35"/>
        </w:numPr>
        <w:ind w:left="284" w:hanging="284"/>
        <w:jc w:val="both"/>
        <w:rPr>
          <w:lang w:eastAsia="ru-RU" w:bidi="ru-RU"/>
        </w:rPr>
      </w:pPr>
      <w:r w:rsidRPr="009E6200">
        <w:rPr>
          <w:lang w:eastAsia="ru-RU" w:bidi="ru-RU"/>
        </w:rPr>
        <w:t>в монотерапии или в комбинации с иринотеканом при рецидиве глиобластомы или прогрессировании заболевания.</w:t>
      </w:r>
    </w:p>
    <w:p w14:paraId="0970F854" w14:textId="77777777" w:rsidR="00E05A5D" w:rsidRPr="009E6200" w:rsidRDefault="00E05A5D" w:rsidP="007B46F5">
      <w:pPr>
        <w:pStyle w:val="SDText"/>
        <w:ind w:left="284" w:hanging="284"/>
        <w:jc w:val="both"/>
        <w:rPr>
          <w:lang w:eastAsia="ru-RU" w:bidi="ru-RU"/>
        </w:rPr>
      </w:pPr>
      <w:r w:rsidRPr="009E6200">
        <w:rPr>
          <w:i/>
          <w:iCs/>
          <w:lang w:eastAsia="ru-RU" w:bidi="ru-RU"/>
        </w:rPr>
        <w:t>Эпителиальный рак яичника, маточной трубы и первичный рак брюшины:</w:t>
      </w:r>
    </w:p>
    <w:p w14:paraId="4DF3765F" w14:textId="40D74EA7" w:rsidR="00E05A5D" w:rsidRPr="009E6200" w:rsidRDefault="00E05A5D" w:rsidP="007B46F5">
      <w:pPr>
        <w:pStyle w:val="SDText"/>
        <w:numPr>
          <w:ilvl w:val="0"/>
          <w:numId w:val="35"/>
        </w:numPr>
        <w:ind w:left="284" w:hanging="284"/>
        <w:jc w:val="both"/>
        <w:rPr>
          <w:lang w:eastAsia="ru-RU" w:bidi="ru-RU"/>
        </w:rPr>
      </w:pPr>
      <w:r w:rsidRPr="009E6200">
        <w:rPr>
          <w:lang w:eastAsia="ru-RU" w:bidi="ru-RU"/>
        </w:rPr>
        <w:t xml:space="preserve">в качестве первой линии терапии в комбинации с карбоплатином и паклитакселом при распространенном </w:t>
      </w:r>
      <w:r w:rsidRPr="009E6200">
        <w:rPr>
          <w:lang w:eastAsia="ru-RU" w:bidi="en-US"/>
        </w:rPr>
        <w:t xml:space="preserve">(IIIB, IIIC </w:t>
      </w:r>
      <w:r w:rsidRPr="009E6200">
        <w:rPr>
          <w:lang w:eastAsia="ru-RU" w:bidi="ru-RU"/>
        </w:rPr>
        <w:t xml:space="preserve">и </w:t>
      </w:r>
      <w:r w:rsidRPr="009E6200">
        <w:rPr>
          <w:lang w:eastAsia="ru-RU" w:bidi="en-US"/>
        </w:rPr>
        <w:t xml:space="preserve">IV </w:t>
      </w:r>
      <w:r w:rsidRPr="009E6200">
        <w:rPr>
          <w:lang w:eastAsia="ru-RU" w:bidi="ru-RU"/>
        </w:rPr>
        <w:t xml:space="preserve">стадии по классификации Международной федерации акушеров-гинекологов </w:t>
      </w:r>
      <w:r w:rsidRPr="009E6200">
        <w:rPr>
          <w:lang w:eastAsia="ru-RU" w:bidi="en-US"/>
        </w:rPr>
        <w:t>(</w:t>
      </w:r>
      <w:r w:rsidR="0004635E" w:rsidRPr="009E6200">
        <w:rPr>
          <w:lang w:eastAsia="ru-RU" w:bidi="en-US"/>
        </w:rPr>
        <w:t>Federation of Gynecology and Obstetrics</w:t>
      </w:r>
      <w:r w:rsidRPr="009E6200">
        <w:rPr>
          <w:lang w:eastAsia="ru-RU" w:bidi="en-US"/>
        </w:rPr>
        <w:t xml:space="preserve">) </w:t>
      </w:r>
      <w:r w:rsidRPr="009E6200">
        <w:rPr>
          <w:lang w:eastAsia="ru-RU" w:bidi="ru-RU"/>
        </w:rPr>
        <w:t>эпителиальном раке яичника, маточной трубы и первичном раке брюшины;</w:t>
      </w:r>
    </w:p>
    <w:p w14:paraId="1010FBC6" w14:textId="77777777" w:rsidR="00E05A5D" w:rsidRPr="009E6200" w:rsidRDefault="00E05A5D" w:rsidP="007B46F5">
      <w:pPr>
        <w:pStyle w:val="SDText"/>
        <w:numPr>
          <w:ilvl w:val="0"/>
          <w:numId w:val="35"/>
        </w:numPr>
        <w:ind w:left="284" w:hanging="284"/>
        <w:jc w:val="both"/>
        <w:rPr>
          <w:lang w:eastAsia="ru-RU" w:bidi="ru-RU"/>
        </w:rPr>
      </w:pPr>
      <w:r w:rsidRPr="009E6200">
        <w:rPr>
          <w:lang w:eastAsia="ru-RU" w:bidi="ru-RU"/>
        </w:rPr>
        <w:t xml:space="preserve">в комбинации с карбоплатином и гемцитабином или с карбоплатином и паклитакселом при рецидивирующем, чувствительном к препаратам платины эпителиальном раке яичника, маточной трубы и первичном раке брюшины у пациентов, ранее не получавших терапию бевацизумабом или другими ингибиторами </w:t>
      </w:r>
      <w:r w:rsidRPr="009E6200">
        <w:rPr>
          <w:lang w:eastAsia="ru-RU" w:bidi="en-US"/>
        </w:rPr>
        <w:t>VEGF;</w:t>
      </w:r>
    </w:p>
    <w:p w14:paraId="76978590" w14:textId="77777777" w:rsidR="00E05A5D" w:rsidRPr="009E6200" w:rsidRDefault="00E05A5D" w:rsidP="007B46F5">
      <w:pPr>
        <w:pStyle w:val="SDText"/>
        <w:numPr>
          <w:ilvl w:val="0"/>
          <w:numId w:val="35"/>
        </w:numPr>
        <w:ind w:left="284" w:hanging="284"/>
        <w:jc w:val="both"/>
        <w:rPr>
          <w:lang w:eastAsia="ru-RU" w:bidi="ru-RU"/>
        </w:rPr>
      </w:pPr>
      <w:r w:rsidRPr="009E6200">
        <w:rPr>
          <w:lang w:eastAsia="ru-RU" w:bidi="ru-RU"/>
        </w:rPr>
        <w:t>в комбинации с паклитакселом, или топотеканом, или пегилированным липосомальным доксорубицином при рецидивирующем, резистентном к препаратам платины эпителиальном раке яичника, маточной трубы и первичном раке брюшины у пациентов, получивших ранее не более двух режимов химиотерапии.</w:t>
      </w:r>
    </w:p>
    <w:p w14:paraId="2DEBCCB7" w14:textId="77777777" w:rsidR="00E05A5D" w:rsidRPr="009E6200" w:rsidRDefault="00E05A5D" w:rsidP="007B46F5">
      <w:pPr>
        <w:pStyle w:val="SDText"/>
        <w:ind w:left="284" w:hanging="284"/>
        <w:jc w:val="both"/>
        <w:rPr>
          <w:lang w:eastAsia="ru-RU" w:bidi="ru-RU"/>
        </w:rPr>
      </w:pPr>
      <w:r w:rsidRPr="009E6200">
        <w:rPr>
          <w:i/>
          <w:iCs/>
          <w:lang w:eastAsia="ru-RU" w:bidi="ru-RU"/>
        </w:rPr>
        <w:t>Персистирующий, рецидивирующий или метастатический рак шейки матки:</w:t>
      </w:r>
    </w:p>
    <w:p w14:paraId="4A19556E" w14:textId="77777777" w:rsidR="00E05A5D" w:rsidRPr="009E6200" w:rsidRDefault="00E05A5D" w:rsidP="007B46F5">
      <w:pPr>
        <w:pStyle w:val="SDText"/>
        <w:numPr>
          <w:ilvl w:val="0"/>
          <w:numId w:val="35"/>
        </w:numPr>
        <w:ind w:left="284" w:hanging="284"/>
        <w:jc w:val="both"/>
        <w:rPr>
          <w:lang w:eastAsia="ru-RU" w:bidi="ru-RU"/>
        </w:rPr>
      </w:pPr>
      <w:r w:rsidRPr="009E6200">
        <w:rPr>
          <w:lang w:eastAsia="ru-RU" w:bidi="ru-RU"/>
        </w:rPr>
        <w:t>в комбинации с паклитакселом и цисплатином или паклитакселом и топотеканом.</w:t>
      </w:r>
    </w:p>
    <w:p w14:paraId="05897D34" w14:textId="77777777" w:rsidR="00577BCF" w:rsidRDefault="00577BCF" w:rsidP="007B46F5">
      <w:pPr>
        <w:pStyle w:val="SDText"/>
        <w:jc w:val="both"/>
        <w:rPr>
          <w:b/>
          <w:bCs/>
          <w:lang w:eastAsia="ru-RU" w:bidi="ru-RU"/>
        </w:rPr>
      </w:pPr>
      <w:bookmarkStart w:id="70" w:name="bookmark18"/>
      <w:bookmarkStart w:id="71" w:name="bookmark19"/>
    </w:p>
    <w:p w14:paraId="48EF4BB4" w14:textId="04ECA52E" w:rsidR="00E05A5D" w:rsidRPr="009E6200" w:rsidRDefault="00E05A5D" w:rsidP="007B46F5">
      <w:pPr>
        <w:pStyle w:val="SDText"/>
        <w:jc w:val="both"/>
        <w:rPr>
          <w:b/>
          <w:bCs/>
          <w:lang w:eastAsia="ru-RU" w:bidi="ru-RU"/>
        </w:rPr>
      </w:pPr>
      <w:r w:rsidRPr="009E6200">
        <w:rPr>
          <w:b/>
          <w:bCs/>
          <w:lang w:eastAsia="ru-RU" w:bidi="ru-RU"/>
        </w:rPr>
        <w:t>Противопоказания</w:t>
      </w:r>
      <w:bookmarkEnd w:id="70"/>
      <w:bookmarkEnd w:id="71"/>
    </w:p>
    <w:p w14:paraId="3E27C371" w14:textId="77777777" w:rsidR="00577BCF" w:rsidRDefault="00577BCF" w:rsidP="007B46F5">
      <w:pPr>
        <w:pStyle w:val="SDText"/>
        <w:jc w:val="both"/>
        <w:rPr>
          <w:lang w:eastAsia="ru-RU" w:bidi="ru-RU"/>
        </w:rPr>
      </w:pPr>
    </w:p>
    <w:p w14:paraId="1F382411" w14:textId="457BEC5F" w:rsidR="00E05A5D" w:rsidRPr="009E6200" w:rsidRDefault="00E05A5D" w:rsidP="007B46F5">
      <w:pPr>
        <w:pStyle w:val="SDText"/>
        <w:ind w:firstLine="709"/>
        <w:jc w:val="both"/>
        <w:rPr>
          <w:lang w:eastAsia="ru-RU" w:bidi="ru-RU"/>
        </w:rPr>
      </w:pPr>
      <w:r w:rsidRPr="009E6200">
        <w:rPr>
          <w:lang w:eastAsia="ru-RU" w:bidi="ru-RU"/>
        </w:rPr>
        <w:t>Повышенная чувствительность к бевацизумабу или к любому другому компоненту препарата, препаратам на основе клеток яичников китайского хомячка или к другим рекомбинантным человеческим или приближенным к человеческим антителам. Беременность и период кормления грудью.</w:t>
      </w:r>
    </w:p>
    <w:p w14:paraId="47CC5453" w14:textId="77777777" w:rsidR="00E05A5D" w:rsidRPr="009E6200" w:rsidRDefault="00E05A5D" w:rsidP="007B46F5">
      <w:pPr>
        <w:pStyle w:val="SDText"/>
        <w:ind w:firstLine="709"/>
        <w:jc w:val="both"/>
        <w:rPr>
          <w:lang w:eastAsia="ru-RU" w:bidi="ru-RU"/>
        </w:rPr>
      </w:pPr>
      <w:r w:rsidRPr="009E6200">
        <w:rPr>
          <w:lang w:eastAsia="ru-RU" w:bidi="ru-RU"/>
        </w:rPr>
        <w:t>Детский возраст до 18 лет, почечная и печеночная недостаточность (эффективность и безопасность применения не установлены).</w:t>
      </w:r>
    </w:p>
    <w:p w14:paraId="56796FBE" w14:textId="77777777" w:rsidR="00577BCF" w:rsidRDefault="00577BCF" w:rsidP="007B46F5">
      <w:pPr>
        <w:pStyle w:val="SDText"/>
        <w:jc w:val="both"/>
        <w:rPr>
          <w:b/>
          <w:bCs/>
          <w:lang w:eastAsia="ru-RU" w:bidi="ru-RU"/>
        </w:rPr>
      </w:pPr>
      <w:bookmarkStart w:id="72" w:name="bookmark20"/>
      <w:bookmarkStart w:id="73" w:name="bookmark21"/>
    </w:p>
    <w:p w14:paraId="04CBDE2E" w14:textId="522AFEAF" w:rsidR="00E05A5D" w:rsidRPr="009E6200" w:rsidRDefault="00E05A5D" w:rsidP="007B46F5">
      <w:pPr>
        <w:pStyle w:val="SDText"/>
        <w:jc w:val="both"/>
        <w:rPr>
          <w:b/>
          <w:bCs/>
          <w:lang w:eastAsia="ru-RU" w:bidi="ru-RU"/>
        </w:rPr>
      </w:pPr>
      <w:r w:rsidRPr="009E6200">
        <w:rPr>
          <w:b/>
          <w:bCs/>
          <w:lang w:eastAsia="ru-RU" w:bidi="ru-RU"/>
        </w:rPr>
        <w:t>С осторожностью</w:t>
      </w:r>
      <w:bookmarkEnd w:id="72"/>
      <w:bookmarkEnd w:id="73"/>
    </w:p>
    <w:p w14:paraId="5B62F370" w14:textId="77777777" w:rsidR="00577BCF" w:rsidRDefault="00577BCF" w:rsidP="007B46F5">
      <w:pPr>
        <w:pStyle w:val="SDText"/>
        <w:jc w:val="both"/>
        <w:rPr>
          <w:lang w:eastAsia="ru-RU" w:bidi="ru-RU"/>
        </w:rPr>
      </w:pPr>
    </w:p>
    <w:p w14:paraId="1C173F03" w14:textId="116B45D7" w:rsidR="00E05A5D" w:rsidRPr="009E6200" w:rsidRDefault="00E05A5D" w:rsidP="007B46F5">
      <w:pPr>
        <w:pStyle w:val="SDText"/>
        <w:ind w:firstLine="709"/>
        <w:jc w:val="both"/>
        <w:rPr>
          <w:lang w:eastAsia="ru-RU" w:bidi="ru-RU"/>
        </w:rPr>
      </w:pPr>
      <w:r w:rsidRPr="009E6200">
        <w:rPr>
          <w:lang w:eastAsia="ru-RU" w:bidi="ru-RU"/>
        </w:rPr>
        <w:t>При артериальной тромбоэмболии в анамнезе; сахарном диабете; возрасте старше 65 лет; врожденном геморрагическом диатезе и приобретенной коагулопатии; при приеме антикоагулянтов для лечения тромбоэмболии до начала терапии препаратом Авастин</w:t>
      </w:r>
      <w:r w:rsidRPr="009E6200">
        <w:rPr>
          <w:vertAlign w:val="superscript"/>
          <w:lang w:eastAsia="ru-RU" w:bidi="ru-RU"/>
        </w:rPr>
        <w:t>®</w:t>
      </w:r>
      <w:r w:rsidRPr="009E6200">
        <w:rPr>
          <w:lang w:eastAsia="ru-RU" w:bidi="ru-RU"/>
        </w:rPr>
        <w:t>; клинически значимом сердечно-сосудистом заболевании (ишемическая болезнь сердца или хроническая сердечная недостаточность в анамнезе); артериальной гипертензии; венозной тромбоэмболии; заживлении ран; кровотечении/кровохарканьи; желудочно</w:t>
      </w:r>
      <w:r w:rsidRPr="009E6200">
        <w:rPr>
          <w:lang w:eastAsia="ru-RU" w:bidi="ru-RU"/>
        </w:rPr>
        <w:softHyphen/>
        <w:t>кишечной перфорации в анамнезе; синдроме задней обратимой энцефалопатии; нейтропении; протеинурии.</w:t>
      </w:r>
    </w:p>
    <w:p w14:paraId="14F51179" w14:textId="77777777" w:rsidR="00577BCF" w:rsidRDefault="00577BCF" w:rsidP="007B46F5">
      <w:pPr>
        <w:pStyle w:val="SDText"/>
        <w:jc w:val="both"/>
        <w:rPr>
          <w:b/>
          <w:bCs/>
          <w:lang w:eastAsia="ru-RU" w:bidi="ru-RU"/>
        </w:rPr>
      </w:pPr>
    </w:p>
    <w:p w14:paraId="42D927B0" w14:textId="105E83DB" w:rsidR="00E05A5D" w:rsidRPr="009E6200" w:rsidRDefault="00E05A5D" w:rsidP="007B46F5">
      <w:pPr>
        <w:pStyle w:val="SDText"/>
        <w:jc w:val="both"/>
        <w:rPr>
          <w:lang w:eastAsia="ru-RU" w:bidi="ru-RU"/>
        </w:rPr>
      </w:pPr>
      <w:r w:rsidRPr="009E6200">
        <w:rPr>
          <w:b/>
          <w:bCs/>
          <w:lang w:eastAsia="ru-RU" w:bidi="ru-RU"/>
        </w:rPr>
        <w:t>Способ применения и дозы</w:t>
      </w:r>
    </w:p>
    <w:p w14:paraId="1E0FCDAD" w14:textId="77777777" w:rsidR="00577BCF" w:rsidRDefault="00577BCF" w:rsidP="007B46F5">
      <w:pPr>
        <w:pStyle w:val="SDText"/>
        <w:jc w:val="both"/>
        <w:rPr>
          <w:b/>
          <w:bCs/>
          <w:i/>
          <w:iCs/>
          <w:lang w:eastAsia="ru-RU" w:bidi="ru-RU"/>
        </w:rPr>
      </w:pPr>
    </w:p>
    <w:p w14:paraId="1FD45D5C" w14:textId="1FAF2AF5" w:rsidR="00E05A5D" w:rsidRPr="009E6200" w:rsidRDefault="00E05A5D" w:rsidP="007B46F5">
      <w:pPr>
        <w:pStyle w:val="SDText"/>
        <w:jc w:val="both"/>
        <w:rPr>
          <w:lang w:eastAsia="ru-RU" w:bidi="ru-RU"/>
        </w:rPr>
      </w:pPr>
      <w:r w:rsidRPr="009E6200">
        <w:rPr>
          <w:b/>
          <w:bCs/>
          <w:i/>
          <w:iCs/>
          <w:lang w:eastAsia="ru-RU" w:bidi="ru-RU"/>
        </w:rPr>
        <w:t>Препарат Авастин</w:t>
      </w:r>
      <w:r w:rsidRPr="009E6200">
        <w:rPr>
          <w:b/>
          <w:bCs/>
          <w:i/>
          <w:iCs/>
          <w:vertAlign w:val="superscript"/>
          <w:lang w:eastAsia="ru-RU" w:bidi="ru-RU"/>
        </w:rPr>
        <w:t>®</w:t>
      </w:r>
      <w:r w:rsidRPr="009E6200">
        <w:rPr>
          <w:b/>
          <w:bCs/>
          <w:i/>
          <w:iCs/>
          <w:lang w:eastAsia="ru-RU" w:bidi="ru-RU"/>
        </w:rPr>
        <w:t xml:space="preserve"> вводят только внутривенно капельно; вводить препарат внутривенно струйно или болюсно нельзя!</w:t>
      </w:r>
    </w:p>
    <w:p w14:paraId="18C30108" w14:textId="77777777" w:rsidR="00577BCF" w:rsidRDefault="00577BCF" w:rsidP="007B46F5">
      <w:pPr>
        <w:pStyle w:val="SDText"/>
        <w:jc w:val="both"/>
        <w:rPr>
          <w:lang w:eastAsia="ru-RU" w:bidi="ru-RU"/>
        </w:rPr>
      </w:pPr>
    </w:p>
    <w:p w14:paraId="310E64C5" w14:textId="54DC0BF1" w:rsidR="00E05A5D" w:rsidRPr="009E6200" w:rsidRDefault="00E05A5D" w:rsidP="007B46F5">
      <w:pPr>
        <w:pStyle w:val="SDText"/>
        <w:ind w:firstLine="709"/>
        <w:jc w:val="both"/>
        <w:rPr>
          <w:lang w:eastAsia="ru-RU" w:bidi="ru-RU"/>
        </w:rPr>
      </w:pPr>
      <w:r w:rsidRPr="009E6200">
        <w:rPr>
          <w:lang w:eastAsia="ru-RU" w:bidi="ru-RU"/>
        </w:rPr>
        <w:t>Препарат Авастин</w:t>
      </w:r>
      <w:r w:rsidRPr="009E6200">
        <w:rPr>
          <w:vertAlign w:val="superscript"/>
          <w:lang w:eastAsia="ru-RU" w:bidi="ru-RU"/>
        </w:rPr>
        <w:t>®</w:t>
      </w:r>
      <w:r w:rsidRPr="009E6200">
        <w:rPr>
          <w:lang w:eastAsia="ru-RU" w:bidi="ru-RU"/>
        </w:rPr>
        <w:t xml:space="preserve"> не предназначен для интравитреального введения.</w:t>
      </w:r>
    </w:p>
    <w:p w14:paraId="103CA4F3" w14:textId="77777777" w:rsidR="00E05A5D" w:rsidRPr="009E6200" w:rsidRDefault="00E05A5D" w:rsidP="007B46F5">
      <w:pPr>
        <w:pStyle w:val="SDText"/>
        <w:ind w:firstLine="709"/>
        <w:jc w:val="both"/>
        <w:rPr>
          <w:lang w:eastAsia="ru-RU" w:bidi="ru-RU"/>
        </w:rPr>
      </w:pPr>
      <w:r w:rsidRPr="009E6200">
        <w:rPr>
          <w:lang w:eastAsia="ru-RU" w:bidi="ru-RU"/>
        </w:rPr>
        <w:t>Препарат Авастин</w:t>
      </w:r>
      <w:r w:rsidRPr="009E6200">
        <w:rPr>
          <w:vertAlign w:val="superscript"/>
          <w:lang w:eastAsia="ru-RU" w:bidi="ru-RU"/>
        </w:rPr>
        <w:t>®</w:t>
      </w:r>
      <w:r w:rsidRPr="009E6200">
        <w:rPr>
          <w:lang w:eastAsia="ru-RU" w:bidi="ru-RU"/>
        </w:rPr>
        <w:t xml:space="preserve"> фармацевтически несовместим с растворами декстрозы.</w:t>
      </w:r>
    </w:p>
    <w:p w14:paraId="0190A76B" w14:textId="0DC3F771" w:rsidR="00E05A5D" w:rsidRPr="009E6200" w:rsidRDefault="00E05A5D" w:rsidP="007B46F5">
      <w:pPr>
        <w:pStyle w:val="SDText"/>
        <w:ind w:firstLine="709"/>
        <w:jc w:val="both"/>
        <w:rPr>
          <w:lang w:eastAsia="ru-RU" w:bidi="ru-RU"/>
        </w:rPr>
      </w:pPr>
      <w:r w:rsidRPr="009E6200">
        <w:rPr>
          <w:lang w:eastAsia="ru-RU" w:bidi="ru-RU"/>
        </w:rPr>
        <w:t>Необходимое количество препарата Авастин</w:t>
      </w:r>
      <w:r w:rsidRPr="009E6200">
        <w:rPr>
          <w:vertAlign w:val="superscript"/>
          <w:lang w:eastAsia="ru-RU" w:bidi="ru-RU"/>
        </w:rPr>
        <w:t>®</w:t>
      </w:r>
      <w:r w:rsidRPr="009E6200">
        <w:rPr>
          <w:lang w:eastAsia="ru-RU" w:bidi="ru-RU"/>
        </w:rPr>
        <w:t xml:space="preserve"> разводят до требуемого объема 0</w:t>
      </w:r>
      <w:r w:rsidR="001D23B0">
        <w:rPr>
          <w:lang w:eastAsia="ru-RU" w:bidi="ru-RU"/>
        </w:rPr>
        <w:t>,</w:t>
      </w:r>
      <w:r w:rsidRPr="009E6200">
        <w:rPr>
          <w:lang w:eastAsia="ru-RU" w:bidi="ru-RU"/>
        </w:rPr>
        <w:t>9% раствором натрия хлорида с соблюдением правил асептики. Концентрация бевацизумаба в приготовленном растворе должна находиться в пределах 1</w:t>
      </w:r>
      <w:r w:rsidR="009A0E33" w:rsidRPr="009E6200">
        <w:rPr>
          <w:lang w:eastAsia="ru-RU" w:bidi="ru-RU"/>
        </w:rPr>
        <w:t>,</w:t>
      </w:r>
      <w:r w:rsidRPr="009E6200">
        <w:rPr>
          <w:lang w:eastAsia="ru-RU" w:bidi="ru-RU"/>
        </w:rPr>
        <w:t>4-16</w:t>
      </w:r>
      <w:r w:rsidR="009A0E33" w:rsidRPr="009E6200">
        <w:rPr>
          <w:lang w:eastAsia="ru-RU" w:bidi="ru-RU"/>
        </w:rPr>
        <w:t>,</w:t>
      </w:r>
      <w:r w:rsidRPr="009E6200">
        <w:rPr>
          <w:lang w:eastAsia="ru-RU" w:bidi="ru-RU"/>
        </w:rPr>
        <w:t>5 мг/мл.</w:t>
      </w:r>
    </w:p>
    <w:p w14:paraId="25735CA2" w14:textId="77777777" w:rsidR="00E05A5D" w:rsidRPr="009E6200" w:rsidRDefault="00E05A5D" w:rsidP="007B46F5">
      <w:pPr>
        <w:pStyle w:val="SDText"/>
        <w:ind w:firstLine="709"/>
        <w:jc w:val="both"/>
        <w:rPr>
          <w:lang w:eastAsia="ru-RU" w:bidi="ru-RU"/>
        </w:rPr>
      </w:pPr>
      <w:r w:rsidRPr="009E6200">
        <w:rPr>
          <w:lang w:eastAsia="ru-RU" w:bidi="ru-RU"/>
        </w:rPr>
        <w:t>Начальную дозу препарата вводят в течение 90 минут в виде внутривенной инфузии. Если первая инфузия хорошо переносится, то вторую инфузию можно проводить в течение 60 минут. Если инфузия в течение 60 минут хорошо переносится, то все последующие инфузии можно проводить в течение 30 минут.</w:t>
      </w:r>
    </w:p>
    <w:p w14:paraId="55B5857F" w14:textId="77777777" w:rsidR="00E05A5D" w:rsidRPr="009E6200" w:rsidRDefault="00E05A5D" w:rsidP="007B46F5">
      <w:pPr>
        <w:pStyle w:val="SDText"/>
        <w:ind w:firstLine="709"/>
        <w:jc w:val="both"/>
        <w:rPr>
          <w:lang w:eastAsia="ru-RU" w:bidi="ru-RU"/>
        </w:rPr>
      </w:pPr>
      <w:r w:rsidRPr="009E6200">
        <w:rPr>
          <w:lang w:eastAsia="ru-RU" w:bidi="ru-RU"/>
        </w:rPr>
        <w:t>Не рекомендуется снижать дозу бевацизумаба из-за нежелательных явлений. В случае необходимости, лечение препаратом Авастин</w:t>
      </w:r>
      <w:r w:rsidRPr="009E6200">
        <w:rPr>
          <w:vertAlign w:val="superscript"/>
          <w:lang w:eastAsia="ru-RU" w:bidi="ru-RU"/>
        </w:rPr>
        <w:t>®</w:t>
      </w:r>
      <w:r w:rsidRPr="009E6200">
        <w:rPr>
          <w:lang w:eastAsia="ru-RU" w:bidi="ru-RU"/>
        </w:rPr>
        <w:t xml:space="preserve"> следует полностью или временно прекратить.</w:t>
      </w:r>
    </w:p>
    <w:p w14:paraId="38E42F44" w14:textId="77777777" w:rsidR="00577BCF" w:rsidRDefault="00577BCF" w:rsidP="007B46F5">
      <w:pPr>
        <w:pStyle w:val="SDText"/>
        <w:jc w:val="both"/>
        <w:rPr>
          <w:b/>
          <w:bCs/>
          <w:i/>
          <w:iCs/>
          <w:lang w:eastAsia="ru-RU" w:bidi="ru-RU"/>
        </w:rPr>
      </w:pPr>
    </w:p>
    <w:p w14:paraId="2FCF4BE4" w14:textId="7A340657" w:rsidR="00E05A5D" w:rsidRPr="009E6200" w:rsidRDefault="00E05A5D" w:rsidP="007B46F5">
      <w:pPr>
        <w:pStyle w:val="SDText"/>
        <w:jc w:val="both"/>
        <w:rPr>
          <w:lang w:eastAsia="ru-RU" w:bidi="ru-RU"/>
        </w:rPr>
      </w:pPr>
      <w:r w:rsidRPr="009E6200">
        <w:rPr>
          <w:b/>
          <w:bCs/>
          <w:i/>
          <w:iCs/>
          <w:lang w:eastAsia="ru-RU" w:bidi="ru-RU"/>
        </w:rPr>
        <w:t>Стандартный режим дозирования</w:t>
      </w:r>
    </w:p>
    <w:p w14:paraId="369762DA" w14:textId="77777777" w:rsidR="00577BCF" w:rsidRDefault="00577BCF" w:rsidP="007B46F5">
      <w:pPr>
        <w:pStyle w:val="SDText"/>
        <w:jc w:val="both"/>
        <w:rPr>
          <w:i/>
          <w:iCs/>
          <w:u w:val="single"/>
          <w:lang w:eastAsia="ru-RU" w:bidi="ru-RU"/>
        </w:rPr>
      </w:pPr>
    </w:p>
    <w:p w14:paraId="3E9F3774" w14:textId="760EF344" w:rsidR="00E05A5D" w:rsidRPr="009E6200" w:rsidRDefault="00E05A5D" w:rsidP="007B46F5">
      <w:pPr>
        <w:pStyle w:val="SDText"/>
        <w:jc w:val="both"/>
        <w:rPr>
          <w:lang w:eastAsia="ru-RU" w:bidi="ru-RU"/>
        </w:rPr>
      </w:pPr>
      <w:r w:rsidRPr="009E6200">
        <w:rPr>
          <w:i/>
          <w:iCs/>
          <w:u w:val="single"/>
          <w:lang w:eastAsia="ru-RU" w:bidi="ru-RU"/>
        </w:rPr>
        <w:t>Метастатический колоректальный рак</w:t>
      </w:r>
    </w:p>
    <w:p w14:paraId="7D1F3DDF" w14:textId="14D32E00" w:rsidR="00E05A5D" w:rsidRPr="009E6200" w:rsidRDefault="00E05A5D" w:rsidP="007B46F5">
      <w:pPr>
        <w:pStyle w:val="SDText"/>
        <w:jc w:val="both"/>
        <w:rPr>
          <w:lang w:eastAsia="ru-RU" w:bidi="ru-RU"/>
        </w:rPr>
      </w:pPr>
      <w:r w:rsidRPr="009E6200">
        <w:rPr>
          <w:i/>
          <w:iCs/>
          <w:lang w:eastAsia="ru-RU" w:bidi="ru-RU"/>
        </w:rPr>
        <w:t>В качестве первой линии терапии :</w:t>
      </w:r>
      <w:r w:rsidRPr="009E6200">
        <w:rPr>
          <w:lang w:eastAsia="ru-RU" w:bidi="ru-RU"/>
        </w:rPr>
        <w:t xml:space="preserve"> 5 мг / кг один раз в 2 недели или 7</w:t>
      </w:r>
      <w:r w:rsidR="0064668C">
        <w:rPr>
          <w:lang w:eastAsia="ru-RU" w:bidi="ru-RU"/>
        </w:rPr>
        <w:t>,</w:t>
      </w:r>
      <w:r w:rsidRPr="009E6200">
        <w:rPr>
          <w:lang w:eastAsia="ru-RU" w:bidi="ru-RU"/>
        </w:rPr>
        <w:t>5 мг / кг один раз в 3 недели в виде внутривенной инфузии, длительно.</w:t>
      </w:r>
    </w:p>
    <w:p w14:paraId="329580F5" w14:textId="77777777" w:rsidR="00E05A5D" w:rsidRPr="009E6200" w:rsidRDefault="00E05A5D" w:rsidP="007B46F5">
      <w:pPr>
        <w:pStyle w:val="SDText"/>
        <w:jc w:val="both"/>
        <w:rPr>
          <w:lang w:eastAsia="ru-RU" w:bidi="ru-RU"/>
        </w:rPr>
      </w:pPr>
      <w:r w:rsidRPr="009E6200">
        <w:rPr>
          <w:lang w:eastAsia="ru-RU" w:bidi="ru-RU"/>
        </w:rPr>
        <w:t>Рекомендуется проводить терапию препаратом Авастин</w:t>
      </w:r>
      <w:r w:rsidRPr="009E6200">
        <w:rPr>
          <w:vertAlign w:val="superscript"/>
          <w:lang w:eastAsia="ru-RU" w:bidi="ru-RU"/>
        </w:rPr>
        <w:t>®</w:t>
      </w:r>
      <w:r w:rsidRPr="009E6200">
        <w:rPr>
          <w:lang w:eastAsia="ru-RU" w:bidi="ru-RU"/>
        </w:rPr>
        <w:t xml:space="preserve"> до появления признаков прогрессирования заболевания или до неприемлемой токсичности.</w:t>
      </w:r>
    </w:p>
    <w:p w14:paraId="2C81150A" w14:textId="77777777" w:rsidR="00E05A5D" w:rsidRPr="009E6200" w:rsidRDefault="00E05A5D" w:rsidP="007B46F5">
      <w:pPr>
        <w:pStyle w:val="SDText"/>
        <w:jc w:val="both"/>
        <w:rPr>
          <w:lang w:eastAsia="ru-RU" w:bidi="ru-RU"/>
        </w:rPr>
      </w:pPr>
      <w:r w:rsidRPr="009E6200">
        <w:rPr>
          <w:i/>
          <w:iCs/>
          <w:lang w:eastAsia="ru-RU" w:bidi="ru-RU"/>
        </w:rPr>
        <w:t>В качестве второй линии терапии:</w:t>
      </w:r>
      <w:r w:rsidRPr="009E6200">
        <w:rPr>
          <w:lang w:eastAsia="ru-RU" w:bidi="ru-RU"/>
        </w:rPr>
        <w:t xml:space="preserve"> пациенты, ранее получавшие терапию препаратом Авастин</w:t>
      </w:r>
      <w:r w:rsidRPr="009E6200">
        <w:rPr>
          <w:vertAlign w:val="superscript"/>
          <w:lang w:eastAsia="ru-RU" w:bidi="ru-RU"/>
        </w:rPr>
        <w:t>®</w:t>
      </w:r>
      <w:r w:rsidRPr="009E6200">
        <w:rPr>
          <w:lang w:eastAsia="ru-RU" w:bidi="ru-RU"/>
        </w:rPr>
        <w:t>, после первого прогрессирования заболевания могут продолжить лечение препаратом Авастин</w:t>
      </w:r>
      <w:r w:rsidRPr="009E6200">
        <w:rPr>
          <w:vertAlign w:val="superscript"/>
          <w:lang w:eastAsia="ru-RU" w:bidi="ru-RU"/>
        </w:rPr>
        <w:t>®</w:t>
      </w:r>
      <w:r w:rsidRPr="009E6200">
        <w:rPr>
          <w:lang w:eastAsia="ru-RU" w:bidi="ru-RU"/>
        </w:rPr>
        <w:t xml:space="preserve"> при условии изменения режима химиотерапии:</w:t>
      </w:r>
    </w:p>
    <w:p w14:paraId="6F10F8E5" w14:textId="55233863" w:rsidR="00E05A5D" w:rsidRPr="009E6200" w:rsidRDefault="00E05A5D" w:rsidP="007B46F5">
      <w:pPr>
        <w:pStyle w:val="SDText"/>
        <w:jc w:val="both"/>
        <w:rPr>
          <w:lang w:eastAsia="ru-RU" w:bidi="ru-RU"/>
        </w:rPr>
      </w:pPr>
      <w:r w:rsidRPr="009E6200">
        <w:rPr>
          <w:lang w:eastAsia="ru-RU" w:bidi="ru-RU"/>
        </w:rPr>
        <w:t>- при прогрессировании заболевания после терапии первой линии , включавшей препарат Авастин</w:t>
      </w:r>
      <w:r w:rsidRPr="009E6200">
        <w:rPr>
          <w:vertAlign w:val="superscript"/>
          <w:lang w:eastAsia="ru-RU" w:bidi="ru-RU"/>
        </w:rPr>
        <w:t>®</w:t>
      </w:r>
      <w:r w:rsidRPr="009E6200">
        <w:rPr>
          <w:lang w:eastAsia="ru-RU" w:bidi="ru-RU"/>
        </w:rPr>
        <w:t>: 5 мг/кг один раз в 2 недели или 7</w:t>
      </w:r>
      <w:r w:rsidR="001D23B0">
        <w:rPr>
          <w:lang w:eastAsia="ru-RU" w:bidi="ru-RU"/>
        </w:rPr>
        <w:t>,</w:t>
      </w:r>
      <w:r w:rsidRPr="009E6200">
        <w:rPr>
          <w:lang w:eastAsia="ru-RU" w:bidi="ru-RU"/>
        </w:rPr>
        <w:t>5 мг/кг один раз в 3 недели в виде внутривенной инфузии, длительно;</w:t>
      </w:r>
    </w:p>
    <w:p w14:paraId="79296857" w14:textId="75167722" w:rsidR="00E05A5D" w:rsidRDefault="00E05A5D" w:rsidP="007B46F5">
      <w:pPr>
        <w:pStyle w:val="SDText"/>
        <w:jc w:val="both"/>
        <w:rPr>
          <w:lang w:eastAsia="ru-RU" w:bidi="ru-RU"/>
        </w:rPr>
      </w:pPr>
      <w:r w:rsidRPr="009E6200">
        <w:rPr>
          <w:lang w:eastAsia="ru-RU" w:bidi="ru-RU"/>
        </w:rPr>
        <w:t>- при прогрессировании заболевания после терапии первой линии , не включавшей препарат Авастин</w:t>
      </w:r>
      <w:r w:rsidRPr="009E6200">
        <w:rPr>
          <w:vertAlign w:val="superscript"/>
          <w:lang w:eastAsia="ru-RU" w:bidi="ru-RU"/>
        </w:rPr>
        <w:t>®</w:t>
      </w:r>
      <w:r w:rsidRPr="009E6200">
        <w:rPr>
          <w:lang w:eastAsia="ru-RU" w:bidi="ru-RU"/>
        </w:rPr>
        <w:t>: 10 мг/кг один раз в 2 недели или 15 мг/кг один раз в 3 недели в виде внутривенной инфузии, длительно.</w:t>
      </w:r>
    </w:p>
    <w:p w14:paraId="79E54D8E" w14:textId="77777777" w:rsidR="00577BCF" w:rsidRPr="009E6200" w:rsidRDefault="00577BCF" w:rsidP="007B46F5">
      <w:pPr>
        <w:pStyle w:val="SDText"/>
        <w:jc w:val="both"/>
        <w:rPr>
          <w:lang w:eastAsia="ru-RU" w:bidi="ru-RU"/>
        </w:rPr>
      </w:pPr>
    </w:p>
    <w:p w14:paraId="4494DB40" w14:textId="6C9307D4" w:rsidR="00E05A5D" w:rsidRDefault="00E05A5D" w:rsidP="007B46F5">
      <w:pPr>
        <w:pStyle w:val="SDText"/>
        <w:jc w:val="both"/>
        <w:rPr>
          <w:i/>
          <w:iCs/>
          <w:u w:val="single"/>
          <w:lang w:eastAsia="ru-RU" w:bidi="ru-RU"/>
        </w:rPr>
      </w:pPr>
      <w:r w:rsidRPr="009E6200">
        <w:rPr>
          <w:i/>
          <w:iCs/>
          <w:u w:val="single"/>
          <w:lang w:eastAsia="ru-RU" w:bidi="ru-RU"/>
        </w:rPr>
        <w:t>Местно рецидивирующий или метастатический рак молочной железы (РМЖ)</w:t>
      </w:r>
    </w:p>
    <w:p w14:paraId="5FA045A7" w14:textId="77777777" w:rsidR="007B46F5" w:rsidRPr="009E6200" w:rsidRDefault="007B46F5" w:rsidP="007B46F5">
      <w:pPr>
        <w:pStyle w:val="SDText"/>
        <w:jc w:val="both"/>
        <w:rPr>
          <w:lang w:eastAsia="ru-RU" w:bidi="ru-RU"/>
        </w:rPr>
      </w:pPr>
    </w:p>
    <w:p w14:paraId="1DABF3A7" w14:textId="77777777" w:rsidR="00E05A5D" w:rsidRPr="009E6200" w:rsidRDefault="00E05A5D" w:rsidP="007B46F5">
      <w:pPr>
        <w:pStyle w:val="SDText"/>
        <w:jc w:val="both"/>
        <w:rPr>
          <w:lang w:eastAsia="ru-RU" w:bidi="ru-RU"/>
        </w:rPr>
      </w:pPr>
      <w:r w:rsidRPr="009E6200">
        <w:rPr>
          <w:lang w:eastAsia="ru-RU" w:bidi="ru-RU"/>
        </w:rPr>
        <w:t>10 мг/кг один раз в 2 недели в виде внутривенной инфузии, длительно.</w:t>
      </w:r>
    </w:p>
    <w:p w14:paraId="68AF197E" w14:textId="77777777" w:rsidR="00E05A5D" w:rsidRPr="009E6200" w:rsidRDefault="00E05A5D" w:rsidP="007B46F5">
      <w:pPr>
        <w:pStyle w:val="SDText"/>
        <w:jc w:val="both"/>
        <w:rPr>
          <w:lang w:eastAsia="ru-RU" w:bidi="ru-RU"/>
        </w:rPr>
      </w:pPr>
      <w:r w:rsidRPr="009E6200">
        <w:rPr>
          <w:lang w:eastAsia="ru-RU" w:bidi="ru-RU"/>
        </w:rPr>
        <w:t>При появлении признаков прогрессирования заболевания или неприемлемой токсичности терапию препаратом Авастин</w:t>
      </w:r>
      <w:r w:rsidRPr="009E6200">
        <w:rPr>
          <w:vertAlign w:val="superscript"/>
          <w:lang w:eastAsia="ru-RU" w:bidi="ru-RU"/>
        </w:rPr>
        <w:t>®</w:t>
      </w:r>
      <w:r w:rsidRPr="009E6200">
        <w:rPr>
          <w:lang w:eastAsia="ru-RU" w:bidi="ru-RU"/>
        </w:rPr>
        <w:t xml:space="preserve"> следует прекратить.</w:t>
      </w:r>
    </w:p>
    <w:p w14:paraId="39E66416" w14:textId="77777777" w:rsidR="00577BCF" w:rsidRDefault="00577BCF" w:rsidP="007B46F5">
      <w:pPr>
        <w:pStyle w:val="SDText"/>
        <w:jc w:val="both"/>
        <w:rPr>
          <w:i/>
          <w:iCs/>
          <w:u w:val="single"/>
          <w:lang w:eastAsia="ru-RU" w:bidi="ru-RU"/>
        </w:rPr>
      </w:pPr>
    </w:p>
    <w:p w14:paraId="2071F016" w14:textId="40DA1EC6" w:rsidR="00E05A5D" w:rsidRDefault="00E05A5D" w:rsidP="007B46F5">
      <w:pPr>
        <w:pStyle w:val="SDText"/>
        <w:jc w:val="both"/>
        <w:rPr>
          <w:i/>
          <w:iCs/>
          <w:u w:val="single"/>
          <w:lang w:eastAsia="ru-RU" w:bidi="ru-RU"/>
        </w:rPr>
      </w:pPr>
      <w:r w:rsidRPr="009E6200">
        <w:rPr>
          <w:i/>
          <w:iCs/>
          <w:u w:val="single"/>
          <w:lang w:eastAsia="ru-RU" w:bidi="ru-RU"/>
        </w:rPr>
        <w:t>Распространенный неоперабельный, метастатический или рецидивирующий неплоскоклеточный немелкоклеточный рак легкого</w:t>
      </w:r>
    </w:p>
    <w:p w14:paraId="0ADB64CE" w14:textId="77777777" w:rsidR="007B46F5" w:rsidRPr="009E6200" w:rsidRDefault="007B46F5" w:rsidP="007B46F5">
      <w:pPr>
        <w:pStyle w:val="SDText"/>
        <w:jc w:val="both"/>
        <w:rPr>
          <w:lang w:eastAsia="ru-RU" w:bidi="ru-RU"/>
        </w:rPr>
      </w:pPr>
    </w:p>
    <w:p w14:paraId="4E143264" w14:textId="77777777" w:rsidR="00E05A5D" w:rsidRPr="009E6200" w:rsidRDefault="00E05A5D" w:rsidP="007B46F5">
      <w:pPr>
        <w:pStyle w:val="SDText"/>
        <w:numPr>
          <w:ilvl w:val="0"/>
          <w:numId w:val="35"/>
        </w:numPr>
        <w:jc w:val="both"/>
        <w:rPr>
          <w:lang w:eastAsia="ru-RU" w:bidi="ru-RU"/>
        </w:rPr>
      </w:pPr>
      <w:r w:rsidRPr="009E6200">
        <w:rPr>
          <w:i/>
          <w:iCs/>
          <w:lang w:eastAsia="ru-RU" w:bidi="ru-RU"/>
        </w:rPr>
        <w:t>Первая линия терапии немелкоклеточного рака легкого в комбинации с химиотерапией на основе препаратов платины</w:t>
      </w:r>
    </w:p>
    <w:p w14:paraId="77DDFB38" w14:textId="77777777" w:rsidR="00E05A5D" w:rsidRPr="009E6200" w:rsidRDefault="00E05A5D" w:rsidP="007B46F5">
      <w:pPr>
        <w:pStyle w:val="SDText"/>
        <w:jc w:val="both"/>
        <w:rPr>
          <w:lang w:eastAsia="ru-RU" w:bidi="ru-RU"/>
        </w:rPr>
      </w:pPr>
      <w:r w:rsidRPr="009E6200">
        <w:rPr>
          <w:lang w:eastAsia="ru-RU" w:bidi="ru-RU"/>
        </w:rPr>
        <w:t>Препарат Авастин</w:t>
      </w:r>
      <w:r w:rsidRPr="009E6200">
        <w:rPr>
          <w:vertAlign w:val="superscript"/>
          <w:lang w:eastAsia="ru-RU" w:bidi="ru-RU"/>
        </w:rPr>
        <w:t>®</w:t>
      </w:r>
      <w:r w:rsidRPr="009E6200">
        <w:rPr>
          <w:lang w:eastAsia="ru-RU" w:bidi="ru-RU"/>
        </w:rPr>
        <w:t xml:space="preserve"> назначается дополнительно к химиотерапии на основе препаратов платины (максимальная продолжительность химиотерапии 6 циклов), далее введение препарата Авастин</w:t>
      </w:r>
      <w:r w:rsidRPr="009E6200">
        <w:rPr>
          <w:vertAlign w:val="superscript"/>
          <w:lang w:eastAsia="ru-RU" w:bidi="ru-RU"/>
        </w:rPr>
        <w:t>®</w:t>
      </w:r>
      <w:r w:rsidRPr="009E6200">
        <w:rPr>
          <w:lang w:eastAsia="ru-RU" w:bidi="ru-RU"/>
        </w:rPr>
        <w:t xml:space="preserve"> продолжается в виде монотерапии. При появлении признаков прогрессирования заболевания или неприемлемой токсичности терапию препаратом Авастин</w:t>
      </w:r>
      <w:r w:rsidRPr="009E6200">
        <w:rPr>
          <w:vertAlign w:val="superscript"/>
          <w:lang w:eastAsia="ru-RU" w:bidi="ru-RU"/>
        </w:rPr>
        <w:t>®</w:t>
      </w:r>
      <w:r w:rsidRPr="009E6200">
        <w:rPr>
          <w:lang w:eastAsia="ru-RU" w:bidi="ru-RU"/>
        </w:rPr>
        <w:t xml:space="preserve"> следует прекратить.</w:t>
      </w:r>
    </w:p>
    <w:p w14:paraId="19FB8BD5" w14:textId="77777777" w:rsidR="00E05A5D" w:rsidRPr="009E6200" w:rsidRDefault="00E05A5D" w:rsidP="007B46F5">
      <w:pPr>
        <w:pStyle w:val="SDText"/>
        <w:jc w:val="both"/>
        <w:rPr>
          <w:lang w:eastAsia="ru-RU" w:bidi="ru-RU"/>
        </w:rPr>
      </w:pPr>
      <w:r w:rsidRPr="009E6200">
        <w:rPr>
          <w:i/>
          <w:iCs/>
          <w:lang w:eastAsia="ru-RU" w:bidi="ru-RU"/>
        </w:rPr>
        <w:t>Рекомендуемые дозы</w:t>
      </w:r>
      <w:r w:rsidRPr="009E6200">
        <w:rPr>
          <w:lang w:eastAsia="ru-RU" w:bidi="ru-RU"/>
        </w:rPr>
        <w:t>:</w:t>
      </w:r>
    </w:p>
    <w:p w14:paraId="623020DA" w14:textId="2F026D15" w:rsidR="00E05A5D" w:rsidRPr="009E6200" w:rsidRDefault="00E05A5D" w:rsidP="007B46F5">
      <w:pPr>
        <w:pStyle w:val="SDText"/>
        <w:jc w:val="both"/>
        <w:rPr>
          <w:lang w:eastAsia="ru-RU" w:bidi="ru-RU"/>
        </w:rPr>
      </w:pPr>
      <w:r w:rsidRPr="009E6200">
        <w:rPr>
          <w:lang w:eastAsia="ru-RU" w:bidi="ru-RU"/>
        </w:rPr>
        <w:t>- 7</w:t>
      </w:r>
      <w:r w:rsidR="001D23B0">
        <w:rPr>
          <w:lang w:eastAsia="ru-RU" w:bidi="ru-RU"/>
        </w:rPr>
        <w:t>,</w:t>
      </w:r>
      <w:r w:rsidRPr="009E6200">
        <w:rPr>
          <w:lang w:eastAsia="ru-RU" w:bidi="ru-RU"/>
        </w:rPr>
        <w:t>5 мг/кг один раз в 3 недели в виде внутривенной инфузии дополнительно к химиотерапии на основе цисплатина;</w:t>
      </w:r>
    </w:p>
    <w:p w14:paraId="6B69270E" w14:textId="77777777" w:rsidR="00E05A5D" w:rsidRPr="009E6200" w:rsidRDefault="00E05A5D" w:rsidP="007B46F5">
      <w:pPr>
        <w:pStyle w:val="SDText"/>
        <w:jc w:val="both"/>
        <w:rPr>
          <w:lang w:eastAsia="ru-RU" w:bidi="ru-RU"/>
        </w:rPr>
      </w:pPr>
      <w:r w:rsidRPr="009E6200">
        <w:rPr>
          <w:lang w:eastAsia="ru-RU" w:bidi="ru-RU"/>
        </w:rPr>
        <w:t>- 15 мг/кг один раз в 3 недели в виде внутривенной инфузии дополнительно к химиотерапии на основе карбоплатина.</w:t>
      </w:r>
    </w:p>
    <w:p w14:paraId="3C0C3873" w14:textId="77777777" w:rsidR="00E05A5D" w:rsidRPr="009E6200" w:rsidRDefault="00E05A5D" w:rsidP="007B46F5">
      <w:pPr>
        <w:pStyle w:val="SDText"/>
        <w:numPr>
          <w:ilvl w:val="0"/>
          <w:numId w:val="35"/>
        </w:numPr>
        <w:ind w:left="284" w:hanging="284"/>
        <w:jc w:val="both"/>
        <w:rPr>
          <w:lang w:eastAsia="ru-RU" w:bidi="ru-RU"/>
        </w:rPr>
      </w:pPr>
      <w:r w:rsidRPr="009E6200">
        <w:rPr>
          <w:i/>
          <w:iCs/>
          <w:lang w:eastAsia="ru-RU" w:bidi="ru-RU"/>
        </w:rPr>
        <w:t xml:space="preserve">Первая линия терапии немелкоклеточного рака легкого с активирующими мутациями в гене </w:t>
      </w:r>
      <w:r w:rsidRPr="009E6200">
        <w:rPr>
          <w:i/>
          <w:iCs/>
          <w:lang w:eastAsia="ru-RU" w:bidi="en-US"/>
        </w:rPr>
        <w:t xml:space="preserve">EGFR </w:t>
      </w:r>
      <w:r w:rsidRPr="009E6200">
        <w:rPr>
          <w:i/>
          <w:iCs/>
          <w:lang w:eastAsia="ru-RU" w:bidi="ru-RU"/>
        </w:rPr>
        <w:t>в комбинации с эрлотинибом</w:t>
      </w:r>
    </w:p>
    <w:p w14:paraId="3BDE7110" w14:textId="77777777" w:rsidR="00E05A5D" w:rsidRPr="009E6200" w:rsidRDefault="00E05A5D" w:rsidP="007B46F5">
      <w:pPr>
        <w:pStyle w:val="SDText"/>
        <w:jc w:val="both"/>
        <w:rPr>
          <w:lang w:eastAsia="ru-RU" w:bidi="ru-RU"/>
        </w:rPr>
      </w:pPr>
      <w:r w:rsidRPr="009E6200">
        <w:rPr>
          <w:lang w:eastAsia="ru-RU" w:bidi="ru-RU"/>
        </w:rPr>
        <w:t>15 мг/кг один раз в 3 недели в виде внутривенной инфузии дополнительно к терапии эрлотинибом.</w:t>
      </w:r>
    </w:p>
    <w:p w14:paraId="5FA4521F" w14:textId="77777777" w:rsidR="00E05A5D" w:rsidRPr="009E6200" w:rsidRDefault="00E05A5D" w:rsidP="007B46F5">
      <w:pPr>
        <w:pStyle w:val="SDText"/>
        <w:jc w:val="both"/>
        <w:rPr>
          <w:lang w:eastAsia="ru-RU" w:bidi="ru-RU"/>
        </w:rPr>
      </w:pPr>
      <w:r w:rsidRPr="009E6200">
        <w:rPr>
          <w:lang w:eastAsia="ru-RU" w:bidi="ru-RU"/>
        </w:rPr>
        <w:t>При появлении признаков прогрессирования заболевания или неприемлемой токсичности терапию препаратом Авастин</w:t>
      </w:r>
      <w:r w:rsidRPr="009E6200">
        <w:rPr>
          <w:vertAlign w:val="superscript"/>
          <w:lang w:eastAsia="ru-RU" w:bidi="ru-RU"/>
        </w:rPr>
        <w:t>®</w:t>
      </w:r>
      <w:r w:rsidRPr="009E6200">
        <w:rPr>
          <w:lang w:eastAsia="ru-RU" w:bidi="ru-RU"/>
        </w:rPr>
        <w:t xml:space="preserve"> следует прекратить.</w:t>
      </w:r>
    </w:p>
    <w:p w14:paraId="3DEF4AE6" w14:textId="77777777" w:rsidR="00E05A5D" w:rsidRPr="009E6200" w:rsidRDefault="00E05A5D" w:rsidP="007B46F5">
      <w:pPr>
        <w:pStyle w:val="SDText"/>
        <w:jc w:val="both"/>
        <w:rPr>
          <w:lang w:eastAsia="ru-RU" w:bidi="ru-RU"/>
        </w:rPr>
      </w:pPr>
      <w:r w:rsidRPr="009E6200">
        <w:rPr>
          <w:lang w:eastAsia="ru-RU" w:bidi="ru-RU"/>
        </w:rPr>
        <w:t>Информацию о выборе пациентов и дозах см. в полной инструкции по медицинскому применению на эрлотиниб.</w:t>
      </w:r>
    </w:p>
    <w:p w14:paraId="115CB30E" w14:textId="77777777" w:rsidR="00577BCF" w:rsidRDefault="00577BCF" w:rsidP="007B46F5">
      <w:pPr>
        <w:pStyle w:val="SDText"/>
        <w:jc w:val="both"/>
        <w:rPr>
          <w:i/>
          <w:iCs/>
          <w:u w:val="single"/>
          <w:lang w:eastAsia="ru-RU" w:bidi="ru-RU"/>
        </w:rPr>
      </w:pPr>
    </w:p>
    <w:p w14:paraId="20193904" w14:textId="28985302" w:rsidR="00E05A5D" w:rsidRDefault="00E05A5D" w:rsidP="007B46F5">
      <w:pPr>
        <w:pStyle w:val="SDText"/>
        <w:jc w:val="both"/>
        <w:rPr>
          <w:i/>
          <w:iCs/>
          <w:u w:val="single"/>
          <w:lang w:eastAsia="ru-RU" w:bidi="ru-RU"/>
        </w:rPr>
      </w:pPr>
      <w:r w:rsidRPr="009E6200">
        <w:rPr>
          <w:i/>
          <w:iCs/>
          <w:u w:val="single"/>
          <w:lang w:eastAsia="ru-RU" w:bidi="ru-RU"/>
        </w:rPr>
        <w:t>Распространенный и/или метастатический почечно-клеточный рак</w:t>
      </w:r>
    </w:p>
    <w:p w14:paraId="76B52F37" w14:textId="77777777" w:rsidR="007B46F5" w:rsidRPr="009E6200" w:rsidRDefault="007B46F5" w:rsidP="007B46F5">
      <w:pPr>
        <w:pStyle w:val="SDText"/>
        <w:jc w:val="both"/>
        <w:rPr>
          <w:lang w:eastAsia="ru-RU" w:bidi="ru-RU"/>
        </w:rPr>
      </w:pPr>
    </w:p>
    <w:p w14:paraId="02AD11AB" w14:textId="77777777" w:rsidR="00E05A5D" w:rsidRPr="009E6200" w:rsidRDefault="00E05A5D" w:rsidP="007B46F5">
      <w:pPr>
        <w:pStyle w:val="SDText"/>
        <w:jc w:val="both"/>
        <w:rPr>
          <w:lang w:eastAsia="ru-RU" w:bidi="ru-RU"/>
        </w:rPr>
      </w:pPr>
      <w:r w:rsidRPr="009E6200">
        <w:rPr>
          <w:lang w:eastAsia="ru-RU" w:bidi="ru-RU"/>
        </w:rPr>
        <w:t>10 мг/кг один раз в 2 недели в виде внутривенной инфузии, длительно.</w:t>
      </w:r>
    </w:p>
    <w:p w14:paraId="448B7DF9" w14:textId="77777777" w:rsidR="00E05A5D" w:rsidRPr="009E6200" w:rsidRDefault="00E05A5D" w:rsidP="007B46F5">
      <w:pPr>
        <w:pStyle w:val="SDText"/>
        <w:jc w:val="both"/>
        <w:rPr>
          <w:lang w:eastAsia="ru-RU" w:bidi="ru-RU"/>
        </w:rPr>
      </w:pPr>
      <w:r w:rsidRPr="009E6200">
        <w:rPr>
          <w:lang w:eastAsia="ru-RU" w:bidi="ru-RU"/>
        </w:rPr>
        <w:t>При появлении признаков прогрессирования заболевания или неприемлемой токсичности терапию препаратом Авастин</w:t>
      </w:r>
      <w:r w:rsidRPr="009E6200">
        <w:rPr>
          <w:vertAlign w:val="superscript"/>
          <w:lang w:eastAsia="ru-RU" w:bidi="ru-RU"/>
        </w:rPr>
        <w:t>®</w:t>
      </w:r>
      <w:r w:rsidRPr="009E6200">
        <w:rPr>
          <w:lang w:eastAsia="ru-RU" w:bidi="ru-RU"/>
        </w:rPr>
        <w:t xml:space="preserve"> следует прекратить.</w:t>
      </w:r>
    </w:p>
    <w:p w14:paraId="0971DB80" w14:textId="77777777" w:rsidR="00577BCF" w:rsidRDefault="00577BCF" w:rsidP="007B46F5">
      <w:pPr>
        <w:pStyle w:val="SDText"/>
        <w:jc w:val="both"/>
        <w:rPr>
          <w:i/>
          <w:iCs/>
          <w:u w:val="single"/>
          <w:lang w:eastAsia="ru-RU" w:bidi="ru-RU"/>
        </w:rPr>
      </w:pPr>
    </w:p>
    <w:p w14:paraId="03EC414E" w14:textId="77777777" w:rsidR="007B46F5" w:rsidRDefault="00E05A5D" w:rsidP="007B46F5">
      <w:pPr>
        <w:pStyle w:val="SDText"/>
        <w:jc w:val="both"/>
        <w:rPr>
          <w:i/>
          <w:iCs/>
          <w:u w:val="single"/>
          <w:lang w:eastAsia="ru-RU" w:bidi="ru-RU"/>
        </w:rPr>
      </w:pPr>
      <w:r w:rsidRPr="009E6200">
        <w:rPr>
          <w:i/>
          <w:iCs/>
          <w:u w:val="single"/>
          <w:lang w:eastAsia="ru-RU" w:bidi="ru-RU"/>
        </w:rPr>
        <w:t>Глиобластома (глиома IV степени злокачес</w:t>
      </w:r>
      <w:r w:rsidR="007B46F5">
        <w:rPr>
          <w:i/>
          <w:iCs/>
          <w:u w:val="single"/>
          <w:lang w:eastAsia="ru-RU" w:bidi="ru-RU"/>
        </w:rPr>
        <w:t>твенности по классификации ВОЗ)</w:t>
      </w:r>
    </w:p>
    <w:p w14:paraId="10BB8A71" w14:textId="77777777" w:rsidR="007B46F5" w:rsidRDefault="007B46F5" w:rsidP="007B46F5">
      <w:pPr>
        <w:pStyle w:val="SDText"/>
        <w:jc w:val="both"/>
        <w:rPr>
          <w:i/>
          <w:iCs/>
          <w:u w:val="single"/>
          <w:lang w:eastAsia="ru-RU" w:bidi="ru-RU"/>
        </w:rPr>
      </w:pPr>
    </w:p>
    <w:p w14:paraId="366CA3C9" w14:textId="101BACA9" w:rsidR="00E05A5D" w:rsidRPr="009E6200" w:rsidRDefault="00E05A5D" w:rsidP="007B46F5">
      <w:pPr>
        <w:pStyle w:val="SDText"/>
        <w:jc w:val="both"/>
        <w:rPr>
          <w:lang w:eastAsia="ru-RU" w:bidi="ru-RU"/>
        </w:rPr>
      </w:pPr>
      <w:r w:rsidRPr="009E6200">
        <w:rPr>
          <w:i/>
          <w:iCs/>
          <w:lang w:eastAsia="ru-RU" w:bidi="ru-RU"/>
        </w:rPr>
        <w:t>При впервые диагностированном заболевании:</w:t>
      </w:r>
      <w:r w:rsidRPr="009E6200">
        <w:rPr>
          <w:lang w:eastAsia="ru-RU" w:bidi="ru-RU"/>
        </w:rPr>
        <w:t xml:space="preserve"> 10 мг/кг один раз в 2 недели в виде внутривенной инфузии в комбинации с лучевой терапией и темозоломидом, в течение 6 недель. После 4-недельного перерыва введение препарата Авастин</w:t>
      </w:r>
      <w:r w:rsidRPr="009E6200">
        <w:rPr>
          <w:vertAlign w:val="superscript"/>
          <w:lang w:eastAsia="ru-RU" w:bidi="ru-RU"/>
        </w:rPr>
        <w:t>®</w:t>
      </w:r>
      <w:r w:rsidRPr="009E6200">
        <w:rPr>
          <w:lang w:eastAsia="ru-RU" w:bidi="ru-RU"/>
        </w:rPr>
        <w:t xml:space="preserve"> возобновляют в дозе 10 мг/кг один раз в 2 недели в комбинации с темозоломидом. Темозоломид назначают 4</w:t>
      </w:r>
      <w:r w:rsidRPr="009E6200">
        <w:rPr>
          <w:lang w:eastAsia="ru-RU" w:bidi="ru-RU"/>
        </w:rPr>
        <w:softHyphen/>
        <w:t>недельными циклами, продолжительность терапии темозоломидом - до 6 циклов. Далее введение препарата Авастин</w:t>
      </w:r>
      <w:r w:rsidRPr="009E6200">
        <w:rPr>
          <w:vertAlign w:val="superscript"/>
          <w:lang w:eastAsia="ru-RU" w:bidi="ru-RU"/>
        </w:rPr>
        <w:t>®</w:t>
      </w:r>
      <w:r w:rsidRPr="009E6200">
        <w:rPr>
          <w:lang w:eastAsia="ru-RU" w:bidi="ru-RU"/>
        </w:rPr>
        <w:t xml:space="preserve"> продолжается в виде монотерапии в дозе 15 мг/кг один раз в 3 недели.</w:t>
      </w:r>
    </w:p>
    <w:p w14:paraId="00D416D6" w14:textId="77777777" w:rsidR="00E05A5D" w:rsidRPr="009E6200" w:rsidRDefault="00E05A5D" w:rsidP="007B46F5">
      <w:pPr>
        <w:pStyle w:val="SDText"/>
        <w:jc w:val="both"/>
        <w:rPr>
          <w:lang w:eastAsia="ru-RU" w:bidi="ru-RU"/>
        </w:rPr>
      </w:pPr>
      <w:r w:rsidRPr="009E6200">
        <w:rPr>
          <w:lang w:eastAsia="ru-RU" w:bidi="ru-RU"/>
        </w:rPr>
        <w:t>При появлении признаков прогрессирования заболевания или неприемлемой токсичности терапию препаратом Авастин</w:t>
      </w:r>
      <w:r w:rsidRPr="009E6200">
        <w:rPr>
          <w:vertAlign w:val="superscript"/>
          <w:lang w:eastAsia="ru-RU" w:bidi="ru-RU"/>
        </w:rPr>
        <w:t>®</w:t>
      </w:r>
      <w:r w:rsidRPr="009E6200">
        <w:rPr>
          <w:lang w:eastAsia="ru-RU" w:bidi="ru-RU"/>
        </w:rPr>
        <w:t xml:space="preserve"> следует прекратить.</w:t>
      </w:r>
    </w:p>
    <w:p w14:paraId="637CC7C9" w14:textId="77777777" w:rsidR="00E05A5D" w:rsidRPr="009E6200" w:rsidRDefault="00E05A5D" w:rsidP="007B46F5">
      <w:pPr>
        <w:pStyle w:val="SDText"/>
        <w:jc w:val="both"/>
        <w:rPr>
          <w:lang w:eastAsia="ru-RU" w:bidi="ru-RU"/>
        </w:rPr>
      </w:pPr>
      <w:r w:rsidRPr="009E6200">
        <w:rPr>
          <w:i/>
          <w:iCs/>
          <w:lang w:eastAsia="ru-RU" w:bidi="ru-RU"/>
        </w:rPr>
        <w:t>При рецидивирующем заболевании:</w:t>
      </w:r>
      <w:r w:rsidRPr="009E6200">
        <w:rPr>
          <w:lang w:eastAsia="ru-RU" w:bidi="ru-RU"/>
        </w:rPr>
        <w:t xml:space="preserve"> 10 мг/кг один раз в 2 недели в виде внутривенной инфузии, длительно.</w:t>
      </w:r>
    </w:p>
    <w:p w14:paraId="45096521" w14:textId="04D719BE" w:rsidR="00E05A5D" w:rsidRDefault="00E05A5D" w:rsidP="007B46F5">
      <w:pPr>
        <w:pStyle w:val="SDText"/>
        <w:jc w:val="both"/>
        <w:rPr>
          <w:lang w:eastAsia="ru-RU" w:bidi="ru-RU"/>
        </w:rPr>
      </w:pPr>
      <w:r w:rsidRPr="009E6200">
        <w:rPr>
          <w:lang w:eastAsia="ru-RU" w:bidi="ru-RU"/>
        </w:rPr>
        <w:t>При появлении признаков прогрессирования заболевания или неприемлемой токсичности терапию препаратом Авастин</w:t>
      </w:r>
      <w:r w:rsidRPr="009E6200">
        <w:rPr>
          <w:vertAlign w:val="superscript"/>
          <w:lang w:eastAsia="ru-RU" w:bidi="ru-RU"/>
        </w:rPr>
        <w:t>®</w:t>
      </w:r>
      <w:r w:rsidRPr="009E6200">
        <w:rPr>
          <w:lang w:eastAsia="ru-RU" w:bidi="ru-RU"/>
        </w:rPr>
        <w:t xml:space="preserve"> следует прекратить.</w:t>
      </w:r>
    </w:p>
    <w:p w14:paraId="4B034818" w14:textId="77777777" w:rsidR="00577BCF" w:rsidRPr="009E6200" w:rsidRDefault="00577BCF" w:rsidP="007B46F5">
      <w:pPr>
        <w:pStyle w:val="SDText"/>
        <w:jc w:val="both"/>
        <w:rPr>
          <w:lang w:eastAsia="ru-RU" w:bidi="ru-RU"/>
        </w:rPr>
      </w:pPr>
    </w:p>
    <w:p w14:paraId="147972A4" w14:textId="31FE5223" w:rsidR="00E05A5D" w:rsidRDefault="00E05A5D" w:rsidP="007B46F5">
      <w:pPr>
        <w:pStyle w:val="SDText"/>
        <w:jc w:val="both"/>
        <w:rPr>
          <w:i/>
          <w:iCs/>
          <w:u w:val="single"/>
          <w:lang w:eastAsia="ru-RU" w:bidi="ru-RU"/>
        </w:rPr>
      </w:pPr>
      <w:r w:rsidRPr="009E6200">
        <w:rPr>
          <w:i/>
          <w:iCs/>
          <w:u w:val="single"/>
          <w:lang w:eastAsia="ru-RU" w:bidi="ru-RU"/>
        </w:rPr>
        <w:t>Эпителиальный рак яичника, маточной трубы- и первичный рак брюшины</w:t>
      </w:r>
    </w:p>
    <w:p w14:paraId="04A1D79E" w14:textId="77777777" w:rsidR="007B46F5" w:rsidRPr="009E6200" w:rsidRDefault="007B46F5" w:rsidP="007B46F5">
      <w:pPr>
        <w:pStyle w:val="SDText"/>
        <w:jc w:val="both"/>
        <w:rPr>
          <w:lang w:eastAsia="ru-RU" w:bidi="ru-RU"/>
        </w:rPr>
      </w:pPr>
    </w:p>
    <w:p w14:paraId="122FB447" w14:textId="77777777" w:rsidR="00E05A5D" w:rsidRPr="009E6200" w:rsidRDefault="00E05A5D" w:rsidP="007B46F5">
      <w:pPr>
        <w:pStyle w:val="SDText"/>
        <w:jc w:val="both"/>
        <w:rPr>
          <w:lang w:eastAsia="ru-RU" w:bidi="ru-RU"/>
        </w:rPr>
      </w:pPr>
      <w:r w:rsidRPr="009E6200">
        <w:rPr>
          <w:i/>
          <w:iCs/>
          <w:lang w:eastAsia="ru-RU" w:bidi="ru-RU"/>
        </w:rPr>
        <w:t>В качестве первой линии терапии:</w:t>
      </w:r>
      <w:r w:rsidRPr="009E6200">
        <w:rPr>
          <w:lang w:eastAsia="ru-RU" w:bidi="ru-RU"/>
        </w:rPr>
        <w:t xml:space="preserve"> 15 мг/кг один раз в 3 недели в виде внутривенной инфузии дополнительно к карбоплатину и паклитакселу (максимальная продолжительность химиотерапии 6 циклов), далее введение препарата Авастин</w:t>
      </w:r>
      <w:r w:rsidRPr="009E6200">
        <w:rPr>
          <w:vertAlign w:val="superscript"/>
          <w:lang w:eastAsia="ru-RU" w:bidi="ru-RU"/>
        </w:rPr>
        <w:t xml:space="preserve">® </w:t>
      </w:r>
      <w:r w:rsidRPr="009E6200">
        <w:rPr>
          <w:lang w:eastAsia="ru-RU" w:bidi="ru-RU"/>
        </w:rPr>
        <w:t>продолжается в виде монотерапии. Общая продолжительность терапии препаратом Авастин</w:t>
      </w:r>
      <w:r w:rsidRPr="009E6200">
        <w:rPr>
          <w:vertAlign w:val="superscript"/>
          <w:lang w:eastAsia="ru-RU" w:bidi="ru-RU"/>
        </w:rPr>
        <w:t>®</w:t>
      </w:r>
      <w:r w:rsidRPr="009E6200">
        <w:rPr>
          <w:lang w:eastAsia="ru-RU" w:bidi="ru-RU"/>
        </w:rPr>
        <w:t xml:space="preserve"> - 15 месяцев. При появлении признаков прогрессирования заболевания или неприемлемой токсичности терапию препаратом Авастин</w:t>
      </w:r>
      <w:r w:rsidRPr="009E6200">
        <w:rPr>
          <w:vertAlign w:val="superscript"/>
          <w:lang w:eastAsia="ru-RU" w:bidi="ru-RU"/>
        </w:rPr>
        <w:t>®</w:t>
      </w:r>
      <w:r w:rsidRPr="009E6200">
        <w:rPr>
          <w:lang w:eastAsia="ru-RU" w:bidi="ru-RU"/>
        </w:rPr>
        <w:t xml:space="preserve"> следует прекратить.</w:t>
      </w:r>
    </w:p>
    <w:p w14:paraId="4B23D232" w14:textId="77777777" w:rsidR="00E05A5D" w:rsidRPr="009E6200" w:rsidRDefault="00E05A5D" w:rsidP="007B46F5">
      <w:pPr>
        <w:pStyle w:val="SDText"/>
        <w:jc w:val="both"/>
        <w:rPr>
          <w:lang w:eastAsia="ru-RU" w:bidi="ru-RU"/>
        </w:rPr>
      </w:pPr>
      <w:r w:rsidRPr="009E6200">
        <w:rPr>
          <w:i/>
          <w:iCs/>
          <w:lang w:eastAsia="ru-RU" w:bidi="ru-RU"/>
        </w:rPr>
        <w:t>При рецидивирующем заболевании:</w:t>
      </w:r>
    </w:p>
    <w:p w14:paraId="3843B02A" w14:textId="77777777" w:rsidR="00E05A5D" w:rsidRPr="009E6200" w:rsidRDefault="00E05A5D" w:rsidP="007B46F5">
      <w:pPr>
        <w:pStyle w:val="SDText"/>
        <w:numPr>
          <w:ilvl w:val="0"/>
          <w:numId w:val="35"/>
        </w:numPr>
        <w:jc w:val="both"/>
        <w:rPr>
          <w:lang w:eastAsia="ru-RU" w:bidi="ru-RU"/>
        </w:rPr>
      </w:pPr>
      <w:r w:rsidRPr="009E6200">
        <w:rPr>
          <w:i/>
          <w:iCs/>
          <w:lang w:eastAsia="ru-RU" w:bidi="ru-RU"/>
        </w:rPr>
        <w:t>чувствительном к препаратам платины:</w:t>
      </w:r>
    </w:p>
    <w:p w14:paraId="17CA1998" w14:textId="77777777" w:rsidR="00E05A5D" w:rsidRPr="009E6200" w:rsidRDefault="00E05A5D" w:rsidP="007B46F5">
      <w:pPr>
        <w:pStyle w:val="SDText"/>
        <w:jc w:val="both"/>
        <w:rPr>
          <w:lang w:eastAsia="ru-RU" w:bidi="ru-RU"/>
        </w:rPr>
      </w:pPr>
      <w:r w:rsidRPr="009E6200">
        <w:rPr>
          <w:lang w:eastAsia="ru-RU" w:bidi="ru-RU"/>
        </w:rPr>
        <w:t>15 мг/кг один раз в 3 недели в виде внутривенной инфузии в комбинации с карбоплатином и паклитакселом (6-8 циклов); далее введение препарата Авастин</w:t>
      </w:r>
      <w:r w:rsidRPr="009E6200">
        <w:rPr>
          <w:vertAlign w:val="superscript"/>
          <w:lang w:eastAsia="ru-RU" w:bidi="ru-RU"/>
        </w:rPr>
        <w:t xml:space="preserve">® </w:t>
      </w:r>
      <w:r w:rsidRPr="009E6200">
        <w:rPr>
          <w:lang w:eastAsia="ru-RU" w:bidi="ru-RU"/>
        </w:rPr>
        <w:t>продолжается в виде монотерапии</w:t>
      </w:r>
    </w:p>
    <w:p w14:paraId="3F44A9FF" w14:textId="77777777" w:rsidR="00E05A5D" w:rsidRPr="009E6200" w:rsidRDefault="00E05A5D" w:rsidP="007B46F5">
      <w:pPr>
        <w:pStyle w:val="SDText"/>
        <w:jc w:val="both"/>
        <w:rPr>
          <w:lang w:eastAsia="ru-RU" w:bidi="ru-RU"/>
        </w:rPr>
      </w:pPr>
      <w:r w:rsidRPr="009E6200">
        <w:rPr>
          <w:lang w:eastAsia="ru-RU" w:bidi="ru-RU"/>
        </w:rPr>
        <w:t>или</w:t>
      </w:r>
    </w:p>
    <w:p w14:paraId="483A63F1" w14:textId="77777777" w:rsidR="00E05A5D" w:rsidRPr="009E6200" w:rsidRDefault="00E05A5D" w:rsidP="007B46F5">
      <w:pPr>
        <w:pStyle w:val="SDText"/>
        <w:jc w:val="both"/>
        <w:rPr>
          <w:lang w:eastAsia="ru-RU" w:bidi="ru-RU"/>
        </w:rPr>
      </w:pPr>
      <w:r w:rsidRPr="009E6200">
        <w:rPr>
          <w:lang w:eastAsia="ru-RU" w:bidi="ru-RU"/>
        </w:rPr>
        <w:t>15 мг/кг один раз в 3 недели в виде внутривенной инфузии в комбинации с карбоплатином и гемцитабином (6-10 циклов), далее введение препарата Авастин</w:t>
      </w:r>
      <w:r w:rsidRPr="009E6200">
        <w:rPr>
          <w:vertAlign w:val="superscript"/>
          <w:lang w:eastAsia="ru-RU" w:bidi="ru-RU"/>
        </w:rPr>
        <w:t xml:space="preserve">® </w:t>
      </w:r>
      <w:r w:rsidRPr="009E6200">
        <w:rPr>
          <w:lang w:eastAsia="ru-RU" w:bidi="ru-RU"/>
        </w:rPr>
        <w:t>продолжается в виде монотерапии.</w:t>
      </w:r>
    </w:p>
    <w:p w14:paraId="0318F942" w14:textId="77777777" w:rsidR="00E05A5D" w:rsidRPr="009E6200" w:rsidRDefault="00E05A5D" w:rsidP="007B46F5">
      <w:pPr>
        <w:pStyle w:val="SDText"/>
        <w:jc w:val="both"/>
        <w:rPr>
          <w:lang w:eastAsia="ru-RU" w:bidi="ru-RU"/>
        </w:rPr>
      </w:pPr>
      <w:r w:rsidRPr="009E6200">
        <w:rPr>
          <w:lang w:eastAsia="ru-RU" w:bidi="ru-RU"/>
        </w:rPr>
        <w:t>При появлении признаков прогрессирования заболевания или неприемлемой токсичности терапию препаратом Авастин</w:t>
      </w:r>
      <w:r w:rsidRPr="009E6200">
        <w:rPr>
          <w:vertAlign w:val="superscript"/>
          <w:lang w:eastAsia="ru-RU" w:bidi="ru-RU"/>
        </w:rPr>
        <w:t>®</w:t>
      </w:r>
      <w:r w:rsidRPr="009E6200">
        <w:rPr>
          <w:lang w:eastAsia="ru-RU" w:bidi="ru-RU"/>
        </w:rPr>
        <w:t xml:space="preserve"> следует прекратить.</w:t>
      </w:r>
    </w:p>
    <w:p w14:paraId="701F113F" w14:textId="77777777" w:rsidR="00E05A5D" w:rsidRPr="009E6200" w:rsidRDefault="00E05A5D" w:rsidP="007B46F5">
      <w:pPr>
        <w:pStyle w:val="SDText"/>
        <w:numPr>
          <w:ilvl w:val="0"/>
          <w:numId w:val="35"/>
        </w:numPr>
        <w:ind w:left="284" w:hanging="284"/>
        <w:jc w:val="both"/>
        <w:rPr>
          <w:lang w:eastAsia="ru-RU" w:bidi="ru-RU"/>
        </w:rPr>
      </w:pPr>
      <w:r w:rsidRPr="009E6200">
        <w:rPr>
          <w:i/>
          <w:iCs/>
          <w:lang w:eastAsia="ru-RU" w:bidi="ru-RU"/>
        </w:rPr>
        <w:t>резистентном к препаратам платины:</w:t>
      </w:r>
    </w:p>
    <w:p w14:paraId="72E58789" w14:textId="77777777" w:rsidR="00E05A5D" w:rsidRPr="009E6200" w:rsidRDefault="00E05A5D" w:rsidP="007B46F5">
      <w:pPr>
        <w:pStyle w:val="SDText"/>
        <w:jc w:val="both"/>
        <w:rPr>
          <w:lang w:eastAsia="ru-RU" w:bidi="ru-RU"/>
        </w:rPr>
      </w:pPr>
      <w:r w:rsidRPr="009E6200">
        <w:rPr>
          <w:lang w:eastAsia="ru-RU" w:bidi="ru-RU"/>
        </w:rPr>
        <w:t>10 мг/кг один раз в 2 недели в виде внутривенной инфузии в комбинации с одним из следующих препаратов: паклитакселом, топотеканом (при «еженедельном» режиме введения топотекана - то есть в 1, 8 и 15-й дни каждые 4 недели) или пегилированным липосомальным доксорубицином</w:t>
      </w:r>
    </w:p>
    <w:p w14:paraId="6A8D8808" w14:textId="77777777" w:rsidR="00E05A5D" w:rsidRPr="009E6200" w:rsidRDefault="00E05A5D" w:rsidP="007B46F5">
      <w:pPr>
        <w:pStyle w:val="SDText"/>
        <w:jc w:val="both"/>
        <w:rPr>
          <w:lang w:eastAsia="ru-RU" w:bidi="ru-RU"/>
        </w:rPr>
      </w:pPr>
      <w:r w:rsidRPr="009E6200">
        <w:rPr>
          <w:lang w:eastAsia="ru-RU" w:bidi="ru-RU"/>
        </w:rPr>
        <w:t>или</w:t>
      </w:r>
    </w:p>
    <w:p w14:paraId="52A87F16" w14:textId="4B06CCF5" w:rsidR="00E05A5D" w:rsidRDefault="00E05A5D" w:rsidP="007B46F5">
      <w:pPr>
        <w:pStyle w:val="SDText"/>
        <w:jc w:val="both"/>
        <w:rPr>
          <w:lang w:eastAsia="ru-RU" w:bidi="ru-RU"/>
        </w:rPr>
      </w:pPr>
      <w:r w:rsidRPr="009E6200">
        <w:rPr>
          <w:lang w:eastAsia="ru-RU" w:bidi="ru-RU"/>
        </w:rPr>
        <w:t>15 мг/кг один раз в 3 недели в виде внутривенной инфузии в комбинации с топотеканом, применяемым ежедневно в течение 5 последовательных дней каждые 3 недели. При появлении признаков прогрессирования заболевания или неприемлемой токсичности терапию препаратом Авастин</w:t>
      </w:r>
      <w:r w:rsidRPr="009E6200">
        <w:rPr>
          <w:vertAlign w:val="superscript"/>
          <w:lang w:eastAsia="ru-RU" w:bidi="ru-RU"/>
        </w:rPr>
        <w:t>®</w:t>
      </w:r>
      <w:r w:rsidRPr="009E6200">
        <w:rPr>
          <w:lang w:eastAsia="ru-RU" w:bidi="ru-RU"/>
        </w:rPr>
        <w:t xml:space="preserve"> следует прекратить.</w:t>
      </w:r>
    </w:p>
    <w:p w14:paraId="5EF1BADA" w14:textId="77777777" w:rsidR="00577BCF" w:rsidRPr="009E6200" w:rsidRDefault="00577BCF" w:rsidP="007B46F5">
      <w:pPr>
        <w:pStyle w:val="SDText"/>
        <w:jc w:val="both"/>
        <w:rPr>
          <w:lang w:eastAsia="ru-RU" w:bidi="ru-RU"/>
        </w:rPr>
      </w:pPr>
    </w:p>
    <w:p w14:paraId="25204337" w14:textId="77777777" w:rsidR="00E05A5D" w:rsidRPr="009E6200" w:rsidRDefault="00E05A5D" w:rsidP="007B46F5">
      <w:pPr>
        <w:pStyle w:val="SDText"/>
        <w:jc w:val="both"/>
        <w:rPr>
          <w:lang w:eastAsia="ru-RU" w:bidi="ru-RU"/>
        </w:rPr>
      </w:pPr>
      <w:r w:rsidRPr="009E6200">
        <w:rPr>
          <w:i/>
          <w:iCs/>
          <w:u w:val="single"/>
          <w:lang w:eastAsia="ru-RU" w:bidi="ru-RU"/>
        </w:rPr>
        <w:t>Персистирующий, рецидивирующий или метастатический рак шейки матки</w:t>
      </w:r>
    </w:p>
    <w:p w14:paraId="61BF4EC0" w14:textId="77777777" w:rsidR="00E05A5D" w:rsidRPr="009E6200" w:rsidRDefault="00E05A5D" w:rsidP="007B46F5">
      <w:pPr>
        <w:pStyle w:val="SDText"/>
        <w:jc w:val="both"/>
        <w:rPr>
          <w:lang w:eastAsia="ru-RU" w:bidi="ru-RU"/>
        </w:rPr>
      </w:pPr>
      <w:r w:rsidRPr="009E6200">
        <w:rPr>
          <w:lang w:eastAsia="ru-RU" w:bidi="ru-RU"/>
        </w:rPr>
        <w:t>15 мг/кг один раз в 3 недели в виде внутривенной инфузии в комбинации с химиотерапевтическими режимами: паклитаксел и цисплатин или паклитаксел и топотекан.</w:t>
      </w:r>
    </w:p>
    <w:p w14:paraId="033CF751" w14:textId="77777777" w:rsidR="00E05A5D" w:rsidRPr="009E6200" w:rsidRDefault="00E05A5D" w:rsidP="007B46F5">
      <w:pPr>
        <w:pStyle w:val="SDText"/>
        <w:jc w:val="both"/>
        <w:rPr>
          <w:lang w:eastAsia="ru-RU" w:bidi="ru-RU"/>
        </w:rPr>
      </w:pPr>
      <w:r w:rsidRPr="009E6200">
        <w:rPr>
          <w:lang w:eastAsia="ru-RU" w:bidi="ru-RU"/>
        </w:rPr>
        <w:t>При появлении признаков прогрессирования заболевания или неприемлемой токсичности терапию препаратом Авастин</w:t>
      </w:r>
      <w:r w:rsidRPr="009E6200">
        <w:rPr>
          <w:vertAlign w:val="superscript"/>
          <w:lang w:eastAsia="ru-RU" w:bidi="ru-RU"/>
        </w:rPr>
        <w:t>®</w:t>
      </w:r>
      <w:r w:rsidRPr="009E6200">
        <w:rPr>
          <w:lang w:eastAsia="ru-RU" w:bidi="ru-RU"/>
        </w:rPr>
        <w:t xml:space="preserve"> следует прекратить.</w:t>
      </w:r>
    </w:p>
    <w:p w14:paraId="73873D2C" w14:textId="77777777" w:rsidR="00577BCF" w:rsidRDefault="00577BCF" w:rsidP="007B46F5">
      <w:pPr>
        <w:pStyle w:val="SDText"/>
        <w:jc w:val="both"/>
        <w:rPr>
          <w:b/>
          <w:bCs/>
          <w:i/>
          <w:iCs/>
          <w:lang w:eastAsia="ru-RU" w:bidi="ru-RU"/>
        </w:rPr>
      </w:pPr>
    </w:p>
    <w:p w14:paraId="54E8908D" w14:textId="231EE6C1" w:rsidR="00E05A5D" w:rsidRPr="009E6200" w:rsidRDefault="00E05A5D" w:rsidP="007B46F5">
      <w:pPr>
        <w:pStyle w:val="SDText"/>
        <w:jc w:val="both"/>
        <w:rPr>
          <w:lang w:eastAsia="ru-RU" w:bidi="ru-RU"/>
        </w:rPr>
      </w:pPr>
      <w:r w:rsidRPr="009E6200">
        <w:rPr>
          <w:b/>
          <w:bCs/>
          <w:i/>
          <w:iCs/>
          <w:lang w:eastAsia="ru-RU" w:bidi="ru-RU"/>
        </w:rPr>
        <w:t>Режим дозирования у особых групп пациентов</w:t>
      </w:r>
    </w:p>
    <w:p w14:paraId="55EDD3F9" w14:textId="77777777" w:rsidR="00577BCF" w:rsidRDefault="00577BCF" w:rsidP="007B46F5">
      <w:pPr>
        <w:pStyle w:val="SDText"/>
        <w:jc w:val="both"/>
        <w:rPr>
          <w:i/>
          <w:iCs/>
          <w:lang w:eastAsia="ru-RU" w:bidi="ru-RU"/>
        </w:rPr>
      </w:pPr>
    </w:p>
    <w:p w14:paraId="78FE5EEB" w14:textId="2DF2C7F5" w:rsidR="00E05A5D" w:rsidRPr="009E6200" w:rsidRDefault="00E05A5D" w:rsidP="007B46F5">
      <w:pPr>
        <w:pStyle w:val="SDText"/>
        <w:jc w:val="both"/>
        <w:rPr>
          <w:lang w:eastAsia="ru-RU" w:bidi="ru-RU"/>
        </w:rPr>
      </w:pPr>
      <w:r w:rsidRPr="009E6200">
        <w:rPr>
          <w:i/>
          <w:iCs/>
          <w:lang w:eastAsia="ru-RU" w:bidi="ru-RU"/>
        </w:rPr>
        <w:t>Дети и подростки</w:t>
      </w:r>
    </w:p>
    <w:p w14:paraId="518C4B37" w14:textId="77777777" w:rsidR="00E05A5D" w:rsidRPr="009E6200" w:rsidRDefault="00E05A5D" w:rsidP="007B46F5">
      <w:pPr>
        <w:pStyle w:val="SDText"/>
        <w:ind w:firstLine="709"/>
        <w:jc w:val="both"/>
        <w:rPr>
          <w:lang w:eastAsia="ru-RU" w:bidi="ru-RU"/>
        </w:rPr>
      </w:pPr>
      <w:r w:rsidRPr="009E6200">
        <w:rPr>
          <w:lang w:eastAsia="ru-RU" w:bidi="ru-RU"/>
        </w:rPr>
        <w:t>Препарат Авастин</w:t>
      </w:r>
      <w:r w:rsidRPr="009E6200">
        <w:rPr>
          <w:vertAlign w:val="superscript"/>
          <w:lang w:eastAsia="ru-RU" w:bidi="ru-RU"/>
        </w:rPr>
        <w:t>®</w:t>
      </w:r>
      <w:r w:rsidRPr="009E6200">
        <w:rPr>
          <w:lang w:eastAsia="ru-RU" w:bidi="ru-RU"/>
        </w:rPr>
        <w:t xml:space="preserve"> противопоказан детям до 18 лет. Безопасность и эффективность препарата Авастин</w:t>
      </w:r>
      <w:r w:rsidRPr="009E6200">
        <w:rPr>
          <w:vertAlign w:val="superscript"/>
          <w:lang w:eastAsia="ru-RU" w:bidi="ru-RU"/>
        </w:rPr>
        <w:t>®</w:t>
      </w:r>
      <w:r w:rsidRPr="009E6200">
        <w:rPr>
          <w:lang w:eastAsia="ru-RU" w:bidi="ru-RU"/>
        </w:rPr>
        <w:t xml:space="preserve"> у пациентов до 18 лет не установлена.</w:t>
      </w:r>
    </w:p>
    <w:p w14:paraId="0E2E61EA" w14:textId="77777777" w:rsidR="00E05A5D" w:rsidRPr="009E6200" w:rsidRDefault="00E05A5D" w:rsidP="007B46F5">
      <w:pPr>
        <w:pStyle w:val="SDText"/>
        <w:ind w:firstLine="709"/>
        <w:jc w:val="both"/>
        <w:rPr>
          <w:lang w:eastAsia="ru-RU" w:bidi="ru-RU"/>
        </w:rPr>
      </w:pPr>
      <w:r w:rsidRPr="009E6200">
        <w:rPr>
          <w:lang w:eastAsia="ru-RU" w:bidi="ru-RU"/>
        </w:rPr>
        <w:t>Добавление препарата Авастин</w:t>
      </w:r>
      <w:r w:rsidRPr="009E6200">
        <w:rPr>
          <w:vertAlign w:val="superscript"/>
          <w:lang w:eastAsia="ru-RU" w:bidi="ru-RU"/>
        </w:rPr>
        <w:t>®</w:t>
      </w:r>
      <w:r w:rsidRPr="009E6200">
        <w:rPr>
          <w:lang w:eastAsia="ru-RU" w:bidi="ru-RU"/>
        </w:rPr>
        <w:t xml:space="preserve"> к стандартной терапии в клинических исследованиях не показало клинической пользы у пациентов детского возраста с глиомой высокой степени злокачественности и у пациентов детского возраста с метастатической рабдомиосаркомой или нерабдомиосаркомной саркомой мягких тканей.</w:t>
      </w:r>
    </w:p>
    <w:p w14:paraId="246EF4D3" w14:textId="60BD82AE" w:rsidR="00E05A5D" w:rsidRDefault="00E05A5D" w:rsidP="007B46F5">
      <w:pPr>
        <w:pStyle w:val="SDText"/>
        <w:jc w:val="both"/>
        <w:rPr>
          <w:lang w:eastAsia="ru-RU" w:bidi="ru-RU"/>
        </w:rPr>
      </w:pPr>
      <w:r w:rsidRPr="009E6200">
        <w:rPr>
          <w:lang w:eastAsia="ru-RU" w:bidi="ru-RU"/>
        </w:rPr>
        <w:t>В публикациях описаны наблюдавшиеся у получавших препарат Авастин</w:t>
      </w:r>
      <w:r w:rsidRPr="009E6200">
        <w:rPr>
          <w:vertAlign w:val="superscript"/>
          <w:lang w:eastAsia="ru-RU" w:bidi="ru-RU"/>
        </w:rPr>
        <w:t>®</w:t>
      </w:r>
      <w:r w:rsidRPr="009E6200">
        <w:rPr>
          <w:lang w:eastAsia="ru-RU" w:bidi="ru-RU"/>
        </w:rPr>
        <w:t xml:space="preserve"> пациентов в возрасте до 18 лет случаи остеонекроза различной локализации кроме остеонекроза челюсти.</w:t>
      </w:r>
    </w:p>
    <w:p w14:paraId="614B2BB2" w14:textId="77777777" w:rsidR="007B46F5" w:rsidRPr="009E6200" w:rsidRDefault="007B46F5" w:rsidP="007B46F5">
      <w:pPr>
        <w:pStyle w:val="SDText"/>
        <w:jc w:val="both"/>
        <w:rPr>
          <w:lang w:eastAsia="ru-RU" w:bidi="ru-RU"/>
        </w:rPr>
      </w:pPr>
    </w:p>
    <w:p w14:paraId="4FB2F993" w14:textId="288D60DD" w:rsidR="00E05A5D" w:rsidRPr="009E6200" w:rsidRDefault="00E05A5D" w:rsidP="007B46F5">
      <w:pPr>
        <w:pStyle w:val="SDText"/>
        <w:jc w:val="both"/>
        <w:rPr>
          <w:lang w:eastAsia="ru-RU" w:bidi="ru-RU"/>
        </w:rPr>
      </w:pPr>
      <w:r w:rsidRPr="009E6200">
        <w:rPr>
          <w:i/>
          <w:iCs/>
          <w:lang w:eastAsia="ru-RU" w:bidi="ru-RU"/>
        </w:rPr>
        <w:t>Пациенты пожилого возраста (старше 65 лет)</w:t>
      </w:r>
    </w:p>
    <w:p w14:paraId="201D5BB7" w14:textId="77777777" w:rsidR="00E05A5D" w:rsidRPr="009E6200" w:rsidRDefault="00E05A5D" w:rsidP="007B46F5">
      <w:pPr>
        <w:pStyle w:val="SDText"/>
        <w:ind w:firstLine="709"/>
        <w:jc w:val="both"/>
        <w:rPr>
          <w:lang w:eastAsia="ru-RU" w:bidi="ru-RU"/>
        </w:rPr>
      </w:pPr>
      <w:r w:rsidRPr="009E6200">
        <w:rPr>
          <w:lang w:eastAsia="ru-RU" w:bidi="ru-RU"/>
        </w:rPr>
        <w:t>Коррекции дозы у пациентов в возрасте старше 65 лет не требуется.</w:t>
      </w:r>
    </w:p>
    <w:p w14:paraId="346FA449" w14:textId="77777777" w:rsidR="007B46F5" w:rsidRDefault="007B46F5" w:rsidP="007B46F5">
      <w:pPr>
        <w:pStyle w:val="SDText"/>
        <w:jc w:val="both"/>
        <w:rPr>
          <w:i/>
          <w:iCs/>
          <w:lang w:eastAsia="ru-RU" w:bidi="ru-RU"/>
        </w:rPr>
      </w:pPr>
    </w:p>
    <w:p w14:paraId="215430C2" w14:textId="1EBF8575" w:rsidR="00E05A5D" w:rsidRPr="009E6200" w:rsidRDefault="00E05A5D" w:rsidP="007B46F5">
      <w:pPr>
        <w:pStyle w:val="SDText"/>
        <w:jc w:val="both"/>
        <w:rPr>
          <w:lang w:eastAsia="ru-RU" w:bidi="ru-RU"/>
        </w:rPr>
      </w:pPr>
      <w:r w:rsidRPr="009E6200">
        <w:rPr>
          <w:i/>
          <w:iCs/>
          <w:lang w:eastAsia="ru-RU" w:bidi="ru-RU"/>
        </w:rPr>
        <w:t>Пациенты с почечной недостаточностью</w:t>
      </w:r>
    </w:p>
    <w:p w14:paraId="35DF3B93" w14:textId="77777777" w:rsidR="00E05A5D" w:rsidRPr="009E6200" w:rsidRDefault="00E05A5D" w:rsidP="007B46F5">
      <w:pPr>
        <w:pStyle w:val="SDText"/>
        <w:ind w:firstLine="709"/>
        <w:jc w:val="both"/>
        <w:rPr>
          <w:lang w:eastAsia="ru-RU" w:bidi="ru-RU"/>
        </w:rPr>
      </w:pPr>
      <w:r w:rsidRPr="009E6200">
        <w:rPr>
          <w:lang w:eastAsia="ru-RU" w:bidi="ru-RU"/>
        </w:rPr>
        <w:t>Безопасность и эффективность бевацизумаба у пациентов с почечной недостаточностью не изучалась.</w:t>
      </w:r>
    </w:p>
    <w:p w14:paraId="2CC16990" w14:textId="77777777" w:rsidR="007B46F5" w:rsidRDefault="007B46F5" w:rsidP="007B46F5">
      <w:pPr>
        <w:pStyle w:val="SDText"/>
        <w:ind w:firstLine="709"/>
        <w:jc w:val="both"/>
        <w:rPr>
          <w:i/>
          <w:iCs/>
          <w:lang w:eastAsia="ru-RU" w:bidi="ru-RU"/>
        </w:rPr>
      </w:pPr>
    </w:p>
    <w:p w14:paraId="4FFD399D" w14:textId="6EA78C61" w:rsidR="00E05A5D" w:rsidRPr="009E6200" w:rsidRDefault="00E05A5D" w:rsidP="007B46F5">
      <w:pPr>
        <w:pStyle w:val="SDText"/>
        <w:ind w:firstLine="709"/>
        <w:jc w:val="both"/>
        <w:rPr>
          <w:lang w:eastAsia="ru-RU" w:bidi="ru-RU"/>
        </w:rPr>
      </w:pPr>
      <w:r w:rsidRPr="009E6200">
        <w:rPr>
          <w:i/>
          <w:iCs/>
          <w:lang w:eastAsia="ru-RU" w:bidi="ru-RU"/>
        </w:rPr>
        <w:t>Пациенты с печеночной недостаточностью</w:t>
      </w:r>
    </w:p>
    <w:p w14:paraId="40981341" w14:textId="77777777" w:rsidR="00E05A5D" w:rsidRPr="009E6200" w:rsidRDefault="00E05A5D" w:rsidP="007B46F5">
      <w:pPr>
        <w:pStyle w:val="SDText"/>
        <w:jc w:val="both"/>
        <w:rPr>
          <w:lang w:eastAsia="ru-RU" w:bidi="ru-RU"/>
        </w:rPr>
      </w:pPr>
      <w:r w:rsidRPr="009E6200">
        <w:rPr>
          <w:lang w:eastAsia="ru-RU" w:bidi="ru-RU"/>
        </w:rPr>
        <w:t>Безопасность и эффективность бевацизумаба у пациентов с печеночной недостаточностью не изучалась.</w:t>
      </w:r>
    </w:p>
    <w:p w14:paraId="5ED3A82E" w14:textId="77777777" w:rsidR="00577BCF" w:rsidRDefault="00577BCF" w:rsidP="007B46F5">
      <w:pPr>
        <w:pStyle w:val="SDText"/>
        <w:jc w:val="both"/>
        <w:rPr>
          <w:b/>
          <w:bCs/>
          <w:i/>
          <w:iCs/>
          <w:lang w:eastAsia="ru-RU" w:bidi="ru-RU"/>
        </w:rPr>
      </w:pPr>
    </w:p>
    <w:p w14:paraId="25276893" w14:textId="5F9128B6" w:rsidR="00E05A5D" w:rsidRPr="009E6200" w:rsidRDefault="00E05A5D" w:rsidP="007B46F5">
      <w:pPr>
        <w:pStyle w:val="SDText"/>
        <w:jc w:val="both"/>
        <w:rPr>
          <w:lang w:eastAsia="ru-RU" w:bidi="ru-RU"/>
        </w:rPr>
      </w:pPr>
      <w:r w:rsidRPr="009E6200">
        <w:rPr>
          <w:b/>
          <w:bCs/>
          <w:i/>
          <w:iCs/>
          <w:lang w:eastAsia="ru-RU" w:bidi="ru-RU"/>
        </w:rPr>
        <w:t>Инструкции по применению, обращению и уничтожению</w:t>
      </w:r>
    </w:p>
    <w:p w14:paraId="1F982C82" w14:textId="77777777" w:rsidR="00577BCF" w:rsidRDefault="00577BCF" w:rsidP="007B46F5">
      <w:pPr>
        <w:pStyle w:val="SDText"/>
        <w:jc w:val="both"/>
        <w:rPr>
          <w:lang w:eastAsia="ru-RU" w:bidi="ru-RU"/>
        </w:rPr>
      </w:pPr>
    </w:p>
    <w:p w14:paraId="73E39F93" w14:textId="6C1292D7" w:rsidR="00E05A5D" w:rsidRPr="009E6200" w:rsidRDefault="00E05A5D" w:rsidP="007B46F5">
      <w:pPr>
        <w:pStyle w:val="SDText"/>
        <w:ind w:firstLine="709"/>
        <w:jc w:val="both"/>
        <w:rPr>
          <w:lang w:eastAsia="ru-RU" w:bidi="ru-RU"/>
        </w:rPr>
      </w:pPr>
      <w:r w:rsidRPr="009E6200">
        <w:rPr>
          <w:lang w:eastAsia="ru-RU" w:bidi="ru-RU"/>
        </w:rPr>
        <w:t>Перед применением раствор необходимо осмотреть на предмет механических включений и изменения цвета.</w:t>
      </w:r>
    </w:p>
    <w:p w14:paraId="7E6DB1E0" w14:textId="77777777" w:rsidR="00E05A5D" w:rsidRPr="009E6200" w:rsidRDefault="00E05A5D" w:rsidP="007B46F5">
      <w:pPr>
        <w:pStyle w:val="SDText"/>
        <w:ind w:firstLine="709"/>
        <w:jc w:val="both"/>
        <w:rPr>
          <w:lang w:eastAsia="ru-RU" w:bidi="ru-RU"/>
        </w:rPr>
      </w:pPr>
      <w:r w:rsidRPr="009E6200">
        <w:rPr>
          <w:lang w:eastAsia="ru-RU" w:bidi="ru-RU"/>
        </w:rPr>
        <w:t>Препарат Авастин</w:t>
      </w:r>
      <w:r w:rsidRPr="009E6200">
        <w:rPr>
          <w:vertAlign w:val="superscript"/>
          <w:lang w:eastAsia="ru-RU" w:bidi="ru-RU"/>
        </w:rPr>
        <w:t>®</w:t>
      </w:r>
      <w:r w:rsidRPr="009E6200">
        <w:rPr>
          <w:lang w:eastAsia="ru-RU" w:bidi="ru-RU"/>
        </w:rPr>
        <w:t xml:space="preserve"> не содержит противомикробного консерванта, поэтому необходимо обеспечивать стерильность приготовленного раствора и использовать его немедленно. Если препарат не используется сразу, то время и условия хранения приготовленного раствора являются ответственностью пользователя. Хранить приготовленный раствор можно не более 24 часов при температуре от +2°С до +8°С, если разведение проводят в контролируемых и валидированных асептических условиях. Химическая и физическая стабильность приготовленного раствора сохраняются в течение 48 часов при температуре от +2°С до +30°С в 0.9% растворе натрия хлорида. Неиспользованный препарат, оставшийся во флаконе, уничтожают, так как он не содержит консервантов.</w:t>
      </w:r>
    </w:p>
    <w:p w14:paraId="48C9EF6C" w14:textId="77777777" w:rsidR="00577BCF" w:rsidRDefault="00577BCF" w:rsidP="007B46F5">
      <w:pPr>
        <w:pStyle w:val="SDText"/>
        <w:jc w:val="both"/>
        <w:rPr>
          <w:b/>
          <w:bCs/>
          <w:lang w:eastAsia="ru-RU" w:bidi="ru-RU"/>
        </w:rPr>
      </w:pPr>
      <w:bookmarkStart w:id="74" w:name="bookmark22"/>
      <w:bookmarkStart w:id="75" w:name="bookmark23"/>
    </w:p>
    <w:p w14:paraId="514DD8BB" w14:textId="6E262798" w:rsidR="00E05A5D" w:rsidRPr="009E6200" w:rsidRDefault="00E05A5D" w:rsidP="007B46F5">
      <w:pPr>
        <w:pStyle w:val="SDText"/>
        <w:jc w:val="both"/>
        <w:rPr>
          <w:b/>
          <w:bCs/>
          <w:lang w:eastAsia="ru-RU" w:bidi="ru-RU"/>
        </w:rPr>
      </w:pPr>
      <w:r w:rsidRPr="009E6200">
        <w:rPr>
          <w:b/>
          <w:bCs/>
          <w:lang w:eastAsia="ru-RU" w:bidi="ru-RU"/>
        </w:rPr>
        <w:t>Побочное действие</w:t>
      </w:r>
      <w:bookmarkEnd w:id="74"/>
      <w:bookmarkEnd w:id="75"/>
    </w:p>
    <w:p w14:paraId="2EDC9C9C" w14:textId="77777777" w:rsidR="00577BCF" w:rsidRDefault="00577BCF" w:rsidP="007B46F5">
      <w:pPr>
        <w:pStyle w:val="SDText"/>
        <w:jc w:val="both"/>
        <w:rPr>
          <w:lang w:eastAsia="ru-RU" w:bidi="ru-RU"/>
        </w:rPr>
      </w:pPr>
    </w:p>
    <w:p w14:paraId="32806F9A" w14:textId="3AC83D18" w:rsidR="00E05A5D" w:rsidRPr="009E6200" w:rsidRDefault="00E05A5D" w:rsidP="007B46F5">
      <w:pPr>
        <w:pStyle w:val="SDText"/>
        <w:ind w:firstLine="709"/>
        <w:jc w:val="both"/>
        <w:rPr>
          <w:lang w:eastAsia="ru-RU" w:bidi="ru-RU"/>
        </w:rPr>
      </w:pPr>
      <w:r w:rsidRPr="009E6200">
        <w:rPr>
          <w:lang w:eastAsia="ru-RU" w:bidi="ru-RU"/>
        </w:rPr>
        <w:t>Наиболее серьезные побочные действия: перфорации желудочно-кишечного тракта, кровоизлияния, включая легочные кровотечения/кровохарканье (чаще встречаются у пациентов с немелкоклеточным раком легкого), артериальная тромбоэмболия.</w:t>
      </w:r>
    </w:p>
    <w:p w14:paraId="04462F7B" w14:textId="77777777" w:rsidR="00E05A5D" w:rsidRPr="009E6200" w:rsidRDefault="00E05A5D" w:rsidP="007B46F5">
      <w:pPr>
        <w:pStyle w:val="SDText"/>
        <w:jc w:val="both"/>
        <w:rPr>
          <w:lang w:eastAsia="ru-RU" w:bidi="ru-RU"/>
        </w:rPr>
      </w:pPr>
      <w:r w:rsidRPr="009E6200">
        <w:rPr>
          <w:lang w:eastAsia="ru-RU" w:bidi="ru-RU"/>
        </w:rPr>
        <w:t>У пациентов, получавших препарат Авастин</w:t>
      </w:r>
      <w:r w:rsidRPr="009E6200">
        <w:rPr>
          <w:vertAlign w:val="superscript"/>
          <w:lang w:eastAsia="ru-RU" w:bidi="ru-RU"/>
        </w:rPr>
        <w:t>®</w:t>
      </w:r>
      <w:r w:rsidRPr="009E6200">
        <w:rPr>
          <w:lang w:eastAsia="ru-RU" w:bidi="ru-RU"/>
        </w:rPr>
        <w:t>, наиболее часто наблюдались: повышение артериального давления, повышенная утомляемость или астения, диарея и боль в животе. Повышение артериального давления и развитие протеинурии, вероятно, имеет дозозависимый характер.</w:t>
      </w:r>
    </w:p>
    <w:p w14:paraId="13982E92" w14:textId="2EF3733C" w:rsidR="00E05A5D" w:rsidRPr="009E6200" w:rsidRDefault="00E05A5D" w:rsidP="007B46F5">
      <w:pPr>
        <w:pStyle w:val="SDText"/>
        <w:ind w:firstLine="709"/>
        <w:jc w:val="both"/>
        <w:rPr>
          <w:lang w:eastAsia="ru-RU" w:bidi="ru-RU"/>
        </w:rPr>
      </w:pPr>
      <w:r w:rsidRPr="009E6200">
        <w:rPr>
          <w:lang w:eastAsia="ru-RU" w:bidi="ru-RU"/>
        </w:rPr>
        <w:t xml:space="preserve">Ниже представлены побочные реакции всех степеней тяжести по классификации </w:t>
      </w:r>
      <w:r w:rsidRPr="009E6200">
        <w:rPr>
          <w:i/>
          <w:iCs/>
          <w:lang w:eastAsia="ru-RU" w:bidi="ru-RU"/>
        </w:rPr>
        <w:t xml:space="preserve">Национального института рака </w:t>
      </w:r>
      <w:r w:rsidRPr="009E6200">
        <w:rPr>
          <w:i/>
          <w:iCs/>
          <w:lang w:eastAsia="ru-RU" w:bidi="en-US"/>
        </w:rPr>
        <w:t>(NCI-CTC)</w:t>
      </w:r>
      <w:r w:rsidRPr="009E6200">
        <w:rPr>
          <w:lang w:eastAsia="ru-RU" w:bidi="en-US"/>
        </w:rPr>
        <w:t xml:space="preserve">, </w:t>
      </w:r>
      <w:r w:rsidRPr="009E6200">
        <w:rPr>
          <w:lang w:eastAsia="ru-RU" w:bidi="ru-RU"/>
        </w:rPr>
        <w:t>встречавшиеся у пациентов, получавших препарат Авастин</w:t>
      </w:r>
      <w:r w:rsidRPr="009E6200">
        <w:rPr>
          <w:vertAlign w:val="superscript"/>
          <w:lang w:eastAsia="ru-RU" w:bidi="ru-RU"/>
        </w:rPr>
        <w:t>®</w:t>
      </w:r>
      <w:r w:rsidRPr="009E6200">
        <w:rPr>
          <w:lang w:eastAsia="ru-RU" w:bidi="ru-RU"/>
        </w:rPr>
        <w:t xml:space="preserve"> в комбинации с различными химиотерапевтическими режимами по всем показаниям</w:t>
      </w:r>
      <w:r w:rsidRPr="009E6200">
        <w:rPr>
          <w:b/>
          <w:bCs/>
          <w:lang w:eastAsia="ru-RU" w:bidi="ru-RU"/>
        </w:rPr>
        <w:t xml:space="preserve">. </w:t>
      </w:r>
      <w:r w:rsidRPr="009E6200">
        <w:rPr>
          <w:lang w:eastAsia="ru-RU" w:bidi="ru-RU"/>
        </w:rPr>
        <w:t>Для описания частоты побочных реакций используются следующие категории: очень часто (&gt;10%), часто (&gt;1% - &lt;10%), нечасто (&gt; 0</w:t>
      </w:r>
      <w:r w:rsidR="001D23B0">
        <w:rPr>
          <w:lang w:eastAsia="ru-RU" w:bidi="ru-RU"/>
        </w:rPr>
        <w:t>,</w:t>
      </w:r>
      <w:r w:rsidRPr="009E6200">
        <w:rPr>
          <w:lang w:eastAsia="ru-RU" w:bidi="ru-RU"/>
        </w:rPr>
        <w:t>1% - &lt;1%), редко (&gt; 0</w:t>
      </w:r>
      <w:r w:rsidR="001D23B0">
        <w:rPr>
          <w:lang w:eastAsia="ru-RU" w:bidi="ru-RU"/>
        </w:rPr>
        <w:t>,</w:t>
      </w:r>
      <w:r w:rsidRPr="009E6200">
        <w:rPr>
          <w:lang w:eastAsia="ru-RU" w:bidi="ru-RU"/>
        </w:rPr>
        <w:t>01% - &lt;0</w:t>
      </w:r>
      <w:r w:rsidR="001D23B0">
        <w:rPr>
          <w:lang w:eastAsia="ru-RU" w:bidi="ru-RU"/>
        </w:rPr>
        <w:t>,</w:t>
      </w:r>
      <w:r w:rsidRPr="009E6200">
        <w:rPr>
          <w:lang w:eastAsia="ru-RU" w:bidi="ru-RU"/>
        </w:rPr>
        <w:t>1%) и очень редко (&lt;0</w:t>
      </w:r>
      <w:r w:rsidR="001D23B0">
        <w:rPr>
          <w:lang w:eastAsia="ru-RU" w:bidi="ru-RU"/>
        </w:rPr>
        <w:t>,</w:t>
      </w:r>
      <w:r w:rsidRPr="009E6200">
        <w:rPr>
          <w:lang w:eastAsia="ru-RU" w:bidi="ru-RU"/>
        </w:rPr>
        <w:t>01%).</w:t>
      </w:r>
    </w:p>
    <w:p w14:paraId="503F42F2" w14:textId="77777777" w:rsidR="00E05A5D" w:rsidRPr="009E6200" w:rsidRDefault="00E05A5D" w:rsidP="007B46F5">
      <w:pPr>
        <w:pStyle w:val="SDText"/>
        <w:ind w:firstLine="709"/>
        <w:jc w:val="both"/>
        <w:rPr>
          <w:lang w:eastAsia="ru-RU" w:bidi="ru-RU"/>
        </w:rPr>
      </w:pPr>
      <w:r w:rsidRPr="009E6200">
        <w:rPr>
          <w:lang w:eastAsia="ru-RU" w:bidi="ru-RU"/>
        </w:rPr>
        <w:t>Нежелательные реакции отнесены к определенной категории в соответствии с наибольшей частотой возникновения. В рамках одной категории частоты нежелательные реакции представлены в порядке снижения серьезности. Некоторые из перечисленных нежелательных реакций часто наблюдаются при химиотерапии, однако Авастин</w:t>
      </w:r>
      <w:r w:rsidRPr="009E6200">
        <w:rPr>
          <w:vertAlign w:val="superscript"/>
          <w:lang w:eastAsia="ru-RU" w:bidi="ru-RU"/>
        </w:rPr>
        <w:t>®</w:t>
      </w:r>
      <w:r w:rsidRPr="009E6200">
        <w:rPr>
          <w:lang w:eastAsia="ru-RU" w:bidi="ru-RU"/>
        </w:rPr>
        <w:t xml:space="preserve"> в комбинации с химиотерапевтическими препаратами может усиливать проявления этих реакций. Примеры включают ладонно-подошвенный синдром при терапии капецитабином или пегилированным липосомальным доксорубицином, периферическую сенсорную нейропатию при терапии паклитакселом или оксалиплатином, поражение ногтей или алопецию при терапии паклитакселом, паронихию при терапии эрлотинибом. </w:t>
      </w:r>
      <w:r w:rsidRPr="009E6200">
        <w:rPr>
          <w:i/>
          <w:iCs/>
          <w:lang w:eastAsia="ru-RU" w:bidi="ru-RU"/>
        </w:rPr>
        <w:t>Со стороны системы кроветворения:</w:t>
      </w:r>
      <w:r w:rsidRPr="009E6200">
        <w:rPr>
          <w:lang w:eastAsia="ru-RU" w:bidi="ru-RU"/>
        </w:rPr>
        <w:t xml:space="preserve"> очень часто - фебрильная нейтропения, лейкопения, нейтропения, тромбоцитопения; часто - анемия, лимфоцитопения. </w:t>
      </w:r>
      <w:r w:rsidRPr="009E6200">
        <w:rPr>
          <w:i/>
          <w:iCs/>
          <w:lang w:eastAsia="ru-RU" w:bidi="ru-RU"/>
        </w:rPr>
        <w:t>Со стороны нервной системы:</w:t>
      </w:r>
      <w:r w:rsidRPr="009E6200">
        <w:rPr>
          <w:lang w:eastAsia="ru-RU" w:bidi="ru-RU"/>
        </w:rPr>
        <w:t xml:space="preserve"> очень часто - периферическая сенсорная нейропатия, дисгевзия, головная боль, дизартрия; часто </w:t>
      </w:r>
      <w:r w:rsidRPr="009E6200">
        <w:rPr>
          <w:i/>
          <w:iCs/>
          <w:lang w:eastAsia="ru-RU" w:bidi="ru-RU"/>
        </w:rPr>
        <w:t>-</w:t>
      </w:r>
      <w:r w:rsidRPr="009E6200">
        <w:rPr>
          <w:lang w:eastAsia="ru-RU" w:bidi="ru-RU"/>
        </w:rPr>
        <w:t xml:space="preserve"> инсульт, синкопе, сонливость.</w:t>
      </w:r>
    </w:p>
    <w:p w14:paraId="25F828B0" w14:textId="77777777" w:rsidR="00E05A5D" w:rsidRPr="009E6200" w:rsidRDefault="00E05A5D" w:rsidP="007B46F5">
      <w:pPr>
        <w:pStyle w:val="SDText"/>
        <w:jc w:val="both"/>
        <w:rPr>
          <w:lang w:eastAsia="ru-RU" w:bidi="ru-RU"/>
        </w:rPr>
      </w:pPr>
      <w:r w:rsidRPr="009E6200">
        <w:rPr>
          <w:i/>
          <w:iCs/>
          <w:lang w:eastAsia="ru-RU" w:bidi="ru-RU"/>
        </w:rPr>
        <w:t>Со стороны органа зрения:</w:t>
      </w:r>
      <w:r w:rsidRPr="009E6200">
        <w:rPr>
          <w:lang w:eastAsia="ru-RU" w:bidi="ru-RU"/>
        </w:rPr>
        <w:t xml:space="preserve"> очень часто </w:t>
      </w:r>
      <w:r w:rsidRPr="009E6200">
        <w:rPr>
          <w:i/>
          <w:iCs/>
          <w:lang w:eastAsia="ru-RU" w:bidi="ru-RU"/>
        </w:rPr>
        <w:t>-</w:t>
      </w:r>
      <w:r w:rsidRPr="009E6200">
        <w:rPr>
          <w:lang w:eastAsia="ru-RU" w:bidi="ru-RU"/>
        </w:rPr>
        <w:t xml:space="preserve"> нарушение зрения, повышенное слезотечение. </w:t>
      </w:r>
      <w:r w:rsidRPr="009E6200">
        <w:rPr>
          <w:i/>
          <w:iCs/>
          <w:lang w:eastAsia="ru-RU" w:bidi="ru-RU"/>
        </w:rPr>
        <w:t>Со стороны сердечно-сосудистой системы:</w:t>
      </w:r>
      <w:r w:rsidRPr="009E6200">
        <w:rPr>
          <w:lang w:eastAsia="ru-RU" w:bidi="ru-RU"/>
        </w:rPr>
        <w:t xml:space="preserve"> очень часто - повышение артериального давления; часто - хроническая сердечная недостаточность, суправентрикулярная тахикардия, артериальная тромбоэмболия, тромбоз глубоких вен, кровотечение, в том числе легочное, внутричерепное, со стороны слизистой оболочки и кожи, ЖКТ и из опухоли.</w:t>
      </w:r>
    </w:p>
    <w:p w14:paraId="3C3DBB8F" w14:textId="77777777" w:rsidR="00E05A5D" w:rsidRPr="009E6200" w:rsidRDefault="00E05A5D" w:rsidP="007B46F5">
      <w:pPr>
        <w:pStyle w:val="SDText"/>
        <w:jc w:val="both"/>
        <w:rPr>
          <w:lang w:eastAsia="ru-RU" w:bidi="ru-RU"/>
        </w:rPr>
      </w:pPr>
      <w:r w:rsidRPr="009E6200">
        <w:rPr>
          <w:i/>
          <w:iCs/>
          <w:lang w:eastAsia="ru-RU" w:bidi="ru-RU"/>
        </w:rPr>
        <w:t>Со стороны органов Дыхания:</w:t>
      </w:r>
      <w:r w:rsidRPr="009E6200">
        <w:rPr>
          <w:lang w:eastAsia="ru-RU" w:bidi="ru-RU"/>
        </w:rPr>
        <w:t xml:space="preserve"> очень часто - одышка, носовое кровотечение, ринит, кашель; часто - тромбоэмболия легочной артерии (ТЭЛА), гипоксия.</w:t>
      </w:r>
    </w:p>
    <w:p w14:paraId="27512BB3" w14:textId="77777777" w:rsidR="00E05A5D" w:rsidRPr="009E6200" w:rsidRDefault="00E05A5D" w:rsidP="007B46F5">
      <w:pPr>
        <w:pStyle w:val="SDText"/>
        <w:jc w:val="both"/>
        <w:rPr>
          <w:lang w:eastAsia="ru-RU" w:bidi="ru-RU"/>
        </w:rPr>
      </w:pPr>
      <w:r w:rsidRPr="009E6200">
        <w:rPr>
          <w:i/>
          <w:iCs/>
          <w:lang w:eastAsia="ru-RU" w:bidi="ru-RU"/>
        </w:rPr>
        <w:t>Со стороны желудочно-кишечного тракта:</w:t>
      </w:r>
      <w:r w:rsidRPr="009E6200">
        <w:rPr>
          <w:lang w:eastAsia="ru-RU" w:bidi="ru-RU"/>
        </w:rPr>
        <w:t xml:space="preserve"> очень часто - анорексия, диарея, тошнота, рвота, боль в животе, запор, стоматит, ректальное кровотечение; часто - перфорация желудочно-кишечного тракта, непроходимость кишечника, в том числе обтурационная, свищи между влагалищем и прямой кишкой (наиболее часто встречающийся вариант свищей между влагалищем и ЖКТ), гастроинтестинальные расстройства, боль в прямой кишке.</w:t>
      </w:r>
    </w:p>
    <w:p w14:paraId="70064831" w14:textId="77777777" w:rsidR="00E05A5D" w:rsidRPr="009E6200" w:rsidRDefault="00E05A5D" w:rsidP="007B46F5">
      <w:pPr>
        <w:pStyle w:val="SDText"/>
        <w:jc w:val="both"/>
        <w:rPr>
          <w:lang w:eastAsia="ru-RU" w:bidi="ru-RU"/>
        </w:rPr>
      </w:pPr>
      <w:r w:rsidRPr="009E6200">
        <w:rPr>
          <w:i/>
          <w:iCs/>
          <w:lang w:eastAsia="ru-RU" w:bidi="ru-RU"/>
        </w:rPr>
        <w:t>Со стороны репродуктивной системы:</w:t>
      </w:r>
      <w:r w:rsidRPr="009E6200">
        <w:rPr>
          <w:lang w:eastAsia="ru-RU" w:bidi="ru-RU"/>
        </w:rPr>
        <w:t xml:space="preserve"> очень часто - недостаточность функции яичников (аменорея продолжительностью 3 мес. и более (концентрация фолликулостимулирующего гормона (ФСГ) &gt;30 мМЕ/мл при отрицательном тесте на беременность </w:t>
      </w:r>
      <w:r w:rsidRPr="009E6200">
        <w:rPr>
          <w:lang w:eastAsia="ru-RU" w:bidi="en-US"/>
        </w:rPr>
        <w:t xml:space="preserve">c </w:t>
      </w:r>
      <w:r w:rsidRPr="009E6200">
        <w:rPr>
          <w:lang w:eastAsia="ru-RU" w:bidi="ru-RU"/>
        </w:rPr>
        <w:t>определением бета хорионического гонадотропина человека ф-ХГЧ) в сыворотке)); часто - боль в малом тазу.</w:t>
      </w:r>
    </w:p>
    <w:p w14:paraId="3C0C7BA8" w14:textId="77777777" w:rsidR="00E05A5D" w:rsidRPr="009E6200" w:rsidRDefault="00E05A5D" w:rsidP="007B46F5">
      <w:pPr>
        <w:pStyle w:val="SDText"/>
        <w:jc w:val="both"/>
        <w:rPr>
          <w:lang w:eastAsia="ru-RU" w:bidi="ru-RU"/>
        </w:rPr>
      </w:pPr>
      <w:r w:rsidRPr="009E6200">
        <w:rPr>
          <w:i/>
          <w:iCs/>
          <w:lang w:eastAsia="ru-RU" w:bidi="ru-RU"/>
        </w:rPr>
        <w:t>Со стороны кожи и подкожно-жировой клетчатки:</w:t>
      </w:r>
      <w:r w:rsidRPr="009E6200">
        <w:rPr>
          <w:lang w:eastAsia="ru-RU" w:bidi="ru-RU"/>
        </w:rPr>
        <w:t xml:space="preserve"> очень часто - эксфолиативный дерматит, сухость кожи, изменение цвета кожи; часто - ладонно-подошвенный синдром.</w:t>
      </w:r>
    </w:p>
    <w:p w14:paraId="45F0BF9C" w14:textId="77777777" w:rsidR="00E05A5D" w:rsidRPr="009E6200" w:rsidRDefault="00E05A5D" w:rsidP="007B46F5">
      <w:pPr>
        <w:pStyle w:val="SDText"/>
        <w:jc w:val="both"/>
        <w:rPr>
          <w:lang w:eastAsia="ru-RU" w:bidi="ru-RU"/>
        </w:rPr>
      </w:pPr>
      <w:r w:rsidRPr="009E6200">
        <w:rPr>
          <w:i/>
          <w:iCs/>
          <w:lang w:eastAsia="ru-RU" w:bidi="ru-RU"/>
        </w:rPr>
        <w:t>Со стороны костно-мышечной системы:</w:t>
      </w:r>
      <w:r w:rsidRPr="009E6200">
        <w:rPr>
          <w:lang w:eastAsia="ru-RU" w:bidi="ru-RU"/>
        </w:rPr>
        <w:t xml:space="preserve"> очень часто - артралгия; часто - мышечная слабость, миалгия, боль в спине.</w:t>
      </w:r>
    </w:p>
    <w:p w14:paraId="3FF3ACDF" w14:textId="77777777" w:rsidR="00E05A5D" w:rsidRPr="009E6200" w:rsidRDefault="00E05A5D" w:rsidP="007B46F5">
      <w:pPr>
        <w:pStyle w:val="SDText"/>
        <w:jc w:val="both"/>
        <w:rPr>
          <w:lang w:eastAsia="ru-RU" w:bidi="ru-RU"/>
        </w:rPr>
      </w:pPr>
      <w:r w:rsidRPr="009E6200">
        <w:rPr>
          <w:i/>
          <w:iCs/>
          <w:lang w:eastAsia="ru-RU" w:bidi="ru-RU"/>
        </w:rPr>
        <w:t>Со стороны мочевыделительной системы:</w:t>
      </w:r>
      <w:r w:rsidRPr="009E6200">
        <w:rPr>
          <w:lang w:eastAsia="ru-RU" w:bidi="ru-RU"/>
        </w:rPr>
        <w:t xml:space="preserve"> очень часто - протеинурия; часто - инфекция мочевыводящих путей.</w:t>
      </w:r>
    </w:p>
    <w:p w14:paraId="023BC1C1" w14:textId="77777777" w:rsidR="00E05A5D" w:rsidRPr="009E6200" w:rsidRDefault="00E05A5D" w:rsidP="007B46F5">
      <w:pPr>
        <w:pStyle w:val="SDText"/>
        <w:jc w:val="both"/>
        <w:rPr>
          <w:lang w:eastAsia="ru-RU" w:bidi="ru-RU"/>
        </w:rPr>
      </w:pPr>
      <w:r w:rsidRPr="009E6200">
        <w:rPr>
          <w:i/>
          <w:iCs/>
          <w:lang w:eastAsia="ru-RU" w:bidi="ru-RU"/>
        </w:rPr>
        <w:t>Местные реакции:</w:t>
      </w:r>
      <w:r w:rsidRPr="009E6200">
        <w:rPr>
          <w:lang w:eastAsia="ru-RU" w:bidi="ru-RU"/>
        </w:rPr>
        <w:t xml:space="preserve"> очень часто - боли, в том числе в месте введения препарата.</w:t>
      </w:r>
    </w:p>
    <w:p w14:paraId="4984BB51" w14:textId="77777777" w:rsidR="00E05A5D" w:rsidRPr="009E6200" w:rsidRDefault="00E05A5D" w:rsidP="007B46F5">
      <w:pPr>
        <w:pStyle w:val="SDText"/>
        <w:jc w:val="both"/>
        <w:rPr>
          <w:lang w:eastAsia="ru-RU" w:bidi="ru-RU"/>
        </w:rPr>
      </w:pPr>
      <w:r w:rsidRPr="009E6200">
        <w:rPr>
          <w:i/>
          <w:iCs/>
          <w:lang w:eastAsia="ru-RU" w:bidi="ru-RU"/>
        </w:rPr>
        <w:t>Прочие:</w:t>
      </w:r>
      <w:r w:rsidRPr="009E6200">
        <w:rPr>
          <w:lang w:eastAsia="ru-RU" w:bidi="ru-RU"/>
        </w:rPr>
        <w:t xml:space="preserve"> очень часто - астения, повышенная утомляемость, пирексия, воспаление слизистых оболочек различной локализации, снижение массы тела, паронихия; часто - летаргия, заторможенность, сепсис, абсцесс, целлюлит, присоединение вторичных инфекций, дегидратация.</w:t>
      </w:r>
    </w:p>
    <w:p w14:paraId="0412E0BB" w14:textId="77777777" w:rsidR="00E05A5D" w:rsidRPr="009E6200" w:rsidRDefault="00E05A5D" w:rsidP="007B46F5">
      <w:pPr>
        <w:pStyle w:val="SDText"/>
        <w:jc w:val="both"/>
        <w:rPr>
          <w:lang w:eastAsia="ru-RU" w:bidi="ru-RU"/>
        </w:rPr>
      </w:pPr>
      <w:r w:rsidRPr="009E6200">
        <w:rPr>
          <w:i/>
          <w:iCs/>
          <w:lang w:eastAsia="ru-RU" w:bidi="ru-RU"/>
        </w:rPr>
        <w:t>Нарушения со стороны лабораторных показателей:</w:t>
      </w:r>
      <w:r w:rsidRPr="009E6200">
        <w:rPr>
          <w:lang w:eastAsia="ru-RU" w:bidi="ru-RU"/>
        </w:rPr>
        <w:t xml:space="preserve"> очень часто - гипомагниемия, гипонатриемия; часто - гипонатриемия 3-5 степени по </w:t>
      </w:r>
      <w:r w:rsidRPr="009E6200">
        <w:rPr>
          <w:lang w:eastAsia="ru-RU" w:bidi="en-US"/>
        </w:rPr>
        <w:t xml:space="preserve">NCI-CTC AE. </w:t>
      </w:r>
      <w:r w:rsidRPr="009E6200">
        <w:rPr>
          <w:lang w:eastAsia="ru-RU" w:bidi="ru-RU"/>
        </w:rPr>
        <w:t>Отмечались гипергликемия, гипокалиемия, увеличение протромбинового времени, увеличение международного нормализованного отношения (МНО).</w:t>
      </w:r>
    </w:p>
    <w:p w14:paraId="58CF9458" w14:textId="77777777" w:rsidR="00577BCF" w:rsidRDefault="00577BCF" w:rsidP="007B46F5">
      <w:pPr>
        <w:pStyle w:val="SDText"/>
        <w:jc w:val="both"/>
        <w:rPr>
          <w:b/>
          <w:bCs/>
          <w:i/>
          <w:iCs/>
          <w:lang w:eastAsia="ru-RU" w:bidi="ru-RU"/>
        </w:rPr>
      </w:pPr>
    </w:p>
    <w:p w14:paraId="6344294B" w14:textId="16305F95" w:rsidR="00E05A5D" w:rsidRPr="009E6200" w:rsidRDefault="00E05A5D" w:rsidP="007B46F5">
      <w:pPr>
        <w:pStyle w:val="SDText"/>
        <w:jc w:val="both"/>
        <w:rPr>
          <w:lang w:eastAsia="ru-RU" w:bidi="ru-RU"/>
        </w:rPr>
      </w:pPr>
      <w:r w:rsidRPr="009E6200">
        <w:rPr>
          <w:b/>
          <w:bCs/>
          <w:i/>
          <w:iCs/>
          <w:lang w:eastAsia="ru-RU" w:bidi="ru-RU"/>
        </w:rPr>
        <w:t>Пострегистрационное наблюдение</w:t>
      </w:r>
    </w:p>
    <w:p w14:paraId="52451396" w14:textId="77777777" w:rsidR="00577BCF" w:rsidRDefault="00577BCF" w:rsidP="007B46F5">
      <w:pPr>
        <w:pStyle w:val="SDText"/>
        <w:jc w:val="both"/>
        <w:rPr>
          <w:i/>
          <w:iCs/>
          <w:lang w:eastAsia="ru-RU" w:bidi="ru-RU"/>
        </w:rPr>
      </w:pPr>
    </w:p>
    <w:p w14:paraId="48F10766" w14:textId="50CC8CDE" w:rsidR="00E05A5D" w:rsidRPr="009E6200" w:rsidRDefault="00E05A5D" w:rsidP="007B46F5">
      <w:pPr>
        <w:pStyle w:val="SDText"/>
        <w:jc w:val="both"/>
        <w:rPr>
          <w:lang w:eastAsia="ru-RU" w:bidi="ru-RU"/>
        </w:rPr>
      </w:pPr>
      <w:r w:rsidRPr="009E6200">
        <w:rPr>
          <w:i/>
          <w:iCs/>
          <w:lang w:eastAsia="ru-RU" w:bidi="ru-RU"/>
        </w:rPr>
        <w:t>Врожденные, наследственные и генетические нарушения:</w:t>
      </w:r>
      <w:r w:rsidRPr="009E6200">
        <w:rPr>
          <w:lang w:eastAsia="ru-RU" w:bidi="ru-RU"/>
        </w:rPr>
        <w:t xml:space="preserve"> случаи аномалий развития плода наблюдались у женщин, получавших бевацизумаб в монотерапии или в комбинации с известными эмбриотоксичными химиотерапевтическими препаратами.</w:t>
      </w:r>
    </w:p>
    <w:p w14:paraId="61B5B622" w14:textId="77777777" w:rsidR="00E05A5D" w:rsidRPr="009E6200" w:rsidRDefault="00E05A5D" w:rsidP="007B46F5">
      <w:pPr>
        <w:pStyle w:val="SDText"/>
        <w:jc w:val="both"/>
        <w:rPr>
          <w:lang w:eastAsia="ru-RU" w:bidi="ru-RU"/>
        </w:rPr>
      </w:pPr>
      <w:r w:rsidRPr="009E6200">
        <w:rPr>
          <w:i/>
          <w:iCs/>
          <w:lang w:eastAsia="ru-RU" w:bidi="ru-RU"/>
        </w:rPr>
        <w:t>Со стороны нервной системы:</w:t>
      </w:r>
      <w:r w:rsidRPr="009E6200">
        <w:rPr>
          <w:lang w:eastAsia="ru-RU" w:bidi="ru-RU"/>
        </w:rPr>
        <w:t xml:space="preserve"> гипертензивная энцефалопатия (очень редко); синдром задней обратимой энцефалопатии (редко).</w:t>
      </w:r>
    </w:p>
    <w:p w14:paraId="13192DA4" w14:textId="77777777" w:rsidR="00E05A5D" w:rsidRPr="009E6200" w:rsidRDefault="00E05A5D" w:rsidP="007B46F5">
      <w:pPr>
        <w:pStyle w:val="SDText"/>
        <w:jc w:val="both"/>
        <w:rPr>
          <w:lang w:eastAsia="ru-RU" w:bidi="ru-RU"/>
        </w:rPr>
      </w:pPr>
      <w:r w:rsidRPr="009E6200">
        <w:rPr>
          <w:i/>
          <w:iCs/>
          <w:lang w:eastAsia="ru-RU" w:bidi="ru-RU"/>
        </w:rPr>
        <w:t>Со стороны сердечно-сосудистой системы:</w:t>
      </w:r>
      <w:r w:rsidRPr="009E6200">
        <w:rPr>
          <w:lang w:eastAsia="ru-RU" w:bidi="ru-RU"/>
        </w:rPr>
        <w:t xml:space="preserve"> тромботическая микроангиопатия почек, клинически проявляющаяся протеинурией (частота возникновения неизвестна).</w:t>
      </w:r>
    </w:p>
    <w:p w14:paraId="47F8A6A6" w14:textId="77777777" w:rsidR="00E05A5D" w:rsidRPr="009E6200" w:rsidRDefault="00E05A5D" w:rsidP="007B46F5">
      <w:pPr>
        <w:pStyle w:val="SDText"/>
        <w:jc w:val="both"/>
        <w:rPr>
          <w:lang w:eastAsia="ru-RU" w:bidi="ru-RU"/>
        </w:rPr>
      </w:pPr>
      <w:r w:rsidRPr="009E6200">
        <w:rPr>
          <w:i/>
          <w:iCs/>
          <w:lang w:eastAsia="ru-RU" w:bidi="ru-RU"/>
        </w:rPr>
        <w:t>Со стороны органов дыхания:</w:t>
      </w:r>
      <w:r w:rsidRPr="009E6200">
        <w:rPr>
          <w:lang w:eastAsia="ru-RU" w:bidi="ru-RU"/>
        </w:rPr>
        <w:t xml:space="preserve"> перфорация носовой перегородки (частота возникновения неизвестна), легочная гипертензия (частота возникновения неизвестна), дисфония (часто).</w:t>
      </w:r>
    </w:p>
    <w:p w14:paraId="291DFF61" w14:textId="77777777" w:rsidR="00E05A5D" w:rsidRPr="009E6200" w:rsidRDefault="00E05A5D" w:rsidP="007B46F5">
      <w:pPr>
        <w:pStyle w:val="SDText"/>
        <w:jc w:val="both"/>
        <w:rPr>
          <w:lang w:eastAsia="ru-RU" w:bidi="ru-RU"/>
        </w:rPr>
      </w:pPr>
      <w:r w:rsidRPr="009E6200">
        <w:rPr>
          <w:i/>
          <w:iCs/>
          <w:lang w:eastAsia="ru-RU" w:bidi="ru-RU"/>
        </w:rPr>
        <w:t>Со стороны желудочно-кишечного тракта:</w:t>
      </w:r>
      <w:r w:rsidRPr="009E6200">
        <w:rPr>
          <w:lang w:eastAsia="ru-RU" w:bidi="ru-RU"/>
        </w:rPr>
        <w:t xml:space="preserve"> гастроинтестинальная язва (частота возникновения неизвестна).</w:t>
      </w:r>
    </w:p>
    <w:p w14:paraId="7EDAF43E" w14:textId="77777777" w:rsidR="00E05A5D" w:rsidRPr="009E6200" w:rsidRDefault="00E05A5D" w:rsidP="007B46F5">
      <w:pPr>
        <w:pStyle w:val="SDText"/>
        <w:jc w:val="both"/>
        <w:rPr>
          <w:lang w:eastAsia="ru-RU" w:bidi="ru-RU"/>
        </w:rPr>
      </w:pPr>
      <w:r w:rsidRPr="009E6200">
        <w:rPr>
          <w:i/>
          <w:iCs/>
          <w:lang w:eastAsia="ru-RU" w:bidi="ru-RU"/>
        </w:rPr>
        <w:t>Со стороны печени и желчевыводящих путей:</w:t>
      </w:r>
      <w:r w:rsidRPr="009E6200">
        <w:rPr>
          <w:lang w:eastAsia="ru-RU" w:bidi="ru-RU"/>
        </w:rPr>
        <w:t xml:space="preserve"> перфорация желчного пузыря (частота возникновения неизвестна).</w:t>
      </w:r>
    </w:p>
    <w:p w14:paraId="30D8DDB8" w14:textId="77777777" w:rsidR="00E05A5D" w:rsidRPr="009E6200" w:rsidRDefault="00E05A5D" w:rsidP="007B46F5">
      <w:pPr>
        <w:pStyle w:val="SDText"/>
        <w:jc w:val="both"/>
        <w:rPr>
          <w:lang w:eastAsia="ru-RU" w:bidi="ru-RU"/>
        </w:rPr>
      </w:pPr>
      <w:r w:rsidRPr="009E6200">
        <w:rPr>
          <w:i/>
          <w:iCs/>
          <w:lang w:eastAsia="ru-RU" w:bidi="ru-RU"/>
        </w:rPr>
        <w:t>Аллергические и инфузионные реакции:</w:t>
      </w:r>
      <w:r w:rsidRPr="009E6200">
        <w:rPr>
          <w:lang w:eastAsia="ru-RU" w:bidi="ru-RU"/>
        </w:rPr>
        <w:t xml:space="preserve"> реакции гиперчувствительности, инфузионные реакции (частота возникновения неизвестна); со следующими возможными одновременными проявлениями: одышка/затруднение дыхания, «приливы»/покраснение/сыпь, снижение или повышение артериального давления, снижение насыщения кислородом, боль в груди, озноб и тошнота/рвота.</w:t>
      </w:r>
    </w:p>
    <w:p w14:paraId="0ABEA49A" w14:textId="77777777" w:rsidR="00E05A5D" w:rsidRPr="009E6200" w:rsidRDefault="00E05A5D" w:rsidP="007B46F5">
      <w:pPr>
        <w:pStyle w:val="SDText"/>
        <w:jc w:val="both"/>
        <w:rPr>
          <w:lang w:eastAsia="ru-RU" w:bidi="ru-RU"/>
        </w:rPr>
      </w:pPr>
      <w:r w:rsidRPr="009E6200">
        <w:rPr>
          <w:i/>
          <w:iCs/>
          <w:lang w:eastAsia="ru-RU" w:bidi="ru-RU"/>
        </w:rPr>
        <w:t>Нарушения со стороны скелетно-мышечной и соединительной ткани:</w:t>
      </w:r>
      <w:r w:rsidRPr="009E6200">
        <w:rPr>
          <w:lang w:eastAsia="ru-RU" w:bidi="ru-RU"/>
        </w:rPr>
        <w:t xml:space="preserve"> остеонекроз челюсти (в основном у пациентов, получавших сопутствующую терапию бисфосфонатами или получавших терапию бисфосфонатами ранее). У детей, получавших препарат Авастин</w:t>
      </w:r>
      <w:r w:rsidRPr="009E6200">
        <w:rPr>
          <w:vertAlign w:val="superscript"/>
          <w:lang w:eastAsia="ru-RU" w:bidi="ru-RU"/>
        </w:rPr>
        <w:t>®</w:t>
      </w:r>
      <w:r w:rsidRPr="009E6200">
        <w:rPr>
          <w:lang w:eastAsia="ru-RU" w:bidi="ru-RU"/>
        </w:rPr>
        <w:t xml:space="preserve">, были отмечены случаи остеонекроза другой локализации (случаи остеонекроза, наблюдавшиеся у детей в рамках клинических исследований, не спонсируемых компанией, были выявлены при пострегистрационном наблюдении и добавлены в раздел о пострегистрационном наблюдении, хотя в опубликованных данных не было информации ни о степени тяжести по критериям </w:t>
      </w:r>
      <w:r w:rsidRPr="009E6200">
        <w:rPr>
          <w:lang w:eastAsia="ru-RU" w:bidi="en-US"/>
        </w:rPr>
        <w:t xml:space="preserve">CTC </w:t>
      </w:r>
      <w:r w:rsidRPr="009E6200">
        <w:rPr>
          <w:lang w:eastAsia="ru-RU" w:bidi="ru-RU"/>
        </w:rPr>
        <w:t>(общие критерии токсичности), ни о частоте сообщений).</w:t>
      </w:r>
    </w:p>
    <w:p w14:paraId="4EBD69BB" w14:textId="77777777" w:rsidR="00E05A5D" w:rsidRPr="009E6200" w:rsidRDefault="00E05A5D" w:rsidP="007B46F5">
      <w:pPr>
        <w:pStyle w:val="SDText"/>
        <w:jc w:val="both"/>
        <w:rPr>
          <w:lang w:eastAsia="ru-RU" w:bidi="ru-RU"/>
        </w:rPr>
      </w:pPr>
      <w:r w:rsidRPr="009E6200">
        <w:rPr>
          <w:i/>
          <w:iCs/>
          <w:lang w:eastAsia="ru-RU" w:bidi="ru-RU"/>
        </w:rPr>
        <w:t>Прочие</w:t>
      </w:r>
      <w:r w:rsidRPr="009E6200">
        <w:rPr>
          <w:lang w:eastAsia="ru-RU" w:bidi="ru-RU"/>
        </w:rPr>
        <w:t>: некротизирующий фасциит, как правило, на фоне нарушения заживления ран, перфорации желудочно-кишечного тракта или образования фистулы (редко).</w:t>
      </w:r>
    </w:p>
    <w:p w14:paraId="09AD7CFE" w14:textId="77777777" w:rsidR="00577BCF" w:rsidRDefault="00577BCF" w:rsidP="007B46F5">
      <w:pPr>
        <w:pStyle w:val="SDText"/>
        <w:jc w:val="both"/>
        <w:rPr>
          <w:b/>
          <w:bCs/>
          <w:lang w:eastAsia="ru-RU" w:bidi="ru-RU"/>
        </w:rPr>
      </w:pPr>
      <w:bookmarkStart w:id="76" w:name="bookmark24"/>
      <w:bookmarkStart w:id="77" w:name="bookmark25"/>
    </w:p>
    <w:p w14:paraId="538E1734" w14:textId="01FAB2E4" w:rsidR="00E05A5D" w:rsidRPr="009E6200" w:rsidRDefault="00E05A5D" w:rsidP="007B46F5">
      <w:pPr>
        <w:pStyle w:val="SDText"/>
        <w:jc w:val="both"/>
        <w:rPr>
          <w:b/>
          <w:bCs/>
          <w:lang w:eastAsia="ru-RU" w:bidi="ru-RU"/>
        </w:rPr>
      </w:pPr>
      <w:r w:rsidRPr="009E6200">
        <w:rPr>
          <w:b/>
          <w:bCs/>
          <w:lang w:eastAsia="ru-RU" w:bidi="ru-RU"/>
        </w:rPr>
        <w:t>Передозировка</w:t>
      </w:r>
      <w:bookmarkEnd w:id="76"/>
      <w:bookmarkEnd w:id="77"/>
    </w:p>
    <w:p w14:paraId="2529A8DE" w14:textId="77777777" w:rsidR="007B46F5" w:rsidRDefault="007B46F5" w:rsidP="007B46F5">
      <w:pPr>
        <w:pStyle w:val="SDText"/>
        <w:ind w:firstLine="709"/>
        <w:jc w:val="both"/>
        <w:rPr>
          <w:lang w:eastAsia="ru-RU" w:bidi="ru-RU"/>
        </w:rPr>
      </w:pPr>
    </w:p>
    <w:p w14:paraId="0D1D11CA" w14:textId="0B826A03" w:rsidR="00E05A5D" w:rsidRPr="009E6200" w:rsidRDefault="00E05A5D" w:rsidP="007B46F5">
      <w:pPr>
        <w:pStyle w:val="SDText"/>
        <w:ind w:firstLine="709"/>
        <w:jc w:val="both"/>
        <w:rPr>
          <w:lang w:eastAsia="ru-RU" w:bidi="ru-RU"/>
        </w:rPr>
      </w:pPr>
      <w:r w:rsidRPr="009E6200">
        <w:rPr>
          <w:lang w:eastAsia="ru-RU" w:bidi="ru-RU"/>
        </w:rPr>
        <w:t>При назначении бевацизумаба в максимальной дозе 20 мг/кг каждые 2 недели внутривенно у нескольких пациентов отмечена головная боль (мигрень) тяжелой степени тяжести.</w:t>
      </w:r>
    </w:p>
    <w:p w14:paraId="2F403B70" w14:textId="77777777" w:rsidR="00E05A5D" w:rsidRPr="009E6200" w:rsidRDefault="00E05A5D" w:rsidP="007B46F5">
      <w:pPr>
        <w:pStyle w:val="SDText"/>
        <w:jc w:val="both"/>
        <w:rPr>
          <w:lang w:eastAsia="ru-RU" w:bidi="ru-RU"/>
        </w:rPr>
      </w:pPr>
      <w:r w:rsidRPr="009E6200">
        <w:rPr>
          <w:lang w:eastAsia="ru-RU" w:bidi="ru-RU"/>
        </w:rPr>
        <w:t>При передозировке возможно усиление вышеперечисленных дозозависимых побочных явлений. Специфического антидота нет. Лечение симптоматическое.</w:t>
      </w:r>
    </w:p>
    <w:p w14:paraId="69346DD0" w14:textId="77777777" w:rsidR="00577BCF" w:rsidRDefault="00577BCF" w:rsidP="007B46F5">
      <w:pPr>
        <w:pStyle w:val="SDText"/>
        <w:jc w:val="both"/>
        <w:rPr>
          <w:b/>
          <w:bCs/>
          <w:lang w:eastAsia="ru-RU" w:bidi="ru-RU"/>
        </w:rPr>
      </w:pPr>
    </w:p>
    <w:p w14:paraId="4E351559" w14:textId="0413085C" w:rsidR="00E05A5D" w:rsidRPr="009E6200" w:rsidRDefault="00E05A5D" w:rsidP="007B46F5">
      <w:pPr>
        <w:pStyle w:val="SDText"/>
        <w:jc w:val="both"/>
        <w:rPr>
          <w:lang w:eastAsia="ru-RU" w:bidi="ru-RU"/>
        </w:rPr>
      </w:pPr>
      <w:r w:rsidRPr="009E6200">
        <w:rPr>
          <w:b/>
          <w:bCs/>
          <w:lang w:eastAsia="ru-RU" w:bidi="ru-RU"/>
        </w:rPr>
        <w:t>Взаимодействие с другими лекарственными средствами</w:t>
      </w:r>
    </w:p>
    <w:p w14:paraId="6C59169E" w14:textId="77777777" w:rsidR="00577BCF" w:rsidRDefault="00577BCF" w:rsidP="007B46F5">
      <w:pPr>
        <w:pStyle w:val="SDText"/>
        <w:jc w:val="both"/>
        <w:rPr>
          <w:i/>
          <w:iCs/>
          <w:u w:val="single"/>
          <w:lang w:eastAsia="ru-RU" w:bidi="ru-RU"/>
        </w:rPr>
      </w:pPr>
    </w:p>
    <w:p w14:paraId="2D0E68D7" w14:textId="77777777" w:rsidR="00577BCF" w:rsidRPr="007B46F5" w:rsidRDefault="00E05A5D" w:rsidP="007B46F5">
      <w:pPr>
        <w:pStyle w:val="SDText"/>
        <w:jc w:val="both"/>
        <w:rPr>
          <w:b/>
          <w:i/>
          <w:iCs/>
          <w:lang w:eastAsia="ru-RU" w:bidi="ru-RU"/>
        </w:rPr>
      </w:pPr>
      <w:r w:rsidRPr="007B46F5">
        <w:rPr>
          <w:b/>
          <w:i/>
          <w:iCs/>
          <w:lang w:eastAsia="ru-RU" w:bidi="ru-RU"/>
        </w:rPr>
        <w:t xml:space="preserve">Влияние противоопухолевых препаратов на фармакокинетику препарата Авастин® </w:t>
      </w:r>
    </w:p>
    <w:p w14:paraId="0BF14A5A" w14:textId="77777777" w:rsidR="00577BCF" w:rsidRPr="007B46F5" w:rsidRDefault="00577BCF" w:rsidP="007B46F5">
      <w:pPr>
        <w:pStyle w:val="SDText"/>
        <w:jc w:val="both"/>
        <w:rPr>
          <w:i/>
          <w:iCs/>
          <w:lang w:eastAsia="ru-RU" w:bidi="ru-RU"/>
        </w:rPr>
      </w:pPr>
    </w:p>
    <w:p w14:paraId="6580D31E" w14:textId="610B5CBB" w:rsidR="00E05A5D" w:rsidRPr="007B46F5" w:rsidRDefault="00E05A5D" w:rsidP="007B46F5">
      <w:pPr>
        <w:pStyle w:val="SDText"/>
        <w:ind w:firstLine="709"/>
        <w:jc w:val="both"/>
        <w:rPr>
          <w:lang w:eastAsia="ru-RU" w:bidi="ru-RU"/>
        </w:rPr>
      </w:pPr>
      <w:r w:rsidRPr="007B46F5">
        <w:rPr>
          <w:lang w:eastAsia="ru-RU" w:bidi="ru-RU"/>
        </w:rPr>
        <w:t>Не было зарегистрировано клинически значимого влияния на фармакокинетику препарата Авастин</w:t>
      </w:r>
      <w:r w:rsidRPr="007B46F5">
        <w:rPr>
          <w:vertAlign w:val="superscript"/>
          <w:lang w:eastAsia="ru-RU" w:bidi="ru-RU"/>
        </w:rPr>
        <w:t>®</w:t>
      </w:r>
      <w:r w:rsidRPr="007B46F5">
        <w:rPr>
          <w:lang w:eastAsia="ru-RU" w:bidi="ru-RU"/>
        </w:rPr>
        <w:t xml:space="preserve"> при совместном с химиотерапией применении. Не обнаружено статистически или клинически значимых различий клиренса препарата Авастин</w:t>
      </w:r>
      <w:r w:rsidRPr="007B46F5">
        <w:rPr>
          <w:vertAlign w:val="superscript"/>
          <w:lang w:eastAsia="ru-RU" w:bidi="ru-RU"/>
        </w:rPr>
        <w:t>®</w:t>
      </w:r>
      <w:r w:rsidRPr="007B46F5">
        <w:rPr>
          <w:lang w:eastAsia="ru-RU" w:bidi="ru-RU"/>
        </w:rPr>
        <w:t xml:space="preserve"> у пациентов, получавших монотерапию, и у пациентов, получавших препарат Авастин</w:t>
      </w:r>
      <w:r w:rsidRPr="007B46F5">
        <w:rPr>
          <w:vertAlign w:val="superscript"/>
          <w:lang w:eastAsia="ru-RU" w:bidi="ru-RU"/>
        </w:rPr>
        <w:t>®</w:t>
      </w:r>
      <w:r w:rsidRPr="007B46F5">
        <w:rPr>
          <w:lang w:eastAsia="ru-RU" w:bidi="ru-RU"/>
        </w:rPr>
        <w:t xml:space="preserve"> в комбинации с интерфероном альфа-2а, эрлотинибом или химиотерапевтическими препаратами (ИФЛ, ФУ/ЛВ, карбоплатин/паклитаксел, капецитабин, доксорубицин или цисплатин/гемцитабин).</w:t>
      </w:r>
    </w:p>
    <w:p w14:paraId="3A8A5A6E" w14:textId="77777777" w:rsidR="00577BCF" w:rsidRPr="007B46F5" w:rsidRDefault="00577BCF" w:rsidP="007B46F5">
      <w:pPr>
        <w:pStyle w:val="SDText"/>
        <w:jc w:val="both"/>
        <w:rPr>
          <w:i/>
          <w:iCs/>
          <w:lang w:eastAsia="ru-RU" w:bidi="ru-RU"/>
        </w:rPr>
      </w:pPr>
    </w:p>
    <w:p w14:paraId="1A30134C" w14:textId="5E0D2D29" w:rsidR="00E05A5D" w:rsidRPr="007B46F5" w:rsidRDefault="00E05A5D" w:rsidP="007B46F5">
      <w:pPr>
        <w:pStyle w:val="SDText"/>
        <w:jc w:val="both"/>
        <w:rPr>
          <w:b/>
          <w:lang w:eastAsia="ru-RU" w:bidi="ru-RU"/>
        </w:rPr>
      </w:pPr>
      <w:r w:rsidRPr="007B46F5">
        <w:rPr>
          <w:b/>
          <w:i/>
          <w:iCs/>
          <w:lang w:eastAsia="ru-RU" w:bidi="ru-RU"/>
        </w:rPr>
        <w:t>Влияние препарата Авастин® на фармакокинетику Других противоопухолевых препаратов</w:t>
      </w:r>
    </w:p>
    <w:p w14:paraId="51152A83" w14:textId="77777777" w:rsidR="00577BCF" w:rsidRPr="007B46F5" w:rsidRDefault="00577BCF" w:rsidP="007B46F5">
      <w:pPr>
        <w:pStyle w:val="SDText"/>
        <w:jc w:val="both"/>
        <w:rPr>
          <w:lang w:eastAsia="ru-RU" w:bidi="ru-RU"/>
        </w:rPr>
      </w:pPr>
    </w:p>
    <w:p w14:paraId="41610594" w14:textId="2053A326" w:rsidR="00E05A5D" w:rsidRPr="007B46F5" w:rsidRDefault="00E05A5D" w:rsidP="007B46F5">
      <w:pPr>
        <w:pStyle w:val="SDText"/>
        <w:ind w:firstLine="709"/>
        <w:jc w:val="both"/>
        <w:rPr>
          <w:lang w:eastAsia="ru-RU" w:bidi="ru-RU"/>
        </w:rPr>
      </w:pPr>
      <w:r w:rsidRPr="007B46F5">
        <w:rPr>
          <w:lang w:eastAsia="ru-RU" w:bidi="ru-RU"/>
        </w:rPr>
        <w:t>Не было зарегистрировано клинически значимого влияния препарата Авастин</w:t>
      </w:r>
      <w:r w:rsidRPr="007B46F5">
        <w:rPr>
          <w:vertAlign w:val="superscript"/>
          <w:lang w:eastAsia="ru-RU" w:bidi="ru-RU"/>
        </w:rPr>
        <w:t>®</w:t>
      </w:r>
      <w:r w:rsidRPr="007B46F5">
        <w:rPr>
          <w:lang w:eastAsia="ru-RU" w:bidi="ru-RU"/>
        </w:rPr>
        <w:t xml:space="preserve"> на фармакокинетику сопутствующих препаратов: интерферон альфа-2а, эрлотиниб (и его активный метаболит </w:t>
      </w:r>
      <w:r w:rsidRPr="007B46F5">
        <w:rPr>
          <w:lang w:eastAsia="ru-RU" w:bidi="en-US"/>
        </w:rPr>
        <w:t xml:space="preserve">OSI-420); </w:t>
      </w:r>
      <w:r w:rsidRPr="007B46F5">
        <w:rPr>
          <w:lang w:eastAsia="ru-RU" w:bidi="ru-RU"/>
        </w:rPr>
        <w:t xml:space="preserve">или химиотерапевтических препаратов: иринотекан (и его активный метаболит </w:t>
      </w:r>
      <w:r w:rsidRPr="007B46F5">
        <w:rPr>
          <w:lang w:eastAsia="ru-RU" w:bidi="en-US"/>
        </w:rPr>
        <w:t xml:space="preserve">SN38), </w:t>
      </w:r>
      <w:r w:rsidRPr="007B46F5">
        <w:rPr>
          <w:lang w:eastAsia="ru-RU" w:bidi="ru-RU"/>
        </w:rPr>
        <w:t>капецитабин, оксалиплатин (определялось по свободному и общему уровню платины) и цисплатин. Достоверных данных о влиянии препарата Авастин</w:t>
      </w:r>
      <w:r w:rsidRPr="007B46F5">
        <w:rPr>
          <w:vertAlign w:val="superscript"/>
          <w:lang w:eastAsia="ru-RU" w:bidi="ru-RU"/>
        </w:rPr>
        <w:t>®</w:t>
      </w:r>
      <w:r w:rsidRPr="007B46F5">
        <w:rPr>
          <w:lang w:eastAsia="ru-RU" w:bidi="ru-RU"/>
        </w:rPr>
        <w:t xml:space="preserve"> на фармакокинетику гемцитабина нет.</w:t>
      </w:r>
    </w:p>
    <w:p w14:paraId="43A6A3D9" w14:textId="77777777" w:rsidR="00577BCF" w:rsidRPr="007B46F5" w:rsidRDefault="00577BCF" w:rsidP="007B46F5">
      <w:pPr>
        <w:pStyle w:val="SDText"/>
        <w:ind w:firstLine="709"/>
        <w:jc w:val="both"/>
        <w:rPr>
          <w:lang w:eastAsia="ru-RU" w:bidi="ru-RU"/>
        </w:rPr>
      </w:pPr>
    </w:p>
    <w:p w14:paraId="421FD6BB" w14:textId="77777777" w:rsidR="00E05A5D" w:rsidRPr="00992857" w:rsidRDefault="00E05A5D" w:rsidP="007B46F5">
      <w:pPr>
        <w:pStyle w:val="SDText"/>
        <w:jc w:val="both"/>
        <w:rPr>
          <w:b/>
          <w:lang w:eastAsia="ru-RU" w:bidi="ru-RU"/>
        </w:rPr>
      </w:pPr>
      <w:r w:rsidRPr="00992857">
        <w:rPr>
          <w:b/>
          <w:i/>
          <w:iCs/>
          <w:lang w:eastAsia="ru-RU" w:bidi="ru-RU"/>
        </w:rPr>
        <w:t>Комбинация препарата Авастин® и сунитиниба</w:t>
      </w:r>
    </w:p>
    <w:p w14:paraId="62F16E00" w14:textId="77777777" w:rsidR="00577BCF" w:rsidRPr="007B46F5" w:rsidRDefault="00577BCF" w:rsidP="007B46F5">
      <w:pPr>
        <w:pStyle w:val="SDText"/>
        <w:ind w:firstLine="709"/>
        <w:jc w:val="both"/>
        <w:rPr>
          <w:lang w:eastAsia="ru-RU" w:bidi="ru-RU"/>
        </w:rPr>
      </w:pPr>
    </w:p>
    <w:p w14:paraId="499B8227" w14:textId="77777777" w:rsidR="00577BCF" w:rsidRPr="007B46F5" w:rsidRDefault="00E05A5D" w:rsidP="007B46F5">
      <w:pPr>
        <w:pStyle w:val="SDText"/>
        <w:ind w:firstLine="709"/>
        <w:jc w:val="both"/>
        <w:rPr>
          <w:lang w:eastAsia="ru-RU" w:bidi="ru-RU"/>
        </w:rPr>
      </w:pPr>
      <w:r w:rsidRPr="007B46F5">
        <w:rPr>
          <w:lang w:eastAsia="ru-RU" w:bidi="ru-RU"/>
        </w:rPr>
        <w:t>При применении препарата Авастин</w:t>
      </w:r>
      <w:r w:rsidRPr="007B46F5">
        <w:rPr>
          <w:vertAlign w:val="superscript"/>
          <w:lang w:eastAsia="ru-RU" w:bidi="ru-RU"/>
        </w:rPr>
        <w:t>®</w:t>
      </w:r>
      <w:r w:rsidRPr="007B46F5">
        <w:rPr>
          <w:lang w:eastAsia="ru-RU" w:bidi="ru-RU"/>
        </w:rPr>
        <w:t xml:space="preserve"> (10 мг/кг один раз в 2 недели) в комбинации с сунитинибом (50 мг ежедневно) у пациентов с метастатическим почечно-клеточным раком зарегистрированы случаи развития микроангиопатической гемолитической анемии (МАГА). МАГА относится к подгруппе гемолитических анемий, которая может проявляться фрагментацией эритроцитов, анемией и тромбоцитопенией. У некоторых пациентов дополнительно отмечаются неврологические нарушения, повышение концентрации креатинина, артериальная гипертензия, включая гипертонический криз. Эти симптомы были обратимы после прекращения терапии бевацизумабом и сунитинибом. </w:t>
      </w:r>
    </w:p>
    <w:p w14:paraId="3ECC51C7" w14:textId="77777777" w:rsidR="00577BCF" w:rsidRPr="007B46F5" w:rsidRDefault="00577BCF" w:rsidP="007B46F5">
      <w:pPr>
        <w:pStyle w:val="SDText"/>
        <w:ind w:firstLine="709"/>
        <w:jc w:val="both"/>
        <w:rPr>
          <w:lang w:eastAsia="ru-RU" w:bidi="ru-RU"/>
        </w:rPr>
      </w:pPr>
    </w:p>
    <w:p w14:paraId="1AD799F4" w14:textId="77777777" w:rsidR="00577BCF" w:rsidRPr="00992857" w:rsidRDefault="00E05A5D" w:rsidP="007B46F5">
      <w:pPr>
        <w:pStyle w:val="SDText"/>
        <w:jc w:val="both"/>
        <w:rPr>
          <w:b/>
          <w:i/>
          <w:iCs/>
          <w:lang w:eastAsia="ru-RU" w:bidi="ru-RU"/>
        </w:rPr>
      </w:pPr>
      <w:r w:rsidRPr="00992857">
        <w:rPr>
          <w:b/>
          <w:i/>
          <w:iCs/>
          <w:lang w:eastAsia="ru-RU" w:bidi="ru-RU"/>
        </w:rPr>
        <w:t xml:space="preserve">Комбинация с химиотерапией на основе препаратов платины или таксанов </w:t>
      </w:r>
    </w:p>
    <w:p w14:paraId="1BE75E1C" w14:textId="77777777" w:rsidR="00577BCF" w:rsidRPr="00992857" w:rsidRDefault="00577BCF" w:rsidP="007B46F5">
      <w:pPr>
        <w:pStyle w:val="SDText"/>
        <w:jc w:val="both"/>
        <w:rPr>
          <w:b/>
          <w:i/>
          <w:iCs/>
          <w:lang w:eastAsia="ru-RU" w:bidi="ru-RU"/>
        </w:rPr>
      </w:pPr>
    </w:p>
    <w:p w14:paraId="5A7DA736" w14:textId="7EA1AFEF" w:rsidR="00E05A5D" w:rsidRPr="007B46F5" w:rsidRDefault="00E05A5D" w:rsidP="007B46F5">
      <w:pPr>
        <w:pStyle w:val="SDText"/>
        <w:ind w:firstLine="709"/>
        <w:jc w:val="both"/>
        <w:rPr>
          <w:lang w:eastAsia="ru-RU" w:bidi="ru-RU"/>
        </w:rPr>
      </w:pPr>
      <w:r w:rsidRPr="007B46F5">
        <w:rPr>
          <w:lang w:eastAsia="ru-RU" w:bidi="ru-RU"/>
        </w:rPr>
        <w:t>Повышение частоты развития тяжелой нейтропении, фебрильной нейтропении или инфекций с или без тяжелой нейтропении (включая случаи с летальным исходом) наблюдались в основном у пациентов, получавших химиотерапию на основе таксанов или препаратов платины для лечения немелкоклеточного рака легкого и метастатического рака молочной железы.</w:t>
      </w:r>
    </w:p>
    <w:p w14:paraId="3EFC99AE" w14:textId="77777777" w:rsidR="00577BCF" w:rsidRPr="007B46F5" w:rsidRDefault="00577BCF" w:rsidP="007B46F5">
      <w:pPr>
        <w:pStyle w:val="SDText"/>
        <w:jc w:val="both"/>
        <w:rPr>
          <w:i/>
          <w:iCs/>
          <w:lang w:eastAsia="ru-RU" w:bidi="ru-RU"/>
        </w:rPr>
      </w:pPr>
    </w:p>
    <w:p w14:paraId="2184B64F" w14:textId="24432559" w:rsidR="00E05A5D" w:rsidRPr="00992857" w:rsidRDefault="00E05A5D" w:rsidP="007B46F5">
      <w:pPr>
        <w:pStyle w:val="SDText"/>
        <w:jc w:val="both"/>
        <w:rPr>
          <w:b/>
          <w:lang w:eastAsia="ru-RU" w:bidi="ru-RU"/>
        </w:rPr>
      </w:pPr>
      <w:r w:rsidRPr="00992857">
        <w:rPr>
          <w:b/>
          <w:i/>
          <w:iCs/>
          <w:lang w:eastAsia="ru-RU" w:bidi="ru-RU"/>
        </w:rPr>
        <w:t>Лучевая терапия</w:t>
      </w:r>
    </w:p>
    <w:p w14:paraId="38E4E2F7" w14:textId="77777777" w:rsidR="00577BCF" w:rsidRPr="007B46F5" w:rsidRDefault="00577BCF" w:rsidP="007B46F5">
      <w:pPr>
        <w:pStyle w:val="SDText"/>
        <w:ind w:firstLine="709"/>
        <w:jc w:val="both"/>
        <w:rPr>
          <w:lang w:eastAsia="ru-RU" w:bidi="ru-RU"/>
        </w:rPr>
      </w:pPr>
    </w:p>
    <w:p w14:paraId="7B52B98E" w14:textId="110CF377" w:rsidR="00E05A5D" w:rsidRPr="007B46F5" w:rsidRDefault="00E05A5D" w:rsidP="007B46F5">
      <w:pPr>
        <w:pStyle w:val="SDText"/>
        <w:ind w:firstLine="709"/>
        <w:jc w:val="both"/>
        <w:rPr>
          <w:lang w:eastAsia="ru-RU" w:bidi="ru-RU"/>
        </w:rPr>
      </w:pPr>
      <w:r w:rsidRPr="007B46F5">
        <w:rPr>
          <w:lang w:eastAsia="ru-RU" w:bidi="ru-RU"/>
        </w:rPr>
        <w:t>При изучении препарата Авастин</w:t>
      </w:r>
      <w:r w:rsidRPr="007B46F5">
        <w:rPr>
          <w:vertAlign w:val="superscript"/>
          <w:lang w:eastAsia="ru-RU" w:bidi="ru-RU"/>
        </w:rPr>
        <w:t>®</w:t>
      </w:r>
      <w:r w:rsidRPr="007B46F5">
        <w:rPr>
          <w:lang w:eastAsia="ru-RU" w:bidi="ru-RU"/>
        </w:rPr>
        <w:t xml:space="preserve"> в комбинации с лучевой терапией и химиотерапией (темозоломидом) у пациентов с впервые диагностированной глиобластомой новых нежелательных явлений, ассоциированных с препаратом Авастин</w:t>
      </w:r>
      <w:r w:rsidRPr="007B46F5">
        <w:rPr>
          <w:vertAlign w:val="superscript"/>
          <w:lang w:eastAsia="ru-RU" w:bidi="ru-RU"/>
        </w:rPr>
        <w:t>®</w:t>
      </w:r>
      <w:r w:rsidRPr="007B46F5">
        <w:rPr>
          <w:lang w:eastAsia="ru-RU" w:bidi="ru-RU"/>
        </w:rPr>
        <w:t>, не зарегистрировано. Безопасность и эффективность препарата Авастин</w:t>
      </w:r>
      <w:r w:rsidRPr="007B46F5">
        <w:rPr>
          <w:vertAlign w:val="superscript"/>
          <w:lang w:eastAsia="ru-RU" w:bidi="ru-RU"/>
        </w:rPr>
        <w:t>®</w:t>
      </w:r>
      <w:r w:rsidRPr="007B46F5">
        <w:rPr>
          <w:lang w:eastAsia="ru-RU" w:bidi="ru-RU"/>
        </w:rPr>
        <w:t xml:space="preserve"> в комбинации с лучевой терапией при других показаниях не установлена.</w:t>
      </w:r>
    </w:p>
    <w:p w14:paraId="35CFE9B1" w14:textId="77777777" w:rsidR="00577BCF" w:rsidRPr="007B46F5" w:rsidRDefault="00577BCF" w:rsidP="007B46F5">
      <w:pPr>
        <w:pStyle w:val="SDText"/>
        <w:jc w:val="both"/>
        <w:rPr>
          <w:i/>
          <w:iCs/>
          <w:lang w:eastAsia="ru-RU" w:bidi="ru-RU"/>
        </w:rPr>
      </w:pPr>
    </w:p>
    <w:p w14:paraId="2FA57A04" w14:textId="7943B6FC" w:rsidR="00E05A5D" w:rsidRPr="00992857" w:rsidRDefault="00E05A5D" w:rsidP="007B46F5">
      <w:pPr>
        <w:pStyle w:val="SDText"/>
        <w:jc w:val="both"/>
        <w:rPr>
          <w:b/>
          <w:lang w:eastAsia="ru-RU" w:bidi="ru-RU"/>
        </w:rPr>
      </w:pPr>
      <w:r w:rsidRPr="00992857">
        <w:rPr>
          <w:b/>
          <w:i/>
          <w:iCs/>
          <w:lang w:eastAsia="ru-RU" w:bidi="ru-RU"/>
        </w:rPr>
        <w:t xml:space="preserve">Моноклональные антитела, специфичные к рецепторам эпиДермального фактора роста </w:t>
      </w:r>
      <w:r w:rsidRPr="00992857">
        <w:rPr>
          <w:b/>
          <w:i/>
          <w:iCs/>
          <w:lang w:eastAsia="ru-RU" w:bidi="en-US"/>
        </w:rPr>
        <w:t xml:space="preserve">(EGFR) </w:t>
      </w:r>
      <w:r w:rsidRPr="00992857">
        <w:rPr>
          <w:b/>
          <w:i/>
          <w:iCs/>
          <w:lang w:eastAsia="ru-RU" w:bidi="ru-RU"/>
        </w:rPr>
        <w:t>человека, в комбинации с химиотерапевтическими режимами, содержащими бевацизумаб</w:t>
      </w:r>
    </w:p>
    <w:p w14:paraId="2211A6FD" w14:textId="77777777" w:rsidR="00577BCF" w:rsidRPr="007B46F5" w:rsidRDefault="00577BCF" w:rsidP="007B46F5">
      <w:pPr>
        <w:pStyle w:val="SDText"/>
        <w:jc w:val="both"/>
        <w:rPr>
          <w:lang w:eastAsia="ru-RU" w:bidi="ru-RU"/>
        </w:rPr>
      </w:pPr>
    </w:p>
    <w:p w14:paraId="7A46C7FD" w14:textId="38655243" w:rsidR="00E05A5D" w:rsidRPr="007B46F5" w:rsidRDefault="00E05A5D" w:rsidP="007B46F5">
      <w:pPr>
        <w:pStyle w:val="SDText"/>
        <w:ind w:firstLine="709"/>
        <w:jc w:val="both"/>
        <w:rPr>
          <w:lang w:eastAsia="ru-RU" w:bidi="ru-RU"/>
        </w:rPr>
      </w:pPr>
      <w:r w:rsidRPr="007B46F5">
        <w:rPr>
          <w:lang w:eastAsia="ru-RU" w:bidi="ru-RU"/>
        </w:rPr>
        <w:t xml:space="preserve">Исследования взаимодействия не проводились. Не следует применять моноклональные антитела к </w:t>
      </w:r>
      <w:r w:rsidRPr="007B46F5">
        <w:rPr>
          <w:lang w:eastAsia="ru-RU" w:bidi="en-US"/>
        </w:rPr>
        <w:t xml:space="preserve">EGFR </w:t>
      </w:r>
      <w:r w:rsidRPr="007B46F5">
        <w:rPr>
          <w:lang w:eastAsia="ru-RU" w:bidi="ru-RU"/>
        </w:rPr>
        <w:t>для лечения метастатического колоректального рака в комбинации с химиотерапевтическими режимами, содержащими бевацизумаб.</w:t>
      </w:r>
    </w:p>
    <w:p w14:paraId="08731B44" w14:textId="77777777" w:rsidR="00E05A5D" w:rsidRPr="007B46F5" w:rsidRDefault="00E05A5D" w:rsidP="007B46F5">
      <w:pPr>
        <w:pStyle w:val="SDText"/>
        <w:jc w:val="both"/>
        <w:rPr>
          <w:lang w:eastAsia="ru-RU" w:bidi="ru-RU"/>
        </w:rPr>
      </w:pPr>
      <w:r w:rsidRPr="007B46F5">
        <w:rPr>
          <w:lang w:eastAsia="ru-RU" w:bidi="ru-RU"/>
        </w:rPr>
        <w:t xml:space="preserve">Результаты рандомизированных исследований 3 фазы у пациентов с метастатическим колоректальным раком предполагают, что применение моноклональных антител к </w:t>
      </w:r>
      <w:r w:rsidRPr="007B46F5">
        <w:rPr>
          <w:lang w:eastAsia="ru-RU" w:bidi="en-US"/>
        </w:rPr>
        <w:t xml:space="preserve">EGFR </w:t>
      </w:r>
      <w:r w:rsidRPr="007B46F5">
        <w:rPr>
          <w:lang w:eastAsia="ru-RU" w:bidi="ru-RU"/>
        </w:rPr>
        <w:t>(панитумумаб и цетуксимаб) в комбинации с бевацизумабом и химиотерапией ассоциируется со снижением показателей выживаемости без прогрессирования и/или общей выживаемости и увеличением токсичности при сравнении с применением только бевацизумаба и химиотерапии.</w:t>
      </w:r>
    </w:p>
    <w:p w14:paraId="42E9B7F9" w14:textId="77777777" w:rsidR="00E05A5D" w:rsidRPr="007B46F5" w:rsidRDefault="00E05A5D" w:rsidP="007B46F5">
      <w:pPr>
        <w:pStyle w:val="SDText"/>
        <w:ind w:firstLine="709"/>
        <w:jc w:val="both"/>
        <w:rPr>
          <w:lang w:eastAsia="ru-RU" w:bidi="ru-RU"/>
        </w:rPr>
      </w:pPr>
      <w:r w:rsidRPr="007B46F5">
        <w:rPr>
          <w:lang w:eastAsia="ru-RU" w:bidi="ru-RU"/>
        </w:rPr>
        <w:t>Препарат Авастин</w:t>
      </w:r>
      <w:r w:rsidRPr="007B46F5">
        <w:rPr>
          <w:vertAlign w:val="superscript"/>
          <w:lang w:eastAsia="ru-RU" w:bidi="ru-RU"/>
        </w:rPr>
        <w:t>®</w:t>
      </w:r>
      <w:r w:rsidRPr="007B46F5">
        <w:rPr>
          <w:lang w:eastAsia="ru-RU" w:bidi="ru-RU"/>
        </w:rPr>
        <w:t xml:space="preserve"> фармацевтически несовместим с растворами декстрозы.</w:t>
      </w:r>
    </w:p>
    <w:p w14:paraId="78AB7D7F" w14:textId="77777777" w:rsidR="00577BCF" w:rsidRPr="007B46F5" w:rsidRDefault="00577BCF" w:rsidP="007B46F5">
      <w:pPr>
        <w:pStyle w:val="SDText"/>
        <w:jc w:val="both"/>
        <w:rPr>
          <w:b/>
          <w:bCs/>
          <w:lang w:eastAsia="ru-RU" w:bidi="ru-RU"/>
        </w:rPr>
      </w:pPr>
      <w:bookmarkStart w:id="78" w:name="bookmark26"/>
      <w:bookmarkStart w:id="79" w:name="bookmark27"/>
    </w:p>
    <w:p w14:paraId="1B43B51C" w14:textId="208A6759" w:rsidR="00E05A5D" w:rsidRPr="009E6200" w:rsidRDefault="00E05A5D" w:rsidP="007B46F5">
      <w:pPr>
        <w:pStyle w:val="SDText"/>
        <w:jc w:val="both"/>
        <w:rPr>
          <w:b/>
          <w:bCs/>
          <w:lang w:eastAsia="ru-RU" w:bidi="ru-RU"/>
        </w:rPr>
      </w:pPr>
      <w:r w:rsidRPr="009E6200">
        <w:rPr>
          <w:b/>
          <w:bCs/>
          <w:lang w:eastAsia="ru-RU" w:bidi="ru-RU"/>
        </w:rPr>
        <w:t>Особые указания</w:t>
      </w:r>
      <w:bookmarkEnd w:id="78"/>
      <w:bookmarkEnd w:id="79"/>
    </w:p>
    <w:p w14:paraId="7F548DCF" w14:textId="77777777" w:rsidR="00577BCF" w:rsidRDefault="00577BCF" w:rsidP="007B46F5">
      <w:pPr>
        <w:pStyle w:val="SDText"/>
        <w:jc w:val="both"/>
        <w:rPr>
          <w:lang w:eastAsia="ru-RU" w:bidi="ru-RU"/>
        </w:rPr>
      </w:pPr>
    </w:p>
    <w:p w14:paraId="0F87AAFF" w14:textId="05AAAA51" w:rsidR="00E05A5D" w:rsidRPr="009E6200" w:rsidRDefault="00E05A5D" w:rsidP="007B46F5">
      <w:pPr>
        <w:pStyle w:val="SDText"/>
        <w:ind w:firstLine="709"/>
        <w:jc w:val="both"/>
        <w:rPr>
          <w:lang w:eastAsia="ru-RU" w:bidi="ru-RU"/>
        </w:rPr>
      </w:pPr>
      <w:r w:rsidRPr="009E6200">
        <w:rPr>
          <w:lang w:eastAsia="ru-RU" w:bidi="ru-RU"/>
        </w:rPr>
        <w:t>В медицинской документации больного следует указывать торговое наименование препарата (Авастин</w:t>
      </w:r>
      <w:r w:rsidRPr="009E6200">
        <w:rPr>
          <w:vertAlign w:val="superscript"/>
          <w:lang w:eastAsia="ru-RU" w:bidi="ru-RU"/>
        </w:rPr>
        <w:t>®</w:t>
      </w:r>
      <w:r w:rsidRPr="009E6200">
        <w:rPr>
          <w:lang w:eastAsia="ru-RU" w:bidi="ru-RU"/>
        </w:rPr>
        <w:t>) и номер серии. Замена препарата на какой-либо другой биологический лекарственный препарат требует согласования с лечащим врачом. Информация, представленная в данной инструкции, относится только к препарату Авастин</w:t>
      </w:r>
      <w:r w:rsidRPr="009E6200">
        <w:rPr>
          <w:vertAlign w:val="superscript"/>
          <w:lang w:eastAsia="ru-RU" w:bidi="ru-RU"/>
        </w:rPr>
        <w:t>®</w:t>
      </w:r>
      <w:r w:rsidRPr="009E6200">
        <w:rPr>
          <w:lang w:eastAsia="ru-RU" w:bidi="ru-RU"/>
        </w:rPr>
        <w:t>.</w:t>
      </w:r>
    </w:p>
    <w:p w14:paraId="62B7B879" w14:textId="77777777" w:rsidR="00E05A5D" w:rsidRPr="009E6200" w:rsidRDefault="00E05A5D" w:rsidP="007B46F5">
      <w:pPr>
        <w:pStyle w:val="SDText"/>
        <w:ind w:firstLine="709"/>
        <w:jc w:val="both"/>
        <w:rPr>
          <w:lang w:eastAsia="ru-RU" w:bidi="ru-RU"/>
        </w:rPr>
      </w:pPr>
      <w:r w:rsidRPr="009E6200">
        <w:rPr>
          <w:lang w:eastAsia="ru-RU" w:bidi="ru-RU"/>
        </w:rPr>
        <w:t>Лечение препаратом Авастин</w:t>
      </w:r>
      <w:r w:rsidRPr="009E6200">
        <w:rPr>
          <w:vertAlign w:val="superscript"/>
          <w:lang w:eastAsia="ru-RU" w:bidi="ru-RU"/>
        </w:rPr>
        <w:t>®</w:t>
      </w:r>
      <w:r w:rsidRPr="009E6200">
        <w:rPr>
          <w:lang w:eastAsia="ru-RU" w:bidi="ru-RU"/>
        </w:rPr>
        <w:t xml:space="preserve"> можно проводить только под наблюдением врача, имеющего опыт применения противоопухолевой терапии.</w:t>
      </w:r>
    </w:p>
    <w:p w14:paraId="261E163E" w14:textId="77777777" w:rsidR="00577BCF" w:rsidRDefault="00577BCF" w:rsidP="007B46F5">
      <w:pPr>
        <w:pStyle w:val="SDText"/>
        <w:jc w:val="both"/>
        <w:rPr>
          <w:b/>
          <w:bCs/>
          <w:i/>
          <w:iCs/>
          <w:lang w:eastAsia="ru-RU" w:bidi="ru-RU"/>
        </w:rPr>
      </w:pPr>
    </w:p>
    <w:p w14:paraId="3D2CF0DE" w14:textId="0AACE6C7" w:rsidR="00E05A5D" w:rsidRPr="009E6200" w:rsidRDefault="00E05A5D" w:rsidP="007B46F5">
      <w:pPr>
        <w:pStyle w:val="SDText"/>
        <w:jc w:val="both"/>
        <w:rPr>
          <w:lang w:eastAsia="ru-RU" w:bidi="ru-RU"/>
        </w:rPr>
      </w:pPr>
      <w:r w:rsidRPr="009E6200">
        <w:rPr>
          <w:b/>
          <w:bCs/>
          <w:i/>
          <w:iCs/>
          <w:lang w:eastAsia="ru-RU" w:bidi="ru-RU"/>
        </w:rPr>
        <w:t>Перфорации и свищи желудочно-кишечного тракта (ЖКТ)</w:t>
      </w:r>
    </w:p>
    <w:p w14:paraId="07AB6269" w14:textId="77777777" w:rsidR="00577BCF" w:rsidRDefault="00577BCF" w:rsidP="007B46F5">
      <w:pPr>
        <w:pStyle w:val="SDText"/>
        <w:jc w:val="both"/>
        <w:rPr>
          <w:lang w:eastAsia="ru-RU" w:bidi="ru-RU"/>
        </w:rPr>
      </w:pPr>
    </w:p>
    <w:p w14:paraId="0021589B" w14:textId="78CA65AC" w:rsidR="00E05A5D" w:rsidRPr="009E6200" w:rsidRDefault="00E05A5D" w:rsidP="007B46F5">
      <w:pPr>
        <w:pStyle w:val="SDText"/>
        <w:ind w:firstLine="709"/>
        <w:jc w:val="both"/>
        <w:rPr>
          <w:lang w:eastAsia="ru-RU" w:bidi="ru-RU"/>
        </w:rPr>
      </w:pPr>
      <w:r w:rsidRPr="009E6200">
        <w:rPr>
          <w:lang w:eastAsia="ru-RU" w:bidi="ru-RU"/>
        </w:rPr>
        <w:t>У пациентов, получающих препарат Авастин</w:t>
      </w:r>
      <w:r w:rsidRPr="009E6200">
        <w:rPr>
          <w:vertAlign w:val="superscript"/>
          <w:lang w:eastAsia="ru-RU" w:bidi="ru-RU"/>
        </w:rPr>
        <w:t>®</w:t>
      </w:r>
      <w:r w:rsidRPr="009E6200">
        <w:rPr>
          <w:lang w:eastAsia="ru-RU" w:bidi="ru-RU"/>
        </w:rPr>
        <w:t xml:space="preserve">, существует повышенный риск развития </w:t>
      </w:r>
      <w:r w:rsidRPr="009E6200">
        <w:rPr>
          <w:i/>
          <w:iCs/>
          <w:lang w:eastAsia="ru-RU" w:bidi="ru-RU"/>
        </w:rPr>
        <w:t>перфорации желудочно-кишечного тракта (ЖКТ) и желчного пузыря</w:t>
      </w:r>
      <w:r w:rsidRPr="009E6200">
        <w:rPr>
          <w:lang w:eastAsia="ru-RU" w:bidi="ru-RU"/>
        </w:rPr>
        <w:t>. Наблюдались тяжелые случаи перфорации ЖКТ, в том числе и фатальные (у 0</w:t>
      </w:r>
      <w:r w:rsidR="001D23B0">
        <w:rPr>
          <w:lang w:eastAsia="ru-RU" w:bidi="ru-RU"/>
        </w:rPr>
        <w:t>.</w:t>
      </w:r>
      <w:r w:rsidRPr="009E6200">
        <w:rPr>
          <w:lang w:eastAsia="ru-RU" w:bidi="ru-RU"/>
        </w:rPr>
        <w:t>2%-1% всех пациентов, получавших препарат Авастин</w:t>
      </w:r>
      <w:r w:rsidRPr="009E6200">
        <w:rPr>
          <w:vertAlign w:val="superscript"/>
          <w:lang w:eastAsia="ru-RU" w:bidi="ru-RU"/>
        </w:rPr>
        <w:t>®</w:t>
      </w:r>
      <w:r w:rsidRPr="009E6200">
        <w:rPr>
          <w:lang w:eastAsia="ru-RU" w:bidi="ru-RU"/>
        </w:rPr>
        <w:t>).</w:t>
      </w:r>
    </w:p>
    <w:p w14:paraId="1A50F1A0" w14:textId="77777777" w:rsidR="00E05A5D" w:rsidRPr="009E6200" w:rsidRDefault="00E05A5D" w:rsidP="007B46F5">
      <w:pPr>
        <w:pStyle w:val="SDText"/>
        <w:ind w:firstLine="709"/>
        <w:jc w:val="both"/>
        <w:rPr>
          <w:lang w:eastAsia="ru-RU" w:bidi="ru-RU"/>
        </w:rPr>
      </w:pPr>
      <w:r w:rsidRPr="009E6200">
        <w:rPr>
          <w:lang w:eastAsia="ru-RU" w:bidi="ru-RU"/>
        </w:rPr>
        <w:t>При изучении применения препарата Авастин</w:t>
      </w:r>
      <w:r w:rsidRPr="009E6200">
        <w:rPr>
          <w:vertAlign w:val="superscript"/>
          <w:lang w:eastAsia="ru-RU" w:bidi="ru-RU"/>
        </w:rPr>
        <w:t>®</w:t>
      </w:r>
      <w:r w:rsidRPr="009E6200">
        <w:rPr>
          <w:lang w:eastAsia="ru-RU" w:bidi="ru-RU"/>
        </w:rPr>
        <w:t xml:space="preserve"> у пациентов с персистирующим, рецидивирующим или метастатическим раком шейки матки случаи перфорации ЖКТ (всех степеней тяжести) наблюдались у 3.2% пациентов, всем этим пациентам ранее проводилась лучевая терапия органов малого таза.</w:t>
      </w:r>
    </w:p>
    <w:p w14:paraId="2E524D43" w14:textId="77777777" w:rsidR="00E05A5D" w:rsidRPr="009E6200" w:rsidRDefault="00E05A5D" w:rsidP="007B46F5">
      <w:pPr>
        <w:pStyle w:val="SDText"/>
        <w:ind w:firstLine="709"/>
        <w:jc w:val="both"/>
        <w:rPr>
          <w:lang w:eastAsia="ru-RU" w:bidi="ru-RU"/>
        </w:rPr>
      </w:pPr>
      <w:r w:rsidRPr="009E6200">
        <w:rPr>
          <w:lang w:eastAsia="ru-RU" w:bidi="ru-RU"/>
        </w:rPr>
        <w:t>Клиническая картина перфораций ЖКТ отличалась по тяжести и варьировала в зависимости от признаков свободного газа при рентгенографии брюшной полости, которые исчезали без лечения, до перфораций с абсцессом брюшной полости и летальным исходом. В некоторых случаях имело место исходное внутрибрюшинное воспаление в результате язвенной болезни желудка, некроза опухоли, дивертикулита или колита, ассоциированного с химиотерапией. Связь между развитием внутрибрюшинного воспаления и перфораций ЖКТ и терапией препаратом Авастин</w:t>
      </w:r>
      <w:r w:rsidRPr="009E6200">
        <w:rPr>
          <w:vertAlign w:val="superscript"/>
          <w:lang w:eastAsia="ru-RU" w:bidi="ru-RU"/>
        </w:rPr>
        <w:t>®</w:t>
      </w:r>
      <w:r w:rsidRPr="009E6200">
        <w:rPr>
          <w:lang w:eastAsia="ru-RU" w:bidi="ru-RU"/>
        </w:rPr>
        <w:t xml:space="preserve"> не установлена. При развитии перфорации ЖКТ лечение препаратом Авастин</w:t>
      </w:r>
      <w:r w:rsidRPr="009E6200">
        <w:rPr>
          <w:vertAlign w:val="superscript"/>
          <w:lang w:eastAsia="ru-RU" w:bidi="ru-RU"/>
        </w:rPr>
        <w:t>®</w:t>
      </w:r>
      <w:r w:rsidRPr="009E6200">
        <w:rPr>
          <w:lang w:eastAsia="ru-RU" w:bidi="ru-RU"/>
        </w:rPr>
        <w:t xml:space="preserve"> следует прекратить.</w:t>
      </w:r>
    </w:p>
    <w:p w14:paraId="6E212175" w14:textId="77777777" w:rsidR="00577BCF" w:rsidRDefault="00577BCF" w:rsidP="007B46F5">
      <w:pPr>
        <w:pStyle w:val="SDText"/>
        <w:jc w:val="both"/>
        <w:rPr>
          <w:b/>
          <w:i/>
          <w:iCs/>
          <w:lang w:eastAsia="ru-RU" w:bidi="ru-RU"/>
        </w:rPr>
      </w:pPr>
    </w:p>
    <w:p w14:paraId="78A85AF1" w14:textId="77777777" w:rsidR="00577BCF" w:rsidRDefault="00E05A5D" w:rsidP="007B46F5">
      <w:pPr>
        <w:pStyle w:val="SDText"/>
        <w:jc w:val="both"/>
        <w:rPr>
          <w:lang w:eastAsia="ru-RU" w:bidi="ru-RU"/>
        </w:rPr>
      </w:pPr>
      <w:r w:rsidRPr="00577BCF">
        <w:rPr>
          <w:b/>
          <w:i/>
          <w:iCs/>
          <w:lang w:eastAsia="ru-RU" w:bidi="ru-RU"/>
        </w:rPr>
        <w:t>Свищи ЖКТ</w:t>
      </w:r>
      <w:r w:rsidRPr="00577BCF">
        <w:rPr>
          <w:b/>
          <w:lang w:eastAsia="ru-RU" w:bidi="ru-RU"/>
        </w:rPr>
        <w:t xml:space="preserve"> (всех степеней тяжести)</w:t>
      </w:r>
      <w:r w:rsidRPr="009E6200">
        <w:rPr>
          <w:lang w:eastAsia="ru-RU" w:bidi="ru-RU"/>
        </w:rPr>
        <w:t xml:space="preserve"> </w:t>
      </w:r>
    </w:p>
    <w:p w14:paraId="1B27C19E" w14:textId="77777777" w:rsidR="00577BCF" w:rsidRDefault="00577BCF" w:rsidP="007B46F5">
      <w:pPr>
        <w:pStyle w:val="SDText"/>
        <w:jc w:val="both"/>
        <w:rPr>
          <w:lang w:eastAsia="ru-RU" w:bidi="ru-RU"/>
        </w:rPr>
      </w:pPr>
    </w:p>
    <w:p w14:paraId="266AC5C9" w14:textId="58B8AD02" w:rsidR="00E05A5D" w:rsidRPr="009E6200" w:rsidRDefault="00577BCF" w:rsidP="007B46F5">
      <w:pPr>
        <w:pStyle w:val="SDText"/>
        <w:ind w:firstLine="709"/>
        <w:jc w:val="both"/>
        <w:rPr>
          <w:lang w:eastAsia="ru-RU" w:bidi="ru-RU"/>
        </w:rPr>
      </w:pPr>
      <w:r>
        <w:rPr>
          <w:lang w:eastAsia="ru-RU" w:bidi="ru-RU"/>
        </w:rPr>
        <w:t>У</w:t>
      </w:r>
      <w:r w:rsidR="00E05A5D" w:rsidRPr="009E6200">
        <w:rPr>
          <w:lang w:eastAsia="ru-RU" w:bidi="ru-RU"/>
        </w:rPr>
        <w:t xml:space="preserve"> пациентов с метастатическим колоректальным раком и раком яичника возникали у 2% пациентов, реже при других локализациях опухоли.</w:t>
      </w:r>
    </w:p>
    <w:p w14:paraId="69326FC8" w14:textId="77777777" w:rsidR="00E05A5D" w:rsidRPr="009E6200" w:rsidRDefault="00E05A5D" w:rsidP="007B46F5">
      <w:pPr>
        <w:pStyle w:val="SDText"/>
        <w:ind w:firstLine="709"/>
        <w:jc w:val="both"/>
        <w:rPr>
          <w:lang w:eastAsia="ru-RU" w:bidi="ru-RU"/>
        </w:rPr>
      </w:pPr>
      <w:r w:rsidRPr="009E6200">
        <w:rPr>
          <w:lang w:eastAsia="ru-RU" w:bidi="ru-RU"/>
        </w:rPr>
        <w:t>Пациенты, получавшие терапию препаратом Авастин</w:t>
      </w:r>
      <w:r w:rsidRPr="009E6200">
        <w:rPr>
          <w:vertAlign w:val="superscript"/>
          <w:lang w:eastAsia="ru-RU" w:bidi="ru-RU"/>
        </w:rPr>
        <w:t>®</w:t>
      </w:r>
      <w:r w:rsidRPr="009E6200">
        <w:rPr>
          <w:lang w:eastAsia="ru-RU" w:bidi="ru-RU"/>
        </w:rPr>
        <w:t xml:space="preserve"> для лечения персистирующего, рецидивирующего или метастатического рака шейки матки, могут иметь повышенный риск образования свищей между влагалищем и любым отделом ЖКТ (желудочно- кишечно-влагалищные свищи).</w:t>
      </w:r>
    </w:p>
    <w:p w14:paraId="4EF73B99" w14:textId="77777777" w:rsidR="00E05A5D" w:rsidRPr="009E6200" w:rsidRDefault="00E05A5D" w:rsidP="007B46F5">
      <w:pPr>
        <w:pStyle w:val="SDText"/>
        <w:ind w:firstLine="709"/>
        <w:jc w:val="both"/>
        <w:rPr>
          <w:lang w:eastAsia="ru-RU" w:bidi="ru-RU"/>
        </w:rPr>
      </w:pPr>
      <w:r w:rsidRPr="009E6200">
        <w:rPr>
          <w:lang w:eastAsia="ru-RU" w:bidi="ru-RU"/>
        </w:rPr>
        <w:t>При изучении применения препарата Авастин</w:t>
      </w:r>
      <w:r w:rsidRPr="009E6200">
        <w:rPr>
          <w:vertAlign w:val="superscript"/>
          <w:lang w:eastAsia="ru-RU" w:bidi="ru-RU"/>
        </w:rPr>
        <w:t>®</w:t>
      </w:r>
      <w:r w:rsidRPr="009E6200">
        <w:rPr>
          <w:lang w:eastAsia="ru-RU" w:bidi="ru-RU"/>
        </w:rPr>
        <w:t xml:space="preserve"> у пациентов с персистирующим, рецидивирующим или метастатическим раком шейки матки частота образования желудочно-кишечно-влагалищных свищей составила 8.3%, во всех случаях ранее проводилась лучевая терапия органов малого таза. У пациентов, имеющих желудочно- кишечно-влагалищный свищ, может также иметь место кишечная непроходимость и может потребоваться необходимость хирургического вмешательства, в том числе наложение стомы.</w:t>
      </w:r>
    </w:p>
    <w:p w14:paraId="0C0A57D8" w14:textId="77777777" w:rsidR="00577BCF" w:rsidRDefault="00577BCF" w:rsidP="007B46F5">
      <w:pPr>
        <w:pStyle w:val="SDText"/>
        <w:jc w:val="both"/>
        <w:rPr>
          <w:b/>
          <w:bCs/>
          <w:i/>
          <w:iCs/>
          <w:lang w:eastAsia="ru-RU" w:bidi="ru-RU"/>
        </w:rPr>
      </w:pPr>
    </w:p>
    <w:p w14:paraId="7DB644A7" w14:textId="3D3DEF19" w:rsidR="00E05A5D" w:rsidRPr="009E6200" w:rsidRDefault="00E05A5D" w:rsidP="007B46F5">
      <w:pPr>
        <w:pStyle w:val="SDText"/>
        <w:jc w:val="both"/>
        <w:rPr>
          <w:lang w:eastAsia="ru-RU" w:bidi="ru-RU"/>
        </w:rPr>
      </w:pPr>
      <w:r w:rsidRPr="009E6200">
        <w:rPr>
          <w:b/>
          <w:bCs/>
          <w:i/>
          <w:iCs/>
          <w:lang w:eastAsia="ru-RU" w:bidi="ru-RU"/>
        </w:rPr>
        <w:t>Свищи других локализаций (кроме отделов ЖКТ)</w:t>
      </w:r>
    </w:p>
    <w:p w14:paraId="4D60A34E" w14:textId="77777777" w:rsidR="00577BCF" w:rsidRDefault="00577BCF" w:rsidP="007B46F5">
      <w:pPr>
        <w:pStyle w:val="SDText"/>
        <w:jc w:val="both"/>
        <w:rPr>
          <w:lang w:eastAsia="ru-RU" w:bidi="ru-RU"/>
        </w:rPr>
      </w:pPr>
    </w:p>
    <w:p w14:paraId="5474C655" w14:textId="64B34B67" w:rsidR="00E05A5D" w:rsidRPr="009E6200" w:rsidRDefault="00E05A5D" w:rsidP="007B46F5">
      <w:pPr>
        <w:pStyle w:val="SDText"/>
        <w:ind w:firstLine="709"/>
        <w:jc w:val="both"/>
        <w:rPr>
          <w:lang w:eastAsia="ru-RU" w:bidi="ru-RU"/>
        </w:rPr>
      </w:pPr>
      <w:r w:rsidRPr="009E6200">
        <w:rPr>
          <w:lang w:eastAsia="ru-RU" w:bidi="ru-RU"/>
        </w:rPr>
        <w:t>Пациенты могут иметь повышенный риск развития свищей во время терапии препаратом Авастин</w:t>
      </w:r>
      <w:r w:rsidRPr="009E6200">
        <w:rPr>
          <w:vertAlign w:val="superscript"/>
          <w:lang w:eastAsia="ru-RU" w:bidi="ru-RU"/>
        </w:rPr>
        <w:t>®</w:t>
      </w:r>
      <w:r w:rsidRPr="009E6200">
        <w:rPr>
          <w:lang w:eastAsia="ru-RU" w:bidi="ru-RU"/>
        </w:rPr>
        <w:t>.</w:t>
      </w:r>
    </w:p>
    <w:p w14:paraId="1EE99AE6" w14:textId="77777777" w:rsidR="00E05A5D" w:rsidRPr="009E6200" w:rsidRDefault="00E05A5D" w:rsidP="007B46F5">
      <w:pPr>
        <w:pStyle w:val="SDText"/>
        <w:ind w:firstLine="709"/>
        <w:jc w:val="both"/>
        <w:rPr>
          <w:lang w:eastAsia="ru-RU" w:bidi="ru-RU"/>
        </w:rPr>
      </w:pPr>
      <w:r w:rsidRPr="009E6200">
        <w:rPr>
          <w:lang w:eastAsia="ru-RU" w:bidi="ru-RU"/>
        </w:rPr>
        <w:t>При терапии препаратом Авастин</w:t>
      </w:r>
      <w:r w:rsidRPr="009E6200">
        <w:rPr>
          <w:vertAlign w:val="superscript"/>
          <w:lang w:eastAsia="ru-RU" w:bidi="ru-RU"/>
        </w:rPr>
        <w:t>®</w:t>
      </w:r>
      <w:r w:rsidRPr="009E6200">
        <w:rPr>
          <w:lang w:eastAsia="ru-RU" w:bidi="ru-RU"/>
        </w:rPr>
        <w:t xml:space="preserve"> зарегистрированы серьезные случаи образования свищей, включая случаи с летальным исходом.</w:t>
      </w:r>
    </w:p>
    <w:p w14:paraId="02E8323D" w14:textId="77777777" w:rsidR="00E05A5D" w:rsidRPr="009E6200" w:rsidRDefault="00E05A5D" w:rsidP="007B46F5">
      <w:pPr>
        <w:pStyle w:val="SDText"/>
        <w:ind w:firstLine="709"/>
        <w:jc w:val="both"/>
        <w:rPr>
          <w:lang w:eastAsia="ru-RU" w:bidi="ru-RU"/>
        </w:rPr>
      </w:pPr>
      <w:r w:rsidRPr="009E6200">
        <w:rPr>
          <w:lang w:eastAsia="ru-RU" w:bidi="ru-RU"/>
        </w:rPr>
        <w:t>При изучении препарата Авастин</w:t>
      </w:r>
      <w:r w:rsidRPr="009E6200">
        <w:rPr>
          <w:vertAlign w:val="superscript"/>
          <w:lang w:eastAsia="ru-RU" w:bidi="ru-RU"/>
        </w:rPr>
        <w:t>®</w:t>
      </w:r>
      <w:r w:rsidRPr="009E6200">
        <w:rPr>
          <w:lang w:eastAsia="ru-RU" w:bidi="ru-RU"/>
        </w:rPr>
        <w:t xml:space="preserve"> у пациентов с персистирующим, рецидивирующим или метастатическим раком шейки матки случаи образования свищей негастроинтестинальной локализации (влагалищных, мочепузырных или женских половых путей) наблюдались у 1.8% пациентов, получавших Авастин</w:t>
      </w:r>
      <w:r w:rsidRPr="009E6200">
        <w:rPr>
          <w:vertAlign w:val="superscript"/>
          <w:lang w:eastAsia="ru-RU" w:bidi="ru-RU"/>
        </w:rPr>
        <w:t>®</w:t>
      </w:r>
      <w:r w:rsidRPr="009E6200">
        <w:rPr>
          <w:lang w:eastAsia="ru-RU" w:bidi="ru-RU"/>
        </w:rPr>
        <w:t>.</w:t>
      </w:r>
    </w:p>
    <w:p w14:paraId="20DC08FB" w14:textId="568329D1" w:rsidR="00E05A5D" w:rsidRPr="009E6200" w:rsidRDefault="00E05A5D" w:rsidP="007B46F5">
      <w:pPr>
        <w:pStyle w:val="SDText"/>
        <w:ind w:firstLine="709"/>
        <w:jc w:val="both"/>
        <w:rPr>
          <w:lang w:eastAsia="ru-RU" w:bidi="ru-RU"/>
        </w:rPr>
      </w:pPr>
      <w:r w:rsidRPr="009E6200">
        <w:rPr>
          <w:lang w:eastAsia="ru-RU" w:bidi="ru-RU"/>
        </w:rPr>
        <w:t>Нечасто (&gt;0</w:t>
      </w:r>
      <w:r w:rsidR="001D23B0">
        <w:rPr>
          <w:lang w:eastAsia="ru-RU" w:bidi="ru-RU"/>
        </w:rPr>
        <w:t>,</w:t>
      </w:r>
      <w:r w:rsidRPr="009E6200">
        <w:rPr>
          <w:lang w:eastAsia="ru-RU" w:bidi="ru-RU"/>
        </w:rPr>
        <w:t>1% - &lt;1%) регистрировались случаи образования свищей других локализаций (бронхоплевральные, билиарные).</w:t>
      </w:r>
    </w:p>
    <w:p w14:paraId="34514F37" w14:textId="77777777" w:rsidR="00E05A5D" w:rsidRPr="009E6200" w:rsidRDefault="00E05A5D" w:rsidP="007B46F5">
      <w:pPr>
        <w:pStyle w:val="SDText"/>
        <w:ind w:firstLine="709"/>
        <w:jc w:val="both"/>
        <w:rPr>
          <w:lang w:eastAsia="ru-RU" w:bidi="ru-RU"/>
        </w:rPr>
      </w:pPr>
      <w:r w:rsidRPr="009E6200">
        <w:rPr>
          <w:lang w:eastAsia="ru-RU" w:bidi="ru-RU"/>
        </w:rPr>
        <w:t>Образование свищей чаще наблюдается в первые 6 месяцев терапии препаратом Авастин</w:t>
      </w:r>
      <w:r w:rsidRPr="009E6200">
        <w:rPr>
          <w:vertAlign w:val="superscript"/>
          <w:lang w:eastAsia="ru-RU" w:bidi="ru-RU"/>
        </w:rPr>
        <w:t>®</w:t>
      </w:r>
      <w:r w:rsidRPr="009E6200">
        <w:rPr>
          <w:lang w:eastAsia="ru-RU" w:bidi="ru-RU"/>
        </w:rPr>
        <w:t>, но может возникать как через 1 неделю, так и через 1 год и позже после начала терапии.</w:t>
      </w:r>
    </w:p>
    <w:p w14:paraId="2E58CD25" w14:textId="77777777" w:rsidR="00E05A5D" w:rsidRPr="009E6200" w:rsidRDefault="00E05A5D" w:rsidP="007B46F5">
      <w:pPr>
        <w:pStyle w:val="SDText"/>
        <w:ind w:firstLine="709"/>
        <w:jc w:val="both"/>
        <w:rPr>
          <w:lang w:eastAsia="ru-RU" w:bidi="ru-RU"/>
        </w:rPr>
      </w:pPr>
      <w:r w:rsidRPr="009E6200">
        <w:rPr>
          <w:lang w:eastAsia="ru-RU" w:bidi="ru-RU"/>
        </w:rPr>
        <w:t>При возникновении трахео-эзофагеального свища или свища любой локализации 4 степени тяжести терапию препаратом Авастин</w:t>
      </w:r>
      <w:r w:rsidRPr="009E6200">
        <w:rPr>
          <w:vertAlign w:val="superscript"/>
          <w:lang w:eastAsia="ru-RU" w:bidi="ru-RU"/>
        </w:rPr>
        <w:t>®</w:t>
      </w:r>
      <w:r w:rsidRPr="009E6200">
        <w:rPr>
          <w:lang w:eastAsia="ru-RU" w:bidi="ru-RU"/>
        </w:rPr>
        <w:t xml:space="preserve"> следует отменить. Существуют ограниченные сведения о продолжении использования препарата Авастин</w:t>
      </w:r>
      <w:r w:rsidRPr="009E6200">
        <w:rPr>
          <w:vertAlign w:val="superscript"/>
          <w:lang w:eastAsia="ru-RU" w:bidi="ru-RU"/>
        </w:rPr>
        <w:t>®</w:t>
      </w:r>
      <w:r w:rsidRPr="009E6200">
        <w:rPr>
          <w:lang w:eastAsia="ru-RU" w:bidi="ru-RU"/>
        </w:rPr>
        <w:t xml:space="preserve"> у пациентов со свищами других локализаций. При возникновении внутреннего свища, не проникающего в ЖКТ, следует рассмотреть вопрос об отмене препарата Авастин</w:t>
      </w:r>
      <w:r w:rsidRPr="009E6200">
        <w:rPr>
          <w:vertAlign w:val="superscript"/>
          <w:lang w:eastAsia="ru-RU" w:bidi="ru-RU"/>
        </w:rPr>
        <w:t>®</w:t>
      </w:r>
      <w:r w:rsidRPr="009E6200">
        <w:rPr>
          <w:lang w:eastAsia="ru-RU" w:bidi="ru-RU"/>
        </w:rPr>
        <w:t>.</w:t>
      </w:r>
    </w:p>
    <w:p w14:paraId="66C2C14E" w14:textId="77777777" w:rsidR="00577BCF" w:rsidRDefault="00577BCF" w:rsidP="007B46F5">
      <w:pPr>
        <w:pStyle w:val="SDText"/>
        <w:jc w:val="both"/>
        <w:rPr>
          <w:b/>
          <w:bCs/>
          <w:i/>
          <w:iCs/>
          <w:lang w:eastAsia="ru-RU" w:bidi="ru-RU"/>
        </w:rPr>
      </w:pPr>
    </w:p>
    <w:p w14:paraId="1FC2C7F4" w14:textId="42DB0104" w:rsidR="00E05A5D" w:rsidRPr="009E6200" w:rsidRDefault="00E05A5D" w:rsidP="007B46F5">
      <w:pPr>
        <w:pStyle w:val="SDText"/>
        <w:jc w:val="both"/>
        <w:rPr>
          <w:lang w:eastAsia="ru-RU" w:bidi="ru-RU"/>
        </w:rPr>
      </w:pPr>
      <w:r w:rsidRPr="009E6200">
        <w:rPr>
          <w:b/>
          <w:bCs/>
          <w:i/>
          <w:iCs/>
          <w:lang w:eastAsia="ru-RU" w:bidi="ru-RU"/>
        </w:rPr>
        <w:t>Кровотечения</w:t>
      </w:r>
    </w:p>
    <w:p w14:paraId="55B213AF" w14:textId="77777777" w:rsidR="00577BCF" w:rsidRDefault="00577BCF" w:rsidP="007B46F5">
      <w:pPr>
        <w:pStyle w:val="SDText"/>
        <w:jc w:val="both"/>
        <w:rPr>
          <w:lang w:eastAsia="ru-RU" w:bidi="ru-RU"/>
        </w:rPr>
      </w:pPr>
    </w:p>
    <w:p w14:paraId="0E7DA85F" w14:textId="63B5EF81" w:rsidR="00E05A5D" w:rsidRPr="009E6200" w:rsidRDefault="00E05A5D" w:rsidP="007B46F5">
      <w:pPr>
        <w:pStyle w:val="SDText"/>
        <w:ind w:firstLine="709"/>
        <w:jc w:val="both"/>
        <w:rPr>
          <w:lang w:eastAsia="ru-RU" w:bidi="ru-RU"/>
        </w:rPr>
      </w:pPr>
      <w:r w:rsidRPr="009E6200">
        <w:rPr>
          <w:lang w:eastAsia="ru-RU" w:bidi="ru-RU"/>
        </w:rPr>
        <w:t>У пациентов, получающих препарат Авастин</w:t>
      </w:r>
      <w:r w:rsidRPr="009E6200">
        <w:rPr>
          <w:vertAlign w:val="superscript"/>
          <w:lang w:eastAsia="ru-RU" w:bidi="ru-RU"/>
        </w:rPr>
        <w:t>®</w:t>
      </w:r>
      <w:r w:rsidRPr="009E6200">
        <w:rPr>
          <w:lang w:eastAsia="ru-RU" w:bidi="ru-RU"/>
        </w:rPr>
        <w:t>, повышен риск возникновения кровотечений, особенно кровотечений из опухоли. Препарат Авастин</w:t>
      </w:r>
      <w:r w:rsidRPr="009E6200">
        <w:rPr>
          <w:vertAlign w:val="superscript"/>
          <w:lang w:eastAsia="ru-RU" w:bidi="ru-RU"/>
        </w:rPr>
        <w:t>®</w:t>
      </w:r>
      <w:r w:rsidRPr="009E6200">
        <w:rPr>
          <w:lang w:eastAsia="ru-RU" w:bidi="ru-RU"/>
        </w:rPr>
        <w:t xml:space="preserve"> следует отменить при возникновении кровотечения 3 или 4 степени тяжести по классификации </w:t>
      </w:r>
      <w:r w:rsidRPr="009E6200">
        <w:rPr>
          <w:lang w:eastAsia="ru-RU" w:bidi="en-US"/>
        </w:rPr>
        <w:t xml:space="preserve">NCI-CTC. </w:t>
      </w:r>
      <w:r w:rsidRPr="009E6200">
        <w:rPr>
          <w:lang w:eastAsia="ru-RU" w:bidi="ru-RU"/>
        </w:rPr>
        <w:t>Общая частота возникновения кровотечений 3-5 степени тяжести при применении препарата Авастин</w:t>
      </w:r>
      <w:r w:rsidRPr="009E6200">
        <w:rPr>
          <w:vertAlign w:val="superscript"/>
          <w:lang w:eastAsia="ru-RU" w:bidi="ru-RU"/>
        </w:rPr>
        <w:t>®</w:t>
      </w:r>
      <w:r w:rsidRPr="009E6200">
        <w:rPr>
          <w:lang w:eastAsia="ru-RU" w:bidi="ru-RU"/>
        </w:rPr>
        <w:t xml:space="preserve"> по всем показаниям составляет 0</w:t>
      </w:r>
      <w:r w:rsidR="001D23B0">
        <w:rPr>
          <w:lang w:eastAsia="ru-RU" w:bidi="ru-RU"/>
        </w:rPr>
        <w:t>,</w:t>
      </w:r>
      <w:r w:rsidRPr="009E6200">
        <w:rPr>
          <w:lang w:eastAsia="ru-RU" w:bidi="ru-RU"/>
        </w:rPr>
        <w:t>4%-6</w:t>
      </w:r>
      <w:r w:rsidR="001D23B0">
        <w:rPr>
          <w:lang w:eastAsia="ru-RU" w:bidi="ru-RU"/>
        </w:rPr>
        <w:t>,</w:t>
      </w:r>
      <w:r w:rsidRPr="009E6200">
        <w:rPr>
          <w:lang w:eastAsia="ru-RU" w:bidi="ru-RU"/>
        </w:rPr>
        <w:t>9%. Чаще всего наблюдались кровотечения из опухоли или небольшие кровотечения со стороны слизистой оболочки и кожи (например, носовое кровотечение).</w:t>
      </w:r>
    </w:p>
    <w:p w14:paraId="05B0F7FE" w14:textId="77777777" w:rsidR="00E05A5D" w:rsidRPr="009E6200" w:rsidRDefault="00E05A5D" w:rsidP="007B46F5">
      <w:pPr>
        <w:pStyle w:val="SDText"/>
        <w:ind w:firstLine="709"/>
        <w:jc w:val="both"/>
        <w:rPr>
          <w:lang w:eastAsia="ru-RU" w:bidi="ru-RU"/>
        </w:rPr>
      </w:pPr>
      <w:r w:rsidRPr="009E6200">
        <w:rPr>
          <w:lang w:eastAsia="ru-RU" w:bidi="ru-RU"/>
        </w:rPr>
        <w:t xml:space="preserve">Чаще всего наблюдались носовые кровотечения 1 степени тяжести по классификации </w:t>
      </w:r>
      <w:r w:rsidRPr="009E6200">
        <w:rPr>
          <w:lang w:eastAsia="ru-RU" w:bidi="en-US"/>
        </w:rPr>
        <w:t xml:space="preserve">NCI-CTC, </w:t>
      </w:r>
      <w:r w:rsidRPr="009E6200">
        <w:rPr>
          <w:lang w:eastAsia="ru-RU" w:bidi="ru-RU"/>
        </w:rPr>
        <w:t>длившиеся менее 5 минут, разрешившиеся без медицинского вмешательства и не требовавшие изменения режима дозирования препарата Авастин</w:t>
      </w:r>
      <w:r w:rsidRPr="009E6200">
        <w:rPr>
          <w:vertAlign w:val="superscript"/>
          <w:lang w:eastAsia="ru-RU" w:bidi="ru-RU"/>
        </w:rPr>
        <w:t>®</w:t>
      </w:r>
      <w:r w:rsidRPr="009E6200">
        <w:rPr>
          <w:lang w:eastAsia="ru-RU" w:bidi="ru-RU"/>
        </w:rPr>
        <w:t>. Частота небольших кровотечений со стороны слизистой оболочки и кожи зависит от дозы препарата. Реже возникали небольшая кровоточивость десен или вагинальные кровотечения.</w:t>
      </w:r>
    </w:p>
    <w:p w14:paraId="71267694" w14:textId="77777777" w:rsidR="00E05A5D" w:rsidRPr="009E6200" w:rsidRDefault="00E05A5D" w:rsidP="007B46F5">
      <w:pPr>
        <w:pStyle w:val="SDText"/>
        <w:ind w:firstLine="709"/>
        <w:jc w:val="both"/>
        <w:rPr>
          <w:lang w:eastAsia="ru-RU" w:bidi="ru-RU"/>
        </w:rPr>
      </w:pPr>
      <w:r w:rsidRPr="009E6200">
        <w:rPr>
          <w:lang w:eastAsia="ru-RU" w:bidi="ru-RU"/>
        </w:rPr>
        <w:t>Обильные или массивные легочные кровотечения/кровохарканье наблюдались в основном при немелкоклеточном раке легкого.</w:t>
      </w:r>
    </w:p>
    <w:p w14:paraId="6BA00B84" w14:textId="77777777" w:rsidR="00E05A5D" w:rsidRPr="009E6200" w:rsidRDefault="00E05A5D" w:rsidP="007B46F5">
      <w:pPr>
        <w:pStyle w:val="SDText"/>
        <w:ind w:firstLine="709"/>
        <w:jc w:val="both"/>
        <w:rPr>
          <w:lang w:eastAsia="ru-RU" w:bidi="ru-RU"/>
        </w:rPr>
      </w:pPr>
      <w:r w:rsidRPr="009E6200">
        <w:rPr>
          <w:lang w:eastAsia="ru-RU" w:bidi="ru-RU"/>
        </w:rPr>
        <w:t>Возможными факторами риска развития легочных кровотечений/кровохарканья являются: определенно установленный плоскоклеточный гистологический тип опухоли, прием противоревматических/противовоспалительных препаратов, антикоагулянтов, предшествующая лучевая терапия, терапия препаратом Авастин</w:t>
      </w:r>
      <w:r w:rsidRPr="009E6200">
        <w:rPr>
          <w:vertAlign w:val="superscript"/>
          <w:lang w:eastAsia="ru-RU" w:bidi="ru-RU"/>
        </w:rPr>
        <w:t>®</w:t>
      </w:r>
      <w:r w:rsidRPr="009E6200">
        <w:rPr>
          <w:lang w:eastAsia="ru-RU" w:bidi="ru-RU"/>
        </w:rPr>
        <w:t>, атеросклероз, центральное расположение опухоли, образование каверны до или во время лечения. При этом развитие кровотечений статистически достоверно связано только с наличием опухоли плоскоклеточного гистологического типа, а также с терапией препаратом Авастин</w:t>
      </w:r>
      <w:r w:rsidRPr="009E6200">
        <w:rPr>
          <w:vertAlign w:val="superscript"/>
          <w:lang w:eastAsia="ru-RU" w:bidi="ru-RU"/>
        </w:rPr>
        <w:t>®</w:t>
      </w:r>
      <w:r w:rsidRPr="009E6200">
        <w:rPr>
          <w:lang w:eastAsia="ru-RU" w:bidi="ru-RU"/>
        </w:rPr>
        <w:t>.</w:t>
      </w:r>
    </w:p>
    <w:p w14:paraId="75E6BB9D" w14:textId="613D1284" w:rsidR="00E05A5D" w:rsidRPr="009E6200" w:rsidRDefault="00E05A5D" w:rsidP="007B46F5">
      <w:pPr>
        <w:pStyle w:val="SDText"/>
        <w:ind w:firstLine="709"/>
        <w:jc w:val="both"/>
        <w:rPr>
          <w:lang w:eastAsia="ru-RU" w:bidi="ru-RU"/>
        </w:rPr>
      </w:pPr>
      <w:r w:rsidRPr="009E6200">
        <w:rPr>
          <w:lang w:eastAsia="ru-RU" w:bidi="ru-RU"/>
        </w:rPr>
        <w:t>У пациентов с немелкоклеточным раком легкого, получающих препарат Авастин</w:t>
      </w:r>
      <w:r w:rsidRPr="009E6200">
        <w:rPr>
          <w:vertAlign w:val="superscript"/>
          <w:lang w:eastAsia="ru-RU" w:bidi="ru-RU"/>
        </w:rPr>
        <w:t>®</w:t>
      </w:r>
      <w:r w:rsidRPr="009E6200">
        <w:rPr>
          <w:lang w:eastAsia="ru-RU" w:bidi="ru-RU"/>
        </w:rPr>
        <w:t>, существует повышенный риск образования серьезных легочных кровотечений/кровохарканья, в некоторых случаях с фатальным исходом. Пациенты, недавно имевшие кровотечение/кровохарканье (более 2</w:t>
      </w:r>
      <w:r w:rsidR="001D23B0">
        <w:rPr>
          <w:lang w:eastAsia="ru-RU" w:bidi="ru-RU"/>
        </w:rPr>
        <w:t>,</w:t>
      </w:r>
      <w:r w:rsidRPr="009E6200">
        <w:rPr>
          <w:lang w:eastAsia="ru-RU" w:bidi="ru-RU"/>
        </w:rPr>
        <w:t>5 мл крови), не должны получать препарат Авастин</w:t>
      </w:r>
      <w:r w:rsidRPr="009E6200">
        <w:rPr>
          <w:vertAlign w:val="superscript"/>
          <w:lang w:eastAsia="ru-RU" w:bidi="ru-RU"/>
        </w:rPr>
        <w:t>®</w:t>
      </w:r>
      <w:r w:rsidRPr="009E6200">
        <w:rPr>
          <w:lang w:eastAsia="ru-RU" w:bidi="ru-RU"/>
        </w:rPr>
        <w:t>.</w:t>
      </w:r>
    </w:p>
    <w:p w14:paraId="2FB86F32" w14:textId="77777777" w:rsidR="00E05A5D" w:rsidRPr="009E6200" w:rsidRDefault="00E05A5D" w:rsidP="007B46F5">
      <w:pPr>
        <w:pStyle w:val="SDText"/>
        <w:ind w:firstLine="709"/>
        <w:jc w:val="both"/>
        <w:rPr>
          <w:lang w:eastAsia="ru-RU" w:bidi="ru-RU"/>
        </w:rPr>
      </w:pPr>
      <w:r w:rsidRPr="009E6200">
        <w:rPr>
          <w:lang w:eastAsia="ru-RU" w:bidi="ru-RU"/>
        </w:rPr>
        <w:t>У пациентов с колоректальным раком возможны кровотечения ЖКТ, связанные с опухолью, в том числе ректальное кровотечение и мелена.</w:t>
      </w:r>
    </w:p>
    <w:p w14:paraId="518EA010" w14:textId="77777777" w:rsidR="00E05A5D" w:rsidRPr="009E6200" w:rsidRDefault="00E05A5D" w:rsidP="007B46F5">
      <w:pPr>
        <w:pStyle w:val="SDText"/>
        <w:jc w:val="both"/>
        <w:rPr>
          <w:lang w:eastAsia="ru-RU" w:bidi="ru-RU"/>
        </w:rPr>
      </w:pPr>
      <w:r w:rsidRPr="009E6200">
        <w:rPr>
          <w:lang w:eastAsia="ru-RU" w:bidi="ru-RU"/>
        </w:rPr>
        <w:t>Редко наблюдались кровотечения, в том числе внутричерепные кровоизлияния, у пациентов с метастатическим поражением центральной нервной системы (ЦНС) или с глиобластомой.</w:t>
      </w:r>
    </w:p>
    <w:p w14:paraId="679F69EA" w14:textId="77777777" w:rsidR="00E05A5D" w:rsidRPr="009E6200" w:rsidRDefault="00E05A5D" w:rsidP="007B46F5">
      <w:pPr>
        <w:pStyle w:val="SDText"/>
        <w:ind w:firstLine="709"/>
        <w:jc w:val="both"/>
        <w:rPr>
          <w:lang w:eastAsia="ru-RU" w:bidi="ru-RU"/>
        </w:rPr>
      </w:pPr>
      <w:r w:rsidRPr="009E6200">
        <w:rPr>
          <w:lang w:eastAsia="ru-RU" w:bidi="ru-RU"/>
        </w:rPr>
        <w:t>Необходимо проводить мониторинг симптомов внутричерепных кровоизлияний, в случае их возникновения отменить терапию препаратом Авастин</w:t>
      </w:r>
      <w:r w:rsidRPr="009E6200">
        <w:rPr>
          <w:vertAlign w:val="superscript"/>
          <w:lang w:eastAsia="ru-RU" w:bidi="ru-RU"/>
        </w:rPr>
        <w:t>®</w:t>
      </w:r>
      <w:r w:rsidRPr="009E6200">
        <w:rPr>
          <w:lang w:eastAsia="ru-RU" w:bidi="ru-RU"/>
        </w:rPr>
        <w:t>.</w:t>
      </w:r>
    </w:p>
    <w:p w14:paraId="69AF299F" w14:textId="25483048" w:rsidR="00E05A5D" w:rsidRPr="009E6200" w:rsidRDefault="00E05A5D" w:rsidP="007B46F5">
      <w:pPr>
        <w:pStyle w:val="SDText"/>
        <w:ind w:firstLine="709"/>
        <w:jc w:val="both"/>
        <w:rPr>
          <w:lang w:eastAsia="ru-RU" w:bidi="ru-RU"/>
        </w:rPr>
      </w:pPr>
      <w:r w:rsidRPr="009E6200">
        <w:rPr>
          <w:lang w:eastAsia="ru-RU" w:bidi="ru-RU"/>
        </w:rPr>
        <w:t>У пациентов с врожденным геморрагическим диатезом, приобретенной коагулопатией или получавших полную дозу антикоагулянтов по поводу тромбоэмболии, перед назначением препарата Авастин</w:t>
      </w:r>
      <w:r w:rsidRPr="009E6200">
        <w:rPr>
          <w:vertAlign w:val="superscript"/>
          <w:lang w:eastAsia="ru-RU" w:bidi="ru-RU"/>
        </w:rPr>
        <w:t>®</w:t>
      </w:r>
      <w:r w:rsidRPr="009E6200">
        <w:rPr>
          <w:lang w:eastAsia="ru-RU" w:bidi="ru-RU"/>
        </w:rPr>
        <w:t xml:space="preserve"> следует соблюдать осторожность ввиду отсутствия информации о профиле безопасности препарата у таких пациентов. Не наблюдалось повышения частоты развития кровотечения 3 степени тяжести и выше у пациентов, получавших препарат Авастин</w:t>
      </w:r>
      <w:r w:rsidRPr="009E6200">
        <w:rPr>
          <w:vertAlign w:val="superscript"/>
          <w:lang w:eastAsia="ru-RU" w:bidi="ru-RU"/>
        </w:rPr>
        <w:t>®</w:t>
      </w:r>
      <w:r w:rsidRPr="009E6200">
        <w:rPr>
          <w:lang w:eastAsia="ru-RU" w:bidi="ru-RU"/>
        </w:rPr>
        <w:t xml:space="preserve"> и варфарин.</w:t>
      </w:r>
    </w:p>
    <w:p w14:paraId="680BA5DB" w14:textId="77777777" w:rsidR="00577BCF" w:rsidRDefault="00577BCF" w:rsidP="007B46F5">
      <w:pPr>
        <w:pStyle w:val="SDText"/>
        <w:jc w:val="both"/>
        <w:rPr>
          <w:b/>
          <w:bCs/>
          <w:i/>
          <w:iCs/>
          <w:lang w:eastAsia="ru-RU" w:bidi="ru-RU"/>
        </w:rPr>
      </w:pPr>
    </w:p>
    <w:p w14:paraId="7FDC9D03" w14:textId="38CE93DF" w:rsidR="00E05A5D" w:rsidRPr="009E6200" w:rsidRDefault="00E05A5D" w:rsidP="007B46F5">
      <w:pPr>
        <w:pStyle w:val="SDText"/>
        <w:jc w:val="both"/>
        <w:rPr>
          <w:lang w:eastAsia="ru-RU" w:bidi="ru-RU"/>
        </w:rPr>
      </w:pPr>
      <w:r w:rsidRPr="009E6200">
        <w:rPr>
          <w:b/>
          <w:bCs/>
          <w:i/>
          <w:iCs/>
          <w:lang w:eastAsia="ru-RU" w:bidi="ru-RU"/>
        </w:rPr>
        <w:t>Нарушения со стороны органа зрения</w:t>
      </w:r>
    </w:p>
    <w:p w14:paraId="7D79C220" w14:textId="77777777" w:rsidR="00992857" w:rsidRDefault="00992857" w:rsidP="007B46F5">
      <w:pPr>
        <w:pStyle w:val="SDText"/>
        <w:ind w:firstLine="709"/>
        <w:jc w:val="both"/>
        <w:rPr>
          <w:lang w:eastAsia="ru-RU" w:bidi="ru-RU"/>
        </w:rPr>
      </w:pPr>
    </w:p>
    <w:p w14:paraId="4D807DA4" w14:textId="190204AB" w:rsidR="00E05A5D" w:rsidRPr="009E6200" w:rsidRDefault="00E05A5D" w:rsidP="007B46F5">
      <w:pPr>
        <w:pStyle w:val="SDText"/>
        <w:ind w:firstLine="709"/>
        <w:jc w:val="both"/>
        <w:rPr>
          <w:lang w:eastAsia="ru-RU" w:bidi="ru-RU"/>
        </w:rPr>
      </w:pPr>
      <w:r w:rsidRPr="009E6200">
        <w:rPr>
          <w:lang w:eastAsia="ru-RU" w:bidi="ru-RU"/>
        </w:rPr>
        <w:t>Сообщались отдельные случаи, а также серии случаев серьезных нежелательных явлений со стороны органа зрения (включая инфекционный эндофтальмит и другие воспалительные заболевания) после незарегистрированного интравитреального введения препарата Авастин</w:t>
      </w:r>
      <w:r w:rsidRPr="009E6200">
        <w:rPr>
          <w:vertAlign w:val="superscript"/>
          <w:lang w:eastAsia="ru-RU" w:bidi="ru-RU"/>
        </w:rPr>
        <w:t>®</w:t>
      </w:r>
      <w:r w:rsidRPr="009E6200">
        <w:rPr>
          <w:lang w:eastAsia="ru-RU" w:bidi="ru-RU"/>
        </w:rPr>
        <w:t>. Некоторые из этих явлений привели к потере остроты зрения различной степени тяжести, включая стойкую слепоту. Препарат Авастин</w:t>
      </w:r>
      <w:r w:rsidRPr="009E6200">
        <w:rPr>
          <w:vertAlign w:val="superscript"/>
          <w:lang w:eastAsia="ru-RU" w:bidi="ru-RU"/>
        </w:rPr>
        <w:t>®</w:t>
      </w:r>
      <w:r w:rsidRPr="009E6200">
        <w:rPr>
          <w:lang w:eastAsia="ru-RU" w:bidi="ru-RU"/>
        </w:rPr>
        <w:t xml:space="preserve"> не предназначен для интравитреального введения.</w:t>
      </w:r>
    </w:p>
    <w:p w14:paraId="1E31A6C4" w14:textId="77777777" w:rsidR="00577BCF" w:rsidRDefault="00577BCF" w:rsidP="007B46F5">
      <w:pPr>
        <w:pStyle w:val="SDText"/>
        <w:jc w:val="both"/>
        <w:rPr>
          <w:b/>
          <w:bCs/>
          <w:i/>
          <w:iCs/>
          <w:lang w:eastAsia="ru-RU" w:bidi="ru-RU"/>
        </w:rPr>
      </w:pPr>
    </w:p>
    <w:p w14:paraId="5560D8AA" w14:textId="76E73037" w:rsidR="00E05A5D" w:rsidRPr="009E6200" w:rsidRDefault="00E05A5D" w:rsidP="007B46F5">
      <w:pPr>
        <w:pStyle w:val="SDText"/>
        <w:jc w:val="both"/>
        <w:rPr>
          <w:lang w:eastAsia="ru-RU" w:bidi="ru-RU"/>
        </w:rPr>
      </w:pPr>
      <w:r w:rsidRPr="009E6200">
        <w:rPr>
          <w:b/>
          <w:bCs/>
          <w:i/>
          <w:iCs/>
          <w:lang w:eastAsia="ru-RU" w:bidi="ru-RU"/>
        </w:rPr>
        <w:t>Артериальная гипертензия</w:t>
      </w:r>
    </w:p>
    <w:p w14:paraId="631C1A1F" w14:textId="77777777" w:rsidR="00577BCF" w:rsidRDefault="00577BCF" w:rsidP="007B46F5">
      <w:pPr>
        <w:pStyle w:val="SDText"/>
        <w:jc w:val="both"/>
        <w:rPr>
          <w:lang w:eastAsia="ru-RU" w:bidi="ru-RU"/>
        </w:rPr>
      </w:pPr>
    </w:p>
    <w:p w14:paraId="7F64D4A9" w14:textId="6CB47C94" w:rsidR="00E05A5D" w:rsidRPr="009E6200" w:rsidRDefault="00E05A5D" w:rsidP="007B46F5">
      <w:pPr>
        <w:pStyle w:val="SDText"/>
        <w:ind w:firstLine="709"/>
        <w:jc w:val="both"/>
        <w:rPr>
          <w:lang w:eastAsia="ru-RU" w:bidi="ru-RU"/>
        </w:rPr>
      </w:pPr>
      <w:r w:rsidRPr="009E6200">
        <w:rPr>
          <w:lang w:eastAsia="ru-RU" w:bidi="ru-RU"/>
        </w:rPr>
        <w:t>При изучении применения препарата Авастин</w:t>
      </w:r>
      <w:r w:rsidRPr="009E6200">
        <w:rPr>
          <w:vertAlign w:val="superscript"/>
          <w:lang w:eastAsia="ru-RU" w:bidi="ru-RU"/>
        </w:rPr>
        <w:t>®</w:t>
      </w:r>
      <w:r w:rsidRPr="009E6200">
        <w:rPr>
          <w:lang w:eastAsia="ru-RU" w:bidi="ru-RU"/>
        </w:rPr>
        <w:t>, за исключением пациентов, получавших препарат Авастин</w:t>
      </w:r>
      <w:r w:rsidRPr="009E6200">
        <w:rPr>
          <w:vertAlign w:val="superscript"/>
          <w:lang w:eastAsia="ru-RU" w:bidi="ru-RU"/>
        </w:rPr>
        <w:t>®</w:t>
      </w:r>
      <w:r w:rsidRPr="009E6200">
        <w:rPr>
          <w:lang w:eastAsia="ru-RU" w:bidi="ru-RU"/>
        </w:rPr>
        <w:t xml:space="preserve"> в комбинации с эрлотинибом в качестве первой линии терапии неплоскоклеточного немелкоклеточного рака легкого с активирующими мутациями в гене </w:t>
      </w:r>
      <w:r w:rsidRPr="009E6200">
        <w:rPr>
          <w:lang w:eastAsia="ru-RU" w:bidi="en-US"/>
        </w:rPr>
        <w:t xml:space="preserve">EGFR, </w:t>
      </w:r>
      <w:r w:rsidRPr="009E6200">
        <w:rPr>
          <w:lang w:eastAsia="ru-RU" w:bidi="ru-RU"/>
        </w:rPr>
        <w:t>общая частота возникновения артериальной гипертензии всех степеней тяжести варьировалась (до 42</w:t>
      </w:r>
      <w:r w:rsidR="001D23B0">
        <w:rPr>
          <w:lang w:eastAsia="ru-RU" w:bidi="ru-RU"/>
        </w:rPr>
        <w:t>,</w:t>
      </w:r>
      <w:r w:rsidRPr="009E6200">
        <w:rPr>
          <w:lang w:eastAsia="ru-RU" w:bidi="ru-RU"/>
        </w:rPr>
        <w:t xml:space="preserve">1%). Общая частота артериальной гипертензии 3-4 степени тяжести по классификации </w:t>
      </w:r>
      <w:r w:rsidRPr="009E6200">
        <w:rPr>
          <w:lang w:eastAsia="ru-RU" w:bidi="en-US"/>
        </w:rPr>
        <w:t xml:space="preserve">NCI-CTC </w:t>
      </w:r>
      <w:r w:rsidRPr="009E6200">
        <w:rPr>
          <w:lang w:eastAsia="ru-RU" w:bidi="ru-RU"/>
        </w:rPr>
        <w:t>составила 0</w:t>
      </w:r>
      <w:r w:rsidR="001D23B0">
        <w:rPr>
          <w:lang w:eastAsia="ru-RU" w:bidi="ru-RU"/>
        </w:rPr>
        <w:t>,</w:t>
      </w:r>
      <w:r w:rsidRPr="009E6200">
        <w:rPr>
          <w:lang w:eastAsia="ru-RU" w:bidi="ru-RU"/>
        </w:rPr>
        <w:t>4%-17</w:t>
      </w:r>
      <w:r w:rsidR="001D23B0">
        <w:rPr>
          <w:lang w:eastAsia="ru-RU" w:bidi="ru-RU"/>
        </w:rPr>
        <w:t>,</w:t>
      </w:r>
      <w:r w:rsidRPr="009E6200">
        <w:rPr>
          <w:lang w:eastAsia="ru-RU" w:bidi="ru-RU"/>
        </w:rPr>
        <w:t>9%; 4 степени тяжести (гипертонический криз) наблюдалась у 1% пациентов.</w:t>
      </w:r>
    </w:p>
    <w:p w14:paraId="5A3F4E9B" w14:textId="6619B64B" w:rsidR="00E05A5D" w:rsidRPr="009E6200" w:rsidRDefault="00E05A5D" w:rsidP="007B46F5">
      <w:pPr>
        <w:pStyle w:val="SDText"/>
        <w:ind w:firstLine="709"/>
        <w:jc w:val="both"/>
        <w:rPr>
          <w:lang w:eastAsia="ru-RU" w:bidi="ru-RU"/>
        </w:rPr>
      </w:pPr>
      <w:r w:rsidRPr="009E6200">
        <w:rPr>
          <w:lang w:eastAsia="ru-RU" w:bidi="ru-RU"/>
        </w:rPr>
        <w:t xml:space="preserve">У пациентов, получавших бевацизумаб в комбинации с эрлотинибом в качестве первой линии терапии неплоскоклеточного немелкоклеточного рака легкого с активирующими мутациями в гене </w:t>
      </w:r>
      <w:r w:rsidRPr="009E6200">
        <w:rPr>
          <w:lang w:eastAsia="ru-RU" w:bidi="en-US"/>
        </w:rPr>
        <w:t xml:space="preserve">EGFR, </w:t>
      </w:r>
      <w:r w:rsidRPr="009E6200">
        <w:rPr>
          <w:lang w:eastAsia="ru-RU" w:bidi="ru-RU"/>
        </w:rPr>
        <w:t>артериальная гипертензия всех степеней тяжести наблюдалась с частотой 77</w:t>
      </w:r>
      <w:r w:rsidR="001D23B0">
        <w:rPr>
          <w:lang w:eastAsia="ru-RU" w:bidi="ru-RU"/>
        </w:rPr>
        <w:t>,</w:t>
      </w:r>
      <w:r w:rsidRPr="009E6200">
        <w:rPr>
          <w:lang w:eastAsia="ru-RU" w:bidi="ru-RU"/>
        </w:rPr>
        <w:t>3%; артериальная гипертензия 3-й степени тяжести наблюдалась у 60</w:t>
      </w:r>
      <w:r w:rsidR="001D23B0">
        <w:rPr>
          <w:lang w:eastAsia="ru-RU" w:bidi="ru-RU"/>
        </w:rPr>
        <w:t>,</w:t>
      </w:r>
      <w:r w:rsidRPr="009E6200">
        <w:rPr>
          <w:lang w:eastAsia="ru-RU" w:bidi="ru-RU"/>
        </w:rPr>
        <w:t>0% пациентов; явлений артериальной гипертензии 4-й или 5-й степени тяжести отмечено не было.</w:t>
      </w:r>
    </w:p>
    <w:p w14:paraId="49B769D9" w14:textId="77777777" w:rsidR="00E05A5D" w:rsidRPr="009E6200" w:rsidRDefault="00E05A5D" w:rsidP="007B46F5">
      <w:pPr>
        <w:pStyle w:val="SDText"/>
        <w:ind w:firstLine="709"/>
        <w:jc w:val="both"/>
        <w:rPr>
          <w:lang w:eastAsia="ru-RU" w:bidi="ru-RU"/>
        </w:rPr>
      </w:pPr>
      <w:r w:rsidRPr="009E6200">
        <w:rPr>
          <w:lang w:eastAsia="ru-RU" w:bidi="ru-RU"/>
        </w:rPr>
        <w:t>Клинические данные по безопасности позволяют предположить, что частота случаев повышения артериального давления (АД), вероятно, зависит от дозы бевацизумаба.</w:t>
      </w:r>
    </w:p>
    <w:p w14:paraId="1C6485FF" w14:textId="77777777" w:rsidR="00E05A5D" w:rsidRPr="009E6200" w:rsidRDefault="00E05A5D" w:rsidP="007B46F5">
      <w:pPr>
        <w:pStyle w:val="SDText"/>
        <w:jc w:val="both"/>
        <w:rPr>
          <w:lang w:eastAsia="ru-RU" w:bidi="ru-RU"/>
        </w:rPr>
      </w:pPr>
      <w:r w:rsidRPr="009E6200">
        <w:rPr>
          <w:lang w:eastAsia="ru-RU" w:bidi="ru-RU"/>
        </w:rPr>
        <w:t>Препарат Авастин</w:t>
      </w:r>
      <w:r w:rsidRPr="009E6200">
        <w:rPr>
          <w:vertAlign w:val="superscript"/>
          <w:lang w:eastAsia="ru-RU" w:bidi="ru-RU"/>
        </w:rPr>
        <w:t>®</w:t>
      </w:r>
      <w:r w:rsidRPr="009E6200">
        <w:rPr>
          <w:lang w:eastAsia="ru-RU" w:bidi="ru-RU"/>
        </w:rPr>
        <w:t xml:space="preserve"> может быть назначен только больным с предварительно компенсированной артериальной гипертензией с дальнейшим контролем АД. Информация о влиянии препарата Авастин </w:t>
      </w:r>
      <w:r w:rsidRPr="009E6200">
        <w:rPr>
          <w:vertAlign w:val="superscript"/>
          <w:lang w:eastAsia="ru-RU" w:bidi="ru-RU"/>
        </w:rPr>
        <w:t>®</w:t>
      </w:r>
      <w:r w:rsidRPr="009E6200">
        <w:rPr>
          <w:lang w:eastAsia="ru-RU" w:bidi="ru-RU"/>
        </w:rPr>
        <w:t xml:space="preserve"> у пациентов с неконтролируемой артериальной гипертензией на момент начала терапии отсутствует. У пациентов с артериальной гипертензией, требующей лекарственной терапии, рекомендуется временно прекратить терапию препаратом Авастин</w:t>
      </w:r>
      <w:r w:rsidRPr="009E6200">
        <w:rPr>
          <w:vertAlign w:val="superscript"/>
          <w:lang w:eastAsia="ru-RU" w:bidi="ru-RU"/>
        </w:rPr>
        <w:t>®</w:t>
      </w:r>
      <w:r w:rsidRPr="009E6200">
        <w:rPr>
          <w:lang w:eastAsia="ru-RU" w:bidi="ru-RU"/>
        </w:rPr>
        <w:t xml:space="preserve"> до достижения нормализации АД.</w:t>
      </w:r>
    </w:p>
    <w:p w14:paraId="57754B25" w14:textId="77777777" w:rsidR="00E05A5D" w:rsidRPr="009E6200" w:rsidRDefault="00E05A5D" w:rsidP="007B46F5">
      <w:pPr>
        <w:pStyle w:val="SDText"/>
        <w:ind w:firstLine="709"/>
        <w:jc w:val="both"/>
        <w:rPr>
          <w:lang w:eastAsia="ru-RU" w:bidi="ru-RU"/>
        </w:rPr>
      </w:pPr>
      <w:r w:rsidRPr="009E6200">
        <w:rPr>
          <w:lang w:eastAsia="ru-RU" w:bidi="ru-RU"/>
        </w:rPr>
        <w:t>В большинстве случаев нормализация АД достигается с помощью стандартных антигипертензивных средств (ингибиторов ангиотензинпревращающего фермента (АПФ), диуретиков и блокаторов «медленных» кальциевых каналов), подобранных индивидуально для каждого больного. Отмена терапии препаратом Авастин</w:t>
      </w:r>
      <w:r w:rsidRPr="009E6200">
        <w:rPr>
          <w:vertAlign w:val="superscript"/>
          <w:lang w:eastAsia="ru-RU" w:bidi="ru-RU"/>
        </w:rPr>
        <w:t>®</w:t>
      </w:r>
      <w:r w:rsidRPr="009E6200">
        <w:rPr>
          <w:lang w:eastAsia="ru-RU" w:bidi="ru-RU"/>
        </w:rPr>
        <w:t xml:space="preserve"> или госпитализация требовались редко.</w:t>
      </w:r>
    </w:p>
    <w:p w14:paraId="49D0BD88" w14:textId="77777777" w:rsidR="00E05A5D" w:rsidRPr="009E6200" w:rsidRDefault="00E05A5D" w:rsidP="007B46F5">
      <w:pPr>
        <w:pStyle w:val="SDText"/>
        <w:ind w:firstLine="709"/>
        <w:jc w:val="both"/>
        <w:rPr>
          <w:lang w:eastAsia="ru-RU" w:bidi="ru-RU"/>
        </w:rPr>
      </w:pPr>
      <w:r w:rsidRPr="009E6200">
        <w:rPr>
          <w:lang w:eastAsia="ru-RU" w:bidi="ru-RU"/>
        </w:rPr>
        <w:t>Очень редко наблюдались случаи гипертензивной энцефалопатии, некоторые с летальным исходом. Риск возникновения артериальной гипертензии, ассоциированной с терапией препаратом Авастин</w:t>
      </w:r>
      <w:r w:rsidRPr="009E6200">
        <w:rPr>
          <w:vertAlign w:val="superscript"/>
          <w:lang w:eastAsia="ru-RU" w:bidi="ru-RU"/>
        </w:rPr>
        <w:t>®</w:t>
      </w:r>
      <w:r w:rsidRPr="009E6200">
        <w:rPr>
          <w:lang w:eastAsia="ru-RU" w:bidi="ru-RU"/>
        </w:rPr>
        <w:t>, не коррелирует с исходными характеристиками больного, сопутствующим заболеванием или сопутствующей терапией.</w:t>
      </w:r>
    </w:p>
    <w:p w14:paraId="6803E43E" w14:textId="77777777" w:rsidR="00E05A5D" w:rsidRPr="009E6200" w:rsidRDefault="00E05A5D" w:rsidP="007B46F5">
      <w:pPr>
        <w:pStyle w:val="SDText"/>
        <w:ind w:firstLine="709"/>
        <w:jc w:val="both"/>
        <w:rPr>
          <w:lang w:eastAsia="ru-RU" w:bidi="ru-RU"/>
        </w:rPr>
      </w:pPr>
      <w:r w:rsidRPr="009E6200">
        <w:rPr>
          <w:lang w:eastAsia="ru-RU" w:bidi="ru-RU"/>
        </w:rPr>
        <w:t>Терапию препаратом Авастин</w:t>
      </w:r>
      <w:r w:rsidRPr="009E6200">
        <w:rPr>
          <w:vertAlign w:val="superscript"/>
          <w:lang w:eastAsia="ru-RU" w:bidi="ru-RU"/>
        </w:rPr>
        <w:t>®</w:t>
      </w:r>
      <w:r w:rsidRPr="009E6200">
        <w:rPr>
          <w:lang w:eastAsia="ru-RU" w:bidi="ru-RU"/>
        </w:rPr>
        <w:t xml:space="preserve"> необходимо прекратить при отсутствии нормализации АД, развитии гипертонического криза или гипертензивной энцефалопатии.</w:t>
      </w:r>
    </w:p>
    <w:p w14:paraId="29AF84A0" w14:textId="77777777" w:rsidR="00577BCF" w:rsidRDefault="00577BCF" w:rsidP="007B46F5">
      <w:pPr>
        <w:pStyle w:val="SDText"/>
        <w:jc w:val="both"/>
        <w:rPr>
          <w:b/>
          <w:bCs/>
          <w:i/>
          <w:iCs/>
          <w:lang w:eastAsia="ru-RU" w:bidi="ru-RU"/>
        </w:rPr>
      </w:pPr>
    </w:p>
    <w:p w14:paraId="7858168E" w14:textId="5C75AE60" w:rsidR="00E05A5D" w:rsidRPr="009E6200" w:rsidRDefault="00E05A5D" w:rsidP="007B46F5">
      <w:pPr>
        <w:pStyle w:val="SDText"/>
        <w:jc w:val="both"/>
        <w:rPr>
          <w:lang w:eastAsia="ru-RU" w:bidi="ru-RU"/>
        </w:rPr>
      </w:pPr>
      <w:r w:rsidRPr="009E6200">
        <w:rPr>
          <w:b/>
          <w:bCs/>
          <w:i/>
          <w:iCs/>
          <w:lang w:eastAsia="ru-RU" w:bidi="ru-RU"/>
        </w:rPr>
        <w:t>Синдром задней обратимой энцефалопатии</w:t>
      </w:r>
    </w:p>
    <w:p w14:paraId="1E4F7D95" w14:textId="77777777" w:rsidR="00577BCF" w:rsidRDefault="00577BCF" w:rsidP="007B46F5">
      <w:pPr>
        <w:pStyle w:val="SDText"/>
        <w:jc w:val="both"/>
        <w:rPr>
          <w:lang w:eastAsia="ru-RU" w:bidi="ru-RU"/>
        </w:rPr>
      </w:pPr>
    </w:p>
    <w:p w14:paraId="66664556" w14:textId="612D34CD" w:rsidR="00E05A5D" w:rsidRPr="009E6200" w:rsidRDefault="00E05A5D" w:rsidP="007B46F5">
      <w:pPr>
        <w:pStyle w:val="SDText"/>
        <w:ind w:firstLine="709"/>
        <w:jc w:val="both"/>
        <w:rPr>
          <w:lang w:eastAsia="ru-RU" w:bidi="ru-RU"/>
        </w:rPr>
      </w:pPr>
      <w:r w:rsidRPr="009E6200">
        <w:rPr>
          <w:lang w:eastAsia="ru-RU" w:bidi="ru-RU"/>
        </w:rPr>
        <w:t>При терапии препаратом Авастин</w:t>
      </w:r>
      <w:r w:rsidRPr="009E6200">
        <w:rPr>
          <w:vertAlign w:val="superscript"/>
          <w:lang w:eastAsia="ru-RU" w:bidi="ru-RU"/>
        </w:rPr>
        <w:t>®</w:t>
      </w:r>
      <w:r w:rsidRPr="009E6200">
        <w:rPr>
          <w:lang w:eastAsia="ru-RU" w:bidi="ru-RU"/>
        </w:rPr>
        <w:t xml:space="preserve"> зарегистрированы редкие случаи синдрома задней обратимой энцефалопатии, проявляющегося эпилептическим припадком, головной болью, психическими нарушениями, нарушением зрения, поражением зрительных центров коры головного мозга, с или без артериальной гипертензии и другими симптомами. Диагноз можно подтвердить с помощью методов визуализации головного мозга (предпочтительно с помощью магнитно-резонансной томографии (МРТ)). В случае развития синдрома задней обратимой энцефалопатии следует назначить симптоматическую терапию, тщательно контролировать АД и отменить препарат Авастин</w:t>
      </w:r>
      <w:r w:rsidRPr="009E6200">
        <w:rPr>
          <w:vertAlign w:val="superscript"/>
          <w:lang w:eastAsia="ru-RU" w:bidi="ru-RU"/>
        </w:rPr>
        <w:t>®</w:t>
      </w:r>
      <w:r w:rsidRPr="009E6200">
        <w:rPr>
          <w:lang w:eastAsia="ru-RU" w:bidi="ru-RU"/>
        </w:rPr>
        <w:t>. Обычно разрешение или улучшение симптоматики наступает через несколько дней, однако у некоторых пациентов наблюдались неврологические осложнения. Безопасность повторного назначения препарата Авастин</w:t>
      </w:r>
      <w:r w:rsidRPr="009E6200">
        <w:rPr>
          <w:vertAlign w:val="superscript"/>
          <w:lang w:eastAsia="ru-RU" w:bidi="ru-RU"/>
        </w:rPr>
        <w:t>®</w:t>
      </w:r>
      <w:r w:rsidRPr="009E6200">
        <w:rPr>
          <w:lang w:eastAsia="ru-RU" w:bidi="ru-RU"/>
        </w:rPr>
        <w:t xml:space="preserve"> у таких пациентов не установлена.</w:t>
      </w:r>
    </w:p>
    <w:p w14:paraId="12E9CF5A" w14:textId="77777777" w:rsidR="00577BCF" w:rsidRDefault="00577BCF" w:rsidP="007B46F5">
      <w:pPr>
        <w:pStyle w:val="SDText"/>
        <w:jc w:val="both"/>
        <w:rPr>
          <w:b/>
          <w:bCs/>
          <w:i/>
          <w:iCs/>
          <w:lang w:eastAsia="ru-RU" w:bidi="ru-RU"/>
        </w:rPr>
      </w:pPr>
    </w:p>
    <w:p w14:paraId="7C7EE8E7" w14:textId="11DAD353" w:rsidR="00E05A5D" w:rsidRPr="009E6200" w:rsidRDefault="00E05A5D" w:rsidP="007B46F5">
      <w:pPr>
        <w:pStyle w:val="SDText"/>
        <w:jc w:val="both"/>
        <w:rPr>
          <w:lang w:eastAsia="ru-RU" w:bidi="ru-RU"/>
        </w:rPr>
      </w:pPr>
      <w:r w:rsidRPr="009E6200">
        <w:rPr>
          <w:b/>
          <w:bCs/>
          <w:i/>
          <w:iCs/>
          <w:lang w:eastAsia="ru-RU" w:bidi="ru-RU"/>
        </w:rPr>
        <w:t>Артериальная тромбоэмболия</w:t>
      </w:r>
    </w:p>
    <w:p w14:paraId="30D61DE5" w14:textId="77777777" w:rsidR="00577BCF" w:rsidRDefault="00577BCF" w:rsidP="007B46F5">
      <w:pPr>
        <w:pStyle w:val="SDText"/>
        <w:jc w:val="both"/>
        <w:rPr>
          <w:lang w:eastAsia="ru-RU" w:bidi="ru-RU"/>
        </w:rPr>
      </w:pPr>
    </w:p>
    <w:p w14:paraId="2BB9DF01" w14:textId="3B89CEFA" w:rsidR="00E05A5D" w:rsidRPr="009E6200" w:rsidRDefault="00E05A5D" w:rsidP="007B46F5">
      <w:pPr>
        <w:pStyle w:val="SDText"/>
        <w:ind w:firstLine="709"/>
        <w:jc w:val="both"/>
        <w:rPr>
          <w:lang w:eastAsia="ru-RU" w:bidi="ru-RU"/>
        </w:rPr>
      </w:pPr>
      <w:r w:rsidRPr="009E6200">
        <w:rPr>
          <w:lang w:eastAsia="ru-RU" w:bidi="ru-RU"/>
        </w:rPr>
        <w:t>При терапии препаратом Авастин</w:t>
      </w:r>
      <w:r w:rsidRPr="009E6200">
        <w:rPr>
          <w:vertAlign w:val="superscript"/>
          <w:lang w:eastAsia="ru-RU" w:bidi="ru-RU"/>
        </w:rPr>
        <w:t>®</w:t>
      </w:r>
      <w:r w:rsidRPr="009E6200">
        <w:rPr>
          <w:lang w:eastAsia="ru-RU" w:bidi="ru-RU"/>
        </w:rPr>
        <w:t xml:space="preserve"> в комбинации с химиотерапией частота артериальной тромбоэмболии, включая инсульт, транзиторную ишемическую атаку и инфаркт миокарда и другие явления артериальной тромбоэмболии была выше, чем при назначении только химиотерапии. Общая частота возникновения случаев артериальной тромбоэмболии составила 5</w:t>
      </w:r>
      <w:r w:rsidR="001D23B0">
        <w:rPr>
          <w:lang w:eastAsia="ru-RU" w:bidi="ru-RU"/>
        </w:rPr>
        <w:t>,</w:t>
      </w:r>
      <w:r w:rsidRPr="009E6200">
        <w:rPr>
          <w:lang w:eastAsia="ru-RU" w:bidi="ru-RU"/>
        </w:rPr>
        <w:t>9% (0</w:t>
      </w:r>
      <w:r w:rsidR="001D23B0">
        <w:rPr>
          <w:lang w:eastAsia="ru-RU" w:bidi="ru-RU"/>
        </w:rPr>
        <w:t>,</w:t>
      </w:r>
      <w:r w:rsidRPr="009E6200">
        <w:rPr>
          <w:lang w:eastAsia="ru-RU" w:bidi="ru-RU"/>
        </w:rPr>
        <w:t>8% с летальным исходом).</w:t>
      </w:r>
    </w:p>
    <w:p w14:paraId="14ACF139" w14:textId="77777777" w:rsidR="00E05A5D" w:rsidRPr="009E6200" w:rsidRDefault="00E05A5D" w:rsidP="007B46F5">
      <w:pPr>
        <w:pStyle w:val="SDText"/>
        <w:ind w:firstLine="709"/>
        <w:jc w:val="both"/>
        <w:rPr>
          <w:lang w:eastAsia="ru-RU" w:bidi="ru-RU"/>
        </w:rPr>
      </w:pPr>
      <w:r w:rsidRPr="009E6200">
        <w:rPr>
          <w:lang w:eastAsia="ru-RU" w:bidi="ru-RU"/>
        </w:rPr>
        <w:t>При возникновении артериальной тромбоэмболии терапию препаратом Авастин</w:t>
      </w:r>
      <w:r w:rsidRPr="009E6200">
        <w:rPr>
          <w:vertAlign w:val="superscript"/>
          <w:lang w:eastAsia="ru-RU" w:bidi="ru-RU"/>
        </w:rPr>
        <w:t xml:space="preserve">® </w:t>
      </w:r>
      <w:r w:rsidRPr="009E6200">
        <w:rPr>
          <w:lang w:eastAsia="ru-RU" w:bidi="ru-RU"/>
        </w:rPr>
        <w:t>необходимо прекратить. Артериальная тромбоэмболия в анамнезе, сахарный диабет или возраст старше 65 лет ассоциируются с повышенным риском возникновения артериальной тромбоэмболии во время лечения препаратом Авастин</w:t>
      </w:r>
      <w:r w:rsidRPr="009E6200">
        <w:rPr>
          <w:vertAlign w:val="superscript"/>
          <w:lang w:eastAsia="ru-RU" w:bidi="ru-RU"/>
        </w:rPr>
        <w:t>®</w:t>
      </w:r>
      <w:r w:rsidRPr="009E6200">
        <w:rPr>
          <w:lang w:eastAsia="ru-RU" w:bidi="ru-RU"/>
        </w:rPr>
        <w:t>. При лечении таких пациентов необходимо проявлять осторожность.</w:t>
      </w:r>
    </w:p>
    <w:p w14:paraId="451AD719" w14:textId="77777777" w:rsidR="00577BCF" w:rsidRDefault="00577BCF" w:rsidP="007B46F5">
      <w:pPr>
        <w:pStyle w:val="SDText"/>
        <w:jc w:val="both"/>
        <w:rPr>
          <w:b/>
          <w:bCs/>
          <w:i/>
          <w:iCs/>
          <w:lang w:eastAsia="ru-RU" w:bidi="ru-RU"/>
        </w:rPr>
      </w:pPr>
    </w:p>
    <w:p w14:paraId="49AED29A" w14:textId="3671C18C" w:rsidR="00E05A5D" w:rsidRPr="009E6200" w:rsidRDefault="00E05A5D" w:rsidP="007B46F5">
      <w:pPr>
        <w:pStyle w:val="SDText"/>
        <w:jc w:val="both"/>
        <w:rPr>
          <w:lang w:eastAsia="ru-RU" w:bidi="ru-RU"/>
        </w:rPr>
      </w:pPr>
      <w:r w:rsidRPr="009E6200">
        <w:rPr>
          <w:b/>
          <w:bCs/>
          <w:i/>
          <w:iCs/>
          <w:lang w:eastAsia="ru-RU" w:bidi="ru-RU"/>
        </w:rPr>
        <w:t>Венозная тромбоэмболия</w:t>
      </w:r>
    </w:p>
    <w:p w14:paraId="5FC948B6" w14:textId="77777777" w:rsidR="00577BCF" w:rsidRDefault="00577BCF" w:rsidP="007B46F5">
      <w:pPr>
        <w:pStyle w:val="SDText"/>
        <w:jc w:val="both"/>
        <w:rPr>
          <w:lang w:eastAsia="ru-RU" w:bidi="ru-RU"/>
        </w:rPr>
      </w:pPr>
    </w:p>
    <w:p w14:paraId="52D22EF1" w14:textId="79196F21" w:rsidR="00E05A5D" w:rsidRPr="009E6200" w:rsidRDefault="00E05A5D" w:rsidP="007B46F5">
      <w:pPr>
        <w:pStyle w:val="SDText"/>
        <w:ind w:firstLine="709"/>
        <w:jc w:val="both"/>
        <w:rPr>
          <w:lang w:eastAsia="ru-RU" w:bidi="ru-RU"/>
        </w:rPr>
      </w:pPr>
      <w:r w:rsidRPr="009E6200">
        <w:rPr>
          <w:lang w:eastAsia="ru-RU" w:bidi="ru-RU"/>
        </w:rPr>
        <w:t>Во время лечения препаратом Авастин</w:t>
      </w:r>
      <w:r w:rsidRPr="009E6200">
        <w:rPr>
          <w:vertAlign w:val="superscript"/>
          <w:lang w:eastAsia="ru-RU" w:bidi="ru-RU"/>
        </w:rPr>
        <w:t>®</w:t>
      </w:r>
      <w:r w:rsidRPr="009E6200">
        <w:rPr>
          <w:lang w:eastAsia="ru-RU" w:bidi="ru-RU"/>
        </w:rPr>
        <w:t xml:space="preserve"> имеется повышенный риск развития венозной тромбоэмболии (ТЭЛА, тромбоз глубоких вен, тромбофлебит). Общая частота возникновения венозной тромбоэмболии (тромбоз глубоких вен и ТЭЛА) варьирует от 2</w:t>
      </w:r>
      <w:r w:rsidR="001D23B0">
        <w:rPr>
          <w:lang w:eastAsia="ru-RU" w:bidi="ru-RU"/>
        </w:rPr>
        <w:t>,</w:t>
      </w:r>
      <w:r w:rsidRPr="009E6200">
        <w:rPr>
          <w:lang w:eastAsia="ru-RU" w:bidi="ru-RU"/>
        </w:rPr>
        <w:t>8% до 17</w:t>
      </w:r>
      <w:r w:rsidR="001D23B0">
        <w:rPr>
          <w:lang w:eastAsia="ru-RU" w:bidi="ru-RU"/>
        </w:rPr>
        <w:t>,</w:t>
      </w:r>
      <w:r w:rsidRPr="009E6200">
        <w:rPr>
          <w:lang w:eastAsia="ru-RU" w:bidi="ru-RU"/>
        </w:rPr>
        <w:t>3%.</w:t>
      </w:r>
    </w:p>
    <w:p w14:paraId="645FBAF3" w14:textId="2232E2B0" w:rsidR="00E05A5D" w:rsidRPr="009E6200" w:rsidRDefault="00E05A5D" w:rsidP="007B46F5">
      <w:pPr>
        <w:pStyle w:val="SDText"/>
        <w:ind w:firstLine="709"/>
        <w:jc w:val="both"/>
        <w:rPr>
          <w:lang w:eastAsia="ru-RU" w:bidi="ru-RU"/>
        </w:rPr>
      </w:pPr>
      <w:r w:rsidRPr="009E6200">
        <w:rPr>
          <w:lang w:eastAsia="ru-RU" w:bidi="ru-RU"/>
        </w:rPr>
        <w:t>Явления венозной тромбоэмболии 3-5 степени тяжести сообщались у 7</w:t>
      </w:r>
      <w:r w:rsidR="001D23B0">
        <w:rPr>
          <w:lang w:eastAsia="ru-RU" w:bidi="ru-RU"/>
        </w:rPr>
        <w:t>,</w:t>
      </w:r>
      <w:r w:rsidRPr="009E6200">
        <w:rPr>
          <w:lang w:eastAsia="ru-RU" w:bidi="ru-RU"/>
        </w:rPr>
        <w:t>8% пациентов, получавших бевацизумаб в комбинации с химиотерапией. У пациентов, перенесших явление венозной тромбоэмболии и получающих терапию препаратом Авастин</w:t>
      </w:r>
      <w:r w:rsidRPr="009E6200">
        <w:rPr>
          <w:vertAlign w:val="superscript"/>
          <w:lang w:eastAsia="ru-RU" w:bidi="ru-RU"/>
        </w:rPr>
        <w:t>®</w:t>
      </w:r>
      <w:r w:rsidRPr="009E6200">
        <w:rPr>
          <w:lang w:eastAsia="ru-RU" w:bidi="ru-RU"/>
        </w:rPr>
        <w:t xml:space="preserve"> и химиотерапию, имеется повышенный риск рецидива венозной тромбоэмболии. Пациенты, получавшие препарат Авастин</w:t>
      </w:r>
      <w:r w:rsidRPr="009E6200">
        <w:rPr>
          <w:vertAlign w:val="superscript"/>
          <w:lang w:eastAsia="ru-RU" w:bidi="ru-RU"/>
        </w:rPr>
        <w:t>®</w:t>
      </w:r>
      <w:r w:rsidRPr="009E6200">
        <w:rPr>
          <w:lang w:eastAsia="ru-RU" w:bidi="ru-RU"/>
        </w:rPr>
        <w:t xml:space="preserve"> для лечения персистирующего, рецидивирующего или метастатического рака шейки матки, имеют повышенный риск возникновения явлений венозной тромбоэмболии. Явления 3-5 степени тяжести наблюдались у 10</w:t>
      </w:r>
      <w:r w:rsidR="001D23B0">
        <w:rPr>
          <w:lang w:eastAsia="ru-RU" w:bidi="ru-RU"/>
        </w:rPr>
        <w:t>,</w:t>
      </w:r>
      <w:r w:rsidRPr="009E6200">
        <w:rPr>
          <w:lang w:eastAsia="ru-RU" w:bidi="ru-RU"/>
        </w:rPr>
        <w:t>6% таких пациентов.</w:t>
      </w:r>
    </w:p>
    <w:p w14:paraId="4793EF98" w14:textId="2984534D" w:rsidR="00E05A5D" w:rsidRPr="009E6200" w:rsidRDefault="00E05A5D" w:rsidP="007B46F5">
      <w:pPr>
        <w:pStyle w:val="SDText"/>
        <w:ind w:firstLine="709"/>
        <w:jc w:val="both"/>
        <w:rPr>
          <w:lang w:eastAsia="ru-RU" w:bidi="ru-RU"/>
        </w:rPr>
      </w:pPr>
      <w:r w:rsidRPr="009E6200">
        <w:rPr>
          <w:lang w:eastAsia="ru-RU" w:bidi="ru-RU"/>
        </w:rPr>
        <w:t>Явления венозной тромбоэмболии 3-5 степени тяжести сообщались у 7</w:t>
      </w:r>
      <w:r w:rsidR="001D23B0">
        <w:rPr>
          <w:lang w:eastAsia="ru-RU" w:bidi="ru-RU"/>
        </w:rPr>
        <w:t>,</w:t>
      </w:r>
      <w:r w:rsidRPr="009E6200">
        <w:rPr>
          <w:lang w:eastAsia="ru-RU" w:bidi="ru-RU"/>
        </w:rPr>
        <w:t>6% пациентов с впервые диагностированной глиобластомой, получавших бевацизумаб в комбинации с химиотерапией и лучевой терапией, по сравнению с 8.0% пациентов, получавших химиотерапию и лучевую терапию.</w:t>
      </w:r>
    </w:p>
    <w:p w14:paraId="115B629A" w14:textId="77777777" w:rsidR="00E05A5D" w:rsidRPr="009E6200" w:rsidRDefault="00E05A5D" w:rsidP="007B46F5">
      <w:pPr>
        <w:pStyle w:val="SDText"/>
        <w:ind w:firstLine="709"/>
        <w:jc w:val="both"/>
        <w:rPr>
          <w:lang w:eastAsia="ru-RU" w:bidi="ru-RU"/>
        </w:rPr>
      </w:pPr>
      <w:r w:rsidRPr="009E6200">
        <w:rPr>
          <w:lang w:eastAsia="ru-RU" w:bidi="ru-RU"/>
        </w:rPr>
        <w:t>Терапию препаратом Авастин</w:t>
      </w:r>
      <w:r w:rsidRPr="009E6200">
        <w:rPr>
          <w:vertAlign w:val="superscript"/>
          <w:lang w:eastAsia="ru-RU" w:bidi="ru-RU"/>
        </w:rPr>
        <w:t>®</w:t>
      </w:r>
      <w:r w:rsidRPr="009E6200">
        <w:rPr>
          <w:lang w:eastAsia="ru-RU" w:bidi="ru-RU"/>
        </w:rPr>
        <w:t xml:space="preserve"> необходимо прекратить при возникновении жизнеугрожающего явления (4 степень тяжести) венозной тромбоэмболии, включая ТЭЛА, а при степени тяжести венозной тромбоэмболии &lt;3 следует проводить тщательный мониторинг за состоянием пациента.</w:t>
      </w:r>
    </w:p>
    <w:p w14:paraId="714EF728" w14:textId="77777777" w:rsidR="00577BCF" w:rsidRDefault="00577BCF" w:rsidP="007B46F5">
      <w:pPr>
        <w:pStyle w:val="SDText"/>
        <w:jc w:val="both"/>
        <w:rPr>
          <w:b/>
          <w:bCs/>
          <w:i/>
          <w:iCs/>
          <w:lang w:eastAsia="ru-RU" w:bidi="ru-RU"/>
        </w:rPr>
      </w:pPr>
    </w:p>
    <w:p w14:paraId="79E27340" w14:textId="1526170C" w:rsidR="00E05A5D" w:rsidRPr="009E6200" w:rsidRDefault="00E05A5D" w:rsidP="007B46F5">
      <w:pPr>
        <w:pStyle w:val="SDText"/>
        <w:jc w:val="both"/>
        <w:rPr>
          <w:lang w:eastAsia="ru-RU" w:bidi="ru-RU"/>
        </w:rPr>
      </w:pPr>
      <w:r w:rsidRPr="009E6200">
        <w:rPr>
          <w:b/>
          <w:bCs/>
          <w:i/>
          <w:iCs/>
          <w:lang w:eastAsia="ru-RU" w:bidi="ru-RU"/>
        </w:rPr>
        <w:t>Хроническая сердечная недостаточность</w:t>
      </w:r>
    </w:p>
    <w:p w14:paraId="69047F9D" w14:textId="77777777" w:rsidR="00577BCF" w:rsidRDefault="00577BCF" w:rsidP="007B46F5">
      <w:pPr>
        <w:pStyle w:val="SDText"/>
        <w:jc w:val="both"/>
        <w:rPr>
          <w:lang w:eastAsia="ru-RU" w:bidi="ru-RU"/>
        </w:rPr>
      </w:pPr>
    </w:p>
    <w:p w14:paraId="7F6C5F20" w14:textId="552E3718" w:rsidR="00E05A5D" w:rsidRPr="009E6200" w:rsidRDefault="00E05A5D" w:rsidP="007B46F5">
      <w:pPr>
        <w:pStyle w:val="SDText"/>
        <w:ind w:firstLine="709"/>
        <w:jc w:val="both"/>
        <w:rPr>
          <w:lang w:eastAsia="ru-RU" w:bidi="ru-RU"/>
        </w:rPr>
      </w:pPr>
      <w:r w:rsidRPr="009E6200">
        <w:rPr>
          <w:lang w:eastAsia="ru-RU" w:bidi="ru-RU"/>
        </w:rPr>
        <w:t>Хроническая сердечная недостаточность (ХСН) возникала при применении препарата Авастин</w:t>
      </w:r>
      <w:r w:rsidRPr="009E6200">
        <w:rPr>
          <w:vertAlign w:val="superscript"/>
          <w:lang w:eastAsia="ru-RU" w:bidi="ru-RU"/>
        </w:rPr>
        <w:t>®</w:t>
      </w:r>
      <w:r w:rsidRPr="009E6200">
        <w:rPr>
          <w:lang w:eastAsia="ru-RU" w:bidi="ru-RU"/>
        </w:rPr>
        <w:t xml:space="preserve"> по всем показаниям, но в основном при метастатическом раке молочной железы.</w:t>
      </w:r>
    </w:p>
    <w:p w14:paraId="7B8A38A5" w14:textId="77777777" w:rsidR="00E05A5D" w:rsidRPr="009E6200" w:rsidRDefault="00E05A5D" w:rsidP="007B46F5">
      <w:pPr>
        <w:pStyle w:val="SDText"/>
        <w:ind w:firstLine="709"/>
        <w:jc w:val="both"/>
        <w:rPr>
          <w:lang w:eastAsia="ru-RU" w:bidi="ru-RU"/>
        </w:rPr>
      </w:pPr>
      <w:r w:rsidRPr="009E6200">
        <w:rPr>
          <w:lang w:eastAsia="ru-RU" w:bidi="ru-RU"/>
        </w:rPr>
        <w:t>Наблюдались как бессимптомное снижение фракции выброса левого желудочка, так и ХСН, потребовавшая терапии или госпитализации.</w:t>
      </w:r>
    </w:p>
    <w:p w14:paraId="00AC130C" w14:textId="44E739BB" w:rsidR="00E05A5D" w:rsidRPr="009E6200" w:rsidRDefault="00E05A5D" w:rsidP="007B46F5">
      <w:pPr>
        <w:pStyle w:val="SDText"/>
        <w:ind w:firstLine="709"/>
        <w:jc w:val="both"/>
        <w:rPr>
          <w:lang w:eastAsia="ru-RU" w:bidi="ru-RU"/>
        </w:rPr>
      </w:pPr>
      <w:r w:rsidRPr="009E6200">
        <w:rPr>
          <w:lang w:eastAsia="ru-RU" w:bidi="ru-RU"/>
        </w:rPr>
        <w:t>ХСН 3 степени тяжести и выше наблюдалась у 3</w:t>
      </w:r>
      <w:r w:rsidR="001D23B0">
        <w:rPr>
          <w:lang w:eastAsia="ru-RU" w:bidi="ru-RU"/>
        </w:rPr>
        <w:t>,</w:t>
      </w:r>
      <w:r w:rsidRPr="009E6200">
        <w:rPr>
          <w:lang w:eastAsia="ru-RU" w:bidi="ru-RU"/>
        </w:rPr>
        <w:t>5% пациентов, получавших препарат Авастин</w:t>
      </w:r>
      <w:r w:rsidRPr="009E6200">
        <w:rPr>
          <w:vertAlign w:val="superscript"/>
          <w:lang w:eastAsia="ru-RU" w:bidi="ru-RU"/>
        </w:rPr>
        <w:t>®</w:t>
      </w:r>
      <w:r w:rsidRPr="009E6200">
        <w:rPr>
          <w:lang w:eastAsia="ru-RU" w:bidi="ru-RU"/>
        </w:rPr>
        <w:t>. У пациентов, получавших препарат Авастин</w:t>
      </w:r>
      <w:r w:rsidRPr="009E6200">
        <w:rPr>
          <w:vertAlign w:val="superscript"/>
          <w:lang w:eastAsia="ru-RU" w:bidi="ru-RU"/>
        </w:rPr>
        <w:t>®</w:t>
      </w:r>
      <w:r w:rsidRPr="009E6200">
        <w:rPr>
          <w:lang w:eastAsia="ru-RU" w:bidi="ru-RU"/>
        </w:rPr>
        <w:t xml:space="preserve"> в комбинации с препаратами антрациклинового ряда, частота ХСН 3 степени тяжести и выше не отличалась от имеющихся данных при терапии метастатического рака молочной железы. У большинства пациентов наблюдалось улучшение симптомов и/или фракции выброса левого желудочка при соответствующем лечении.</w:t>
      </w:r>
    </w:p>
    <w:p w14:paraId="646365A2" w14:textId="77777777" w:rsidR="00E05A5D" w:rsidRPr="009E6200" w:rsidRDefault="00E05A5D" w:rsidP="007B46F5">
      <w:pPr>
        <w:pStyle w:val="SDText"/>
        <w:ind w:firstLine="709"/>
        <w:jc w:val="both"/>
        <w:rPr>
          <w:lang w:eastAsia="ru-RU" w:bidi="ru-RU"/>
        </w:rPr>
      </w:pPr>
      <w:r w:rsidRPr="009E6200">
        <w:rPr>
          <w:lang w:eastAsia="ru-RU" w:bidi="ru-RU"/>
        </w:rPr>
        <w:t xml:space="preserve">Данные о риске развития ХСН у пациентов с ХСН </w:t>
      </w:r>
      <w:r w:rsidRPr="009E6200">
        <w:rPr>
          <w:lang w:eastAsia="ru-RU" w:bidi="en-US"/>
        </w:rPr>
        <w:t xml:space="preserve">II-IV </w:t>
      </w:r>
      <w:r w:rsidRPr="009E6200">
        <w:rPr>
          <w:lang w:eastAsia="ru-RU" w:bidi="ru-RU"/>
        </w:rPr>
        <w:t xml:space="preserve">класса по классификации Нью- Йоркской ассоциации кардиологов </w:t>
      </w:r>
      <w:r w:rsidRPr="009E6200">
        <w:rPr>
          <w:lang w:eastAsia="ru-RU" w:bidi="en-US"/>
        </w:rPr>
        <w:t xml:space="preserve">(NYHA) </w:t>
      </w:r>
      <w:r w:rsidRPr="009E6200">
        <w:rPr>
          <w:lang w:eastAsia="ru-RU" w:bidi="ru-RU"/>
        </w:rPr>
        <w:t>в анамнезе отсутствуют.</w:t>
      </w:r>
    </w:p>
    <w:p w14:paraId="543EF37C" w14:textId="77777777" w:rsidR="00E05A5D" w:rsidRPr="009E6200" w:rsidRDefault="00E05A5D" w:rsidP="007B46F5">
      <w:pPr>
        <w:pStyle w:val="SDText"/>
        <w:ind w:firstLine="709"/>
        <w:jc w:val="both"/>
        <w:rPr>
          <w:lang w:eastAsia="ru-RU" w:bidi="ru-RU"/>
        </w:rPr>
      </w:pPr>
      <w:r w:rsidRPr="009E6200">
        <w:rPr>
          <w:lang w:eastAsia="ru-RU" w:bidi="ru-RU"/>
        </w:rPr>
        <w:t>В большинстве случаев ХСН возникала у пациентов с метастатическим раком молочной железы, получавших терапию антрациклинами, лучевую терапию на область грудной клетки в анамнезе или с другими факторами риска развития ХСН.</w:t>
      </w:r>
    </w:p>
    <w:p w14:paraId="0E0FB61D" w14:textId="77777777" w:rsidR="00E05A5D" w:rsidRPr="009E6200" w:rsidRDefault="00E05A5D" w:rsidP="007B46F5">
      <w:pPr>
        <w:pStyle w:val="SDText"/>
        <w:jc w:val="both"/>
        <w:rPr>
          <w:lang w:eastAsia="ru-RU" w:bidi="ru-RU"/>
        </w:rPr>
      </w:pPr>
      <w:r w:rsidRPr="009E6200">
        <w:rPr>
          <w:lang w:eastAsia="ru-RU" w:bidi="ru-RU"/>
        </w:rPr>
        <w:t>Необходимо проявлять осторожность при назначении препарата Авастин</w:t>
      </w:r>
      <w:r w:rsidRPr="009E6200">
        <w:rPr>
          <w:vertAlign w:val="superscript"/>
          <w:lang w:eastAsia="ru-RU" w:bidi="ru-RU"/>
        </w:rPr>
        <w:t>®</w:t>
      </w:r>
      <w:r w:rsidRPr="009E6200">
        <w:rPr>
          <w:lang w:eastAsia="ru-RU" w:bidi="ru-RU"/>
        </w:rPr>
        <w:t xml:space="preserve"> пациентам с клинически значимым сердечно-сосудистым заболеванием в анамнезе, таким как ишемическая болезнь сердца или ХСН.</w:t>
      </w:r>
    </w:p>
    <w:p w14:paraId="0BCA36C1" w14:textId="77777777" w:rsidR="00E05A5D" w:rsidRPr="009E6200" w:rsidRDefault="00E05A5D" w:rsidP="007B46F5">
      <w:pPr>
        <w:pStyle w:val="SDText"/>
        <w:ind w:firstLine="709"/>
        <w:jc w:val="both"/>
        <w:rPr>
          <w:lang w:eastAsia="ru-RU" w:bidi="ru-RU"/>
        </w:rPr>
      </w:pPr>
      <w:r w:rsidRPr="009E6200">
        <w:rPr>
          <w:lang w:eastAsia="ru-RU" w:bidi="ru-RU"/>
        </w:rPr>
        <w:t>У пациентов, которые не получали терапию препаратами антрациклинового ряда ранее, при применении препарата Авастин</w:t>
      </w:r>
      <w:r w:rsidRPr="009E6200">
        <w:rPr>
          <w:vertAlign w:val="superscript"/>
          <w:lang w:eastAsia="ru-RU" w:bidi="ru-RU"/>
        </w:rPr>
        <w:t>®</w:t>
      </w:r>
      <w:r w:rsidRPr="009E6200">
        <w:rPr>
          <w:lang w:eastAsia="ru-RU" w:bidi="ru-RU"/>
        </w:rPr>
        <w:t xml:space="preserve"> и препаратов антрациклинового ряда не наблюдалось увеличения частоты ХСН любой степени тяжести по сравнению с монотерапией препаратами антрациклинового ряда. ХСН 3 степени тяжести и выше возникала несколько чаще в группе терапии препаратом Авастин</w:t>
      </w:r>
      <w:r w:rsidRPr="009E6200">
        <w:rPr>
          <w:vertAlign w:val="superscript"/>
          <w:lang w:eastAsia="ru-RU" w:bidi="ru-RU"/>
        </w:rPr>
        <w:t>®</w:t>
      </w:r>
      <w:r w:rsidRPr="009E6200">
        <w:rPr>
          <w:lang w:eastAsia="ru-RU" w:bidi="ru-RU"/>
        </w:rPr>
        <w:t xml:space="preserve"> в комбинации с химиотерапией по сравнению с только химиотерапией, что соответствует и другим данным, полученным у пациентов с метастатическим раком молочной железы и не получающих сопутствующую терапию антрациклинами.</w:t>
      </w:r>
    </w:p>
    <w:p w14:paraId="67A330C6" w14:textId="77777777" w:rsidR="00E05A5D" w:rsidRPr="009E6200" w:rsidRDefault="00E05A5D" w:rsidP="007B46F5">
      <w:pPr>
        <w:pStyle w:val="SDText"/>
        <w:ind w:firstLine="709"/>
        <w:jc w:val="both"/>
        <w:rPr>
          <w:lang w:eastAsia="ru-RU" w:bidi="ru-RU"/>
        </w:rPr>
      </w:pPr>
      <w:r w:rsidRPr="009E6200">
        <w:rPr>
          <w:lang w:eastAsia="ru-RU" w:bidi="ru-RU"/>
        </w:rPr>
        <w:t>У пациентов с диффузной В-крупноклеточной лимфомой при терапии бевацизумабом и доксорубицином в кумулятивной дозе более 300 мг/м</w:t>
      </w:r>
      <w:r w:rsidRPr="009E6200">
        <w:rPr>
          <w:vertAlign w:val="superscript"/>
          <w:lang w:eastAsia="ru-RU" w:bidi="ru-RU"/>
        </w:rPr>
        <w:t>2</w:t>
      </w:r>
      <w:r w:rsidRPr="009E6200">
        <w:rPr>
          <w:lang w:eastAsia="ru-RU" w:bidi="ru-RU"/>
        </w:rPr>
        <w:t xml:space="preserve"> наблюдалось повышение числа новых случаев ХСН. При сравнении терапии ритуксимаб/циклофосфамид/доксорубицин/ винкристин/преднизолон </w:t>
      </w:r>
      <w:r w:rsidRPr="009E6200">
        <w:rPr>
          <w:lang w:eastAsia="ru-RU" w:bidi="en-US"/>
        </w:rPr>
        <w:t xml:space="preserve">(R-CHOP) </w:t>
      </w:r>
      <w:r w:rsidRPr="009E6200">
        <w:rPr>
          <w:lang w:eastAsia="ru-RU" w:bidi="ru-RU"/>
        </w:rPr>
        <w:t xml:space="preserve">+ бевацизумаб и </w:t>
      </w:r>
      <w:r w:rsidRPr="009E6200">
        <w:rPr>
          <w:lang w:eastAsia="ru-RU" w:bidi="en-US"/>
        </w:rPr>
        <w:t xml:space="preserve">R-CHOP </w:t>
      </w:r>
      <w:r w:rsidRPr="009E6200">
        <w:rPr>
          <w:lang w:eastAsia="ru-RU" w:bidi="ru-RU"/>
        </w:rPr>
        <w:t xml:space="preserve">число новых случаев не отличалось, но было выше, чем наблюдавшееся ранее при терапии доксорубицином. Частота ХСН была выше в группе </w:t>
      </w:r>
      <w:r w:rsidRPr="009E6200">
        <w:rPr>
          <w:lang w:eastAsia="ru-RU" w:bidi="en-US"/>
        </w:rPr>
        <w:t xml:space="preserve">R-CHOP </w:t>
      </w:r>
      <w:r w:rsidRPr="009E6200">
        <w:rPr>
          <w:lang w:eastAsia="ru-RU" w:bidi="ru-RU"/>
        </w:rPr>
        <w:t>+ бевацизумаб.</w:t>
      </w:r>
    </w:p>
    <w:p w14:paraId="72FF7D2B" w14:textId="77777777" w:rsidR="00BB6320" w:rsidRDefault="00BB6320" w:rsidP="007B46F5">
      <w:pPr>
        <w:pStyle w:val="SDText"/>
        <w:jc w:val="both"/>
        <w:rPr>
          <w:b/>
          <w:bCs/>
          <w:i/>
          <w:iCs/>
          <w:lang w:eastAsia="ru-RU" w:bidi="ru-RU"/>
        </w:rPr>
      </w:pPr>
    </w:p>
    <w:p w14:paraId="7A9311A4" w14:textId="215C74F4" w:rsidR="00E05A5D" w:rsidRPr="009E6200" w:rsidRDefault="00E05A5D" w:rsidP="007B46F5">
      <w:pPr>
        <w:pStyle w:val="SDText"/>
        <w:jc w:val="both"/>
        <w:rPr>
          <w:lang w:eastAsia="ru-RU" w:bidi="ru-RU"/>
        </w:rPr>
      </w:pPr>
      <w:r w:rsidRPr="009E6200">
        <w:rPr>
          <w:b/>
          <w:bCs/>
          <w:i/>
          <w:iCs/>
          <w:lang w:eastAsia="ru-RU" w:bidi="ru-RU"/>
        </w:rPr>
        <w:t>Заживление ран</w:t>
      </w:r>
    </w:p>
    <w:p w14:paraId="75E0084E" w14:textId="77777777" w:rsidR="00BB6320" w:rsidRDefault="00BB6320" w:rsidP="007B46F5">
      <w:pPr>
        <w:pStyle w:val="SDText"/>
        <w:jc w:val="both"/>
        <w:rPr>
          <w:lang w:eastAsia="ru-RU" w:bidi="ru-RU"/>
        </w:rPr>
      </w:pPr>
    </w:p>
    <w:p w14:paraId="7718A820" w14:textId="62EB3F16" w:rsidR="00E05A5D" w:rsidRPr="009E6200" w:rsidRDefault="00E05A5D" w:rsidP="007B46F5">
      <w:pPr>
        <w:pStyle w:val="SDText"/>
        <w:ind w:firstLine="709"/>
        <w:jc w:val="both"/>
        <w:rPr>
          <w:lang w:eastAsia="ru-RU" w:bidi="ru-RU"/>
        </w:rPr>
      </w:pPr>
      <w:r w:rsidRPr="009E6200">
        <w:rPr>
          <w:lang w:eastAsia="ru-RU" w:bidi="ru-RU"/>
        </w:rPr>
        <w:t>Препарат Авастин</w:t>
      </w:r>
      <w:r w:rsidRPr="009E6200">
        <w:rPr>
          <w:vertAlign w:val="superscript"/>
          <w:lang w:eastAsia="ru-RU" w:bidi="ru-RU"/>
        </w:rPr>
        <w:t>®</w:t>
      </w:r>
      <w:r w:rsidRPr="009E6200">
        <w:rPr>
          <w:lang w:eastAsia="ru-RU" w:bidi="ru-RU"/>
        </w:rPr>
        <w:t xml:space="preserve"> может отрицательно влиять на заживление ран.</w:t>
      </w:r>
    </w:p>
    <w:p w14:paraId="07F6D508" w14:textId="1687394F" w:rsidR="00E05A5D" w:rsidRPr="009E6200" w:rsidRDefault="00E05A5D" w:rsidP="007B46F5">
      <w:pPr>
        <w:pStyle w:val="SDText"/>
        <w:ind w:firstLine="709"/>
        <w:jc w:val="both"/>
        <w:rPr>
          <w:lang w:eastAsia="ru-RU" w:bidi="ru-RU"/>
        </w:rPr>
      </w:pPr>
      <w:r w:rsidRPr="009E6200">
        <w:rPr>
          <w:lang w:eastAsia="ru-RU" w:bidi="ru-RU"/>
        </w:rPr>
        <w:t>Зарегистрированы серьезные случаи осложнений заживления ран с летальным исходом. Лечение бевацизумабом следует начинать не менее чем через 28 дней после обширного хирургического вмешательства или при полном заживлении хирургической раны. При развитии во время лечения осложнений, связанных с заживлением раны, препарат Авастин</w:t>
      </w:r>
      <w:r w:rsidRPr="009E6200">
        <w:rPr>
          <w:vertAlign w:val="superscript"/>
          <w:lang w:eastAsia="ru-RU" w:bidi="ru-RU"/>
        </w:rPr>
        <w:t>®</w:t>
      </w:r>
      <w:r w:rsidRPr="009E6200">
        <w:rPr>
          <w:lang w:eastAsia="ru-RU" w:bidi="ru-RU"/>
        </w:rPr>
        <w:t xml:space="preserve"> необходимо временно отменить до полного заживления раны. Введение препарата Авастин</w:t>
      </w:r>
      <w:r w:rsidRPr="009E6200">
        <w:rPr>
          <w:vertAlign w:val="superscript"/>
          <w:lang w:eastAsia="ru-RU" w:bidi="ru-RU"/>
        </w:rPr>
        <w:t>®</w:t>
      </w:r>
      <w:r w:rsidRPr="009E6200">
        <w:rPr>
          <w:lang w:eastAsia="ru-RU" w:bidi="ru-RU"/>
        </w:rPr>
        <w:t xml:space="preserve"> также необходимо временно прекратить в случае проведения планового хирургического вмешательства. При терапии впервые диагностированной глиобластомы частота послеоперационных осложнений заживления ран 3-5 степени тяжести (включая осложнения после краниотомии) составила 3</w:t>
      </w:r>
      <w:r w:rsidR="001D23B0">
        <w:rPr>
          <w:lang w:eastAsia="ru-RU" w:bidi="ru-RU"/>
        </w:rPr>
        <w:t>,</w:t>
      </w:r>
      <w:r w:rsidRPr="009E6200">
        <w:rPr>
          <w:lang w:eastAsia="ru-RU" w:bidi="ru-RU"/>
        </w:rPr>
        <w:t>3% у пациентов, получавших Авастин</w:t>
      </w:r>
      <w:r w:rsidRPr="009E6200">
        <w:rPr>
          <w:vertAlign w:val="superscript"/>
          <w:lang w:eastAsia="ru-RU" w:bidi="ru-RU"/>
        </w:rPr>
        <w:t>®</w:t>
      </w:r>
      <w:r w:rsidRPr="009E6200">
        <w:rPr>
          <w:lang w:eastAsia="ru-RU" w:bidi="ru-RU"/>
        </w:rPr>
        <w:t xml:space="preserve"> в комбинации с химиотерапией и лучевой терапией.</w:t>
      </w:r>
    </w:p>
    <w:p w14:paraId="23573BB2" w14:textId="77777777" w:rsidR="00E05A5D" w:rsidRPr="009E6200" w:rsidRDefault="00E05A5D" w:rsidP="007B46F5">
      <w:pPr>
        <w:pStyle w:val="SDText"/>
        <w:ind w:firstLine="709"/>
        <w:jc w:val="both"/>
        <w:rPr>
          <w:lang w:eastAsia="ru-RU" w:bidi="ru-RU"/>
        </w:rPr>
      </w:pPr>
      <w:r w:rsidRPr="009E6200">
        <w:rPr>
          <w:lang w:eastAsia="ru-RU" w:bidi="ru-RU"/>
        </w:rPr>
        <w:t xml:space="preserve">Зарегистрированы редкие случаи </w:t>
      </w:r>
      <w:r w:rsidRPr="009E6200">
        <w:rPr>
          <w:i/>
          <w:iCs/>
          <w:lang w:eastAsia="ru-RU" w:bidi="ru-RU"/>
        </w:rPr>
        <w:t>некротизирующего фасциита</w:t>
      </w:r>
      <w:r w:rsidRPr="009E6200">
        <w:rPr>
          <w:lang w:eastAsia="ru-RU" w:bidi="ru-RU"/>
        </w:rPr>
        <w:t xml:space="preserve"> (в том числе с летальным исходом) у пациентов, получавших лечение препаратом Авастин</w:t>
      </w:r>
      <w:r w:rsidRPr="009E6200">
        <w:rPr>
          <w:vertAlign w:val="superscript"/>
          <w:lang w:eastAsia="ru-RU" w:bidi="ru-RU"/>
        </w:rPr>
        <w:t>®</w:t>
      </w:r>
      <w:r w:rsidRPr="009E6200">
        <w:rPr>
          <w:lang w:eastAsia="ru-RU" w:bidi="ru-RU"/>
        </w:rPr>
        <w:t>. Данное явление, как правило, развивалось на фоне нарушения заживления ран, перфорации желудочно</w:t>
      </w:r>
      <w:r w:rsidRPr="009E6200">
        <w:rPr>
          <w:lang w:eastAsia="ru-RU" w:bidi="ru-RU"/>
        </w:rPr>
        <w:softHyphen/>
        <w:t>кишечного тракта или образования фистул.</w:t>
      </w:r>
    </w:p>
    <w:p w14:paraId="6499E072" w14:textId="77777777" w:rsidR="00E05A5D" w:rsidRPr="009E6200" w:rsidRDefault="00E05A5D" w:rsidP="007B46F5">
      <w:pPr>
        <w:pStyle w:val="SDText"/>
        <w:ind w:firstLine="709"/>
        <w:jc w:val="both"/>
        <w:rPr>
          <w:lang w:eastAsia="ru-RU" w:bidi="ru-RU"/>
        </w:rPr>
      </w:pPr>
      <w:r w:rsidRPr="009E6200">
        <w:rPr>
          <w:lang w:eastAsia="ru-RU" w:bidi="ru-RU"/>
        </w:rPr>
        <w:t>В случае выявления некротизирующего фасциита препарат Авастин</w:t>
      </w:r>
      <w:r w:rsidRPr="009E6200">
        <w:rPr>
          <w:vertAlign w:val="superscript"/>
          <w:lang w:eastAsia="ru-RU" w:bidi="ru-RU"/>
        </w:rPr>
        <w:t>®</w:t>
      </w:r>
      <w:r w:rsidRPr="009E6200">
        <w:rPr>
          <w:lang w:eastAsia="ru-RU" w:bidi="ru-RU"/>
        </w:rPr>
        <w:t xml:space="preserve"> должен быть отменен и незамедлительно начато соответствующее лечение.</w:t>
      </w:r>
    </w:p>
    <w:p w14:paraId="630C5421" w14:textId="77777777" w:rsidR="00BB6320" w:rsidRDefault="00BB6320" w:rsidP="007B46F5">
      <w:pPr>
        <w:pStyle w:val="SDText"/>
        <w:jc w:val="both"/>
        <w:rPr>
          <w:b/>
          <w:bCs/>
          <w:i/>
          <w:iCs/>
          <w:lang w:eastAsia="ru-RU" w:bidi="ru-RU"/>
        </w:rPr>
      </w:pPr>
    </w:p>
    <w:p w14:paraId="7E446BDF" w14:textId="57DD622E" w:rsidR="00E05A5D" w:rsidRPr="009E6200" w:rsidRDefault="00E05A5D" w:rsidP="007B46F5">
      <w:pPr>
        <w:pStyle w:val="SDText"/>
        <w:jc w:val="both"/>
        <w:rPr>
          <w:lang w:eastAsia="ru-RU" w:bidi="ru-RU"/>
        </w:rPr>
      </w:pPr>
      <w:r w:rsidRPr="009E6200">
        <w:rPr>
          <w:b/>
          <w:bCs/>
          <w:i/>
          <w:iCs/>
          <w:lang w:eastAsia="ru-RU" w:bidi="ru-RU"/>
        </w:rPr>
        <w:t>Протеинурия</w:t>
      </w:r>
    </w:p>
    <w:p w14:paraId="3384380F" w14:textId="77777777" w:rsidR="00BB6320" w:rsidRDefault="00BB6320" w:rsidP="007B46F5">
      <w:pPr>
        <w:pStyle w:val="SDText"/>
        <w:jc w:val="both"/>
        <w:rPr>
          <w:lang w:eastAsia="ru-RU" w:bidi="ru-RU"/>
        </w:rPr>
      </w:pPr>
    </w:p>
    <w:p w14:paraId="21EB50E3" w14:textId="030A0C3D" w:rsidR="00E05A5D" w:rsidRPr="009E6200" w:rsidRDefault="00E05A5D" w:rsidP="007B46F5">
      <w:pPr>
        <w:pStyle w:val="SDText"/>
        <w:ind w:firstLine="709"/>
        <w:jc w:val="both"/>
        <w:rPr>
          <w:lang w:eastAsia="ru-RU" w:bidi="ru-RU"/>
        </w:rPr>
      </w:pPr>
      <w:r w:rsidRPr="009E6200">
        <w:rPr>
          <w:lang w:eastAsia="ru-RU" w:bidi="ru-RU"/>
        </w:rPr>
        <w:t>Протеинурия наблюдалась у 0</w:t>
      </w:r>
      <w:r w:rsidR="001D23B0">
        <w:rPr>
          <w:lang w:eastAsia="ru-RU" w:bidi="ru-RU"/>
        </w:rPr>
        <w:t>,</w:t>
      </w:r>
      <w:r w:rsidRPr="009E6200">
        <w:rPr>
          <w:lang w:eastAsia="ru-RU" w:bidi="ru-RU"/>
        </w:rPr>
        <w:t>7%-54</w:t>
      </w:r>
      <w:r w:rsidR="001D23B0">
        <w:rPr>
          <w:lang w:eastAsia="ru-RU" w:bidi="ru-RU"/>
        </w:rPr>
        <w:t>.</w:t>
      </w:r>
      <w:r w:rsidRPr="009E6200">
        <w:rPr>
          <w:lang w:eastAsia="ru-RU" w:bidi="ru-RU"/>
        </w:rPr>
        <w:t>7% пациентов, получавших препарат Авастин</w:t>
      </w:r>
      <w:r w:rsidRPr="009E6200">
        <w:rPr>
          <w:vertAlign w:val="superscript"/>
          <w:lang w:eastAsia="ru-RU" w:bidi="ru-RU"/>
        </w:rPr>
        <w:t>®</w:t>
      </w:r>
      <w:r w:rsidRPr="009E6200">
        <w:rPr>
          <w:lang w:eastAsia="ru-RU" w:bidi="ru-RU"/>
        </w:rPr>
        <w:t>. По степени тяжести протеинурия варьировала от транзиторного бессимптомного выявления следов белка в моче и у 1</w:t>
      </w:r>
      <w:r w:rsidR="001D23B0">
        <w:rPr>
          <w:lang w:eastAsia="ru-RU" w:bidi="ru-RU"/>
        </w:rPr>
        <w:t>,</w:t>
      </w:r>
      <w:r w:rsidRPr="009E6200">
        <w:rPr>
          <w:lang w:eastAsia="ru-RU" w:bidi="ru-RU"/>
        </w:rPr>
        <w:t>4% пациентов до нефротического синдрома (протеинурия 4 степени тяжести). Протеинурия 3 степени тяжести зарегистрирована у 8</w:t>
      </w:r>
      <w:r w:rsidR="001D23B0">
        <w:rPr>
          <w:lang w:eastAsia="ru-RU" w:bidi="ru-RU"/>
        </w:rPr>
        <w:t>,</w:t>
      </w:r>
      <w:r w:rsidRPr="009E6200">
        <w:rPr>
          <w:lang w:eastAsia="ru-RU" w:bidi="ru-RU"/>
        </w:rPr>
        <w:t>1% пациентов, получавших препарат Авастин</w:t>
      </w:r>
      <w:r w:rsidRPr="009E6200">
        <w:rPr>
          <w:vertAlign w:val="superscript"/>
          <w:lang w:eastAsia="ru-RU" w:bidi="ru-RU"/>
        </w:rPr>
        <w:t>®</w:t>
      </w:r>
      <w:r w:rsidRPr="009E6200">
        <w:rPr>
          <w:lang w:eastAsia="ru-RU" w:bidi="ru-RU"/>
        </w:rPr>
        <w:t xml:space="preserve"> по различным показаниям.</w:t>
      </w:r>
    </w:p>
    <w:p w14:paraId="5B8AC624" w14:textId="77777777" w:rsidR="00E05A5D" w:rsidRPr="009E6200" w:rsidRDefault="00E05A5D" w:rsidP="007B46F5">
      <w:pPr>
        <w:pStyle w:val="SDText"/>
        <w:ind w:firstLine="709"/>
        <w:jc w:val="both"/>
        <w:rPr>
          <w:lang w:eastAsia="ru-RU" w:bidi="ru-RU"/>
        </w:rPr>
      </w:pPr>
      <w:r w:rsidRPr="009E6200">
        <w:rPr>
          <w:lang w:eastAsia="ru-RU" w:bidi="ru-RU"/>
        </w:rPr>
        <w:t>Риск развития протеинурии повышен у пациентов с артериальной гипертензией в анамнезе. Возможно, протеинурия 1 степени зависит от дозы препарата Авастин</w:t>
      </w:r>
      <w:r w:rsidRPr="009E6200">
        <w:rPr>
          <w:vertAlign w:val="superscript"/>
          <w:lang w:eastAsia="ru-RU" w:bidi="ru-RU"/>
        </w:rPr>
        <w:t>®</w:t>
      </w:r>
      <w:r w:rsidRPr="009E6200">
        <w:rPr>
          <w:lang w:eastAsia="ru-RU" w:bidi="ru-RU"/>
        </w:rPr>
        <w:t>. При развитии нефротического синдрома препарат Авастин</w:t>
      </w:r>
      <w:r w:rsidRPr="009E6200">
        <w:rPr>
          <w:vertAlign w:val="superscript"/>
          <w:lang w:eastAsia="ru-RU" w:bidi="ru-RU"/>
        </w:rPr>
        <w:t>®</w:t>
      </w:r>
      <w:r w:rsidRPr="009E6200">
        <w:rPr>
          <w:lang w:eastAsia="ru-RU" w:bidi="ru-RU"/>
        </w:rPr>
        <w:t xml:space="preserve"> необходимо отменить. До начала и во время терапии препаратом Авастин</w:t>
      </w:r>
      <w:r w:rsidRPr="009E6200">
        <w:rPr>
          <w:vertAlign w:val="superscript"/>
          <w:lang w:eastAsia="ru-RU" w:bidi="ru-RU"/>
        </w:rPr>
        <w:t>®</w:t>
      </w:r>
      <w:r w:rsidRPr="009E6200">
        <w:rPr>
          <w:lang w:eastAsia="ru-RU" w:bidi="ru-RU"/>
        </w:rPr>
        <w:t xml:space="preserve"> рекомендуется проводить анализ мочи на протеинурию. В большинстве случаев при протеинурии &gt;2 г в сутки терапия препаратом Авастин</w:t>
      </w:r>
      <w:r w:rsidRPr="009E6200">
        <w:rPr>
          <w:vertAlign w:val="superscript"/>
          <w:lang w:eastAsia="ru-RU" w:bidi="ru-RU"/>
        </w:rPr>
        <w:t>®</w:t>
      </w:r>
      <w:r w:rsidRPr="009E6200">
        <w:rPr>
          <w:lang w:eastAsia="ru-RU" w:bidi="ru-RU"/>
        </w:rPr>
        <w:t xml:space="preserve"> временно приостанавливалась до снижения протеинурии &lt;2 г в сутки.</w:t>
      </w:r>
    </w:p>
    <w:p w14:paraId="3557DBAD" w14:textId="77777777" w:rsidR="00BB6320" w:rsidRDefault="00BB6320" w:rsidP="007B46F5">
      <w:pPr>
        <w:pStyle w:val="SDText"/>
        <w:jc w:val="both"/>
        <w:rPr>
          <w:b/>
          <w:bCs/>
          <w:i/>
          <w:iCs/>
          <w:lang w:eastAsia="ru-RU" w:bidi="ru-RU"/>
        </w:rPr>
      </w:pPr>
    </w:p>
    <w:p w14:paraId="75E03D53" w14:textId="6DE2EAD5" w:rsidR="00E05A5D" w:rsidRPr="009E6200" w:rsidRDefault="00E05A5D" w:rsidP="007B46F5">
      <w:pPr>
        <w:pStyle w:val="SDText"/>
        <w:jc w:val="both"/>
        <w:rPr>
          <w:lang w:eastAsia="ru-RU" w:bidi="ru-RU"/>
        </w:rPr>
      </w:pPr>
      <w:r w:rsidRPr="009E6200">
        <w:rPr>
          <w:b/>
          <w:bCs/>
          <w:i/>
          <w:iCs/>
          <w:lang w:eastAsia="ru-RU" w:bidi="ru-RU"/>
        </w:rPr>
        <w:t>Нейтропения</w:t>
      </w:r>
    </w:p>
    <w:p w14:paraId="1C7520F4" w14:textId="77777777" w:rsidR="00BB6320" w:rsidRDefault="00BB6320" w:rsidP="007B46F5">
      <w:pPr>
        <w:pStyle w:val="SDText"/>
        <w:jc w:val="both"/>
        <w:rPr>
          <w:lang w:eastAsia="ru-RU" w:bidi="ru-RU"/>
        </w:rPr>
      </w:pPr>
    </w:p>
    <w:p w14:paraId="369D88B9" w14:textId="11E1BF50" w:rsidR="00E05A5D" w:rsidRPr="009E6200" w:rsidRDefault="00E05A5D" w:rsidP="007B46F5">
      <w:pPr>
        <w:pStyle w:val="SDText"/>
        <w:ind w:firstLine="709"/>
        <w:jc w:val="both"/>
        <w:rPr>
          <w:lang w:eastAsia="ru-RU" w:bidi="ru-RU"/>
        </w:rPr>
      </w:pPr>
      <w:r w:rsidRPr="009E6200">
        <w:rPr>
          <w:lang w:eastAsia="ru-RU" w:bidi="ru-RU"/>
        </w:rPr>
        <w:t>При терапии препаратом Авастин</w:t>
      </w:r>
      <w:r w:rsidRPr="009E6200">
        <w:rPr>
          <w:vertAlign w:val="superscript"/>
          <w:lang w:eastAsia="ru-RU" w:bidi="ru-RU"/>
        </w:rPr>
        <w:t>®</w:t>
      </w:r>
      <w:r w:rsidRPr="009E6200">
        <w:rPr>
          <w:lang w:eastAsia="ru-RU" w:bidi="ru-RU"/>
        </w:rPr>
        <w:t xml:space="preserve"> в комбинации с миелотоксичными режимами химиотерапии наблюдалось повышение частоты развития тяжелой нейтропении, фебрильной нейтропении или инфекций с тяжелой нейтропенией (включая случаи с летальным исходом).</w:t>
      </w:r>
    </w:p>
    <w:p w14:paraId="1A5A4577" w14:textId="77777777" w:rsidR="00BB6320" w:rsidRDefault="00BB6320" w:rsidP="007B46F5">
      <w:pPr>
        <w:pStyle w:val="SDText"/>
        <w:jc w:val="both"/>
        <w:rPr>
          <w:b/>
          <w:bCs/>
          <w:i/>
          <w:iCs/>
          <w:lang w:eastAsia="ru-RU" w:bidi="ru-RU"/>
        </w:rPr>
      </w:pPr>
    </w:p>
    <w:p w14:paraId="5492E684" w14:textId="6D34B6EB" w:rsidR="00E05A5D" w:rsidRPr="009E6200" w:rsidRDefault="00E05A5D" w:rsidP="007B46F5">
      <w:pPr>
        <w:pStyle w:val="SDText"/>
        <w:jc w:val="both"/>
        <w:rPr>
          <w:lang w:eastAsia="ru-RU" w:bidi="ru-RU"/>
        </w:rPr>
      </w:pPr>
      <w:r w:rsidRPr="009E6200">
        <w:rPr>
          <w:b/>
          <w:bCs/>
          <w:i/>
          <w:iCs/>
          <w:lang w:eastAsia="ru-RU" w:bidi="ru-RU"/>
        </w:rPr>
        <w:t>Инфузионные реакции/реакции гиперчувствительности</w:t>
      </w:r>
    </w:p>
    <w:p w14:paraId="6D5FAADF" w14:textId="77777777" w:rsidR="00BB6320" w:rsidRDefault="00BB6320" w:rsidP="007B46F5">
      <w:pPr>
        <w:pStyle w:val="SDText"/>
        <w:jc w:val="both"/>
        <w:rPr>
          <w:lang w:eastAsia="ru-RU" w:bidi="ru-RU"/>
        </w:rPr>
      </w:pPr>
    </w:p>
    <w:p w14:paraId="22A23078" w14:textId="11AE78DF" w:rsidR="00E05A5D" w:rsidRPr="009E6200" w:rsidRDefault="00E05A5D" w:rsidP="007B46F5">
      <w:pPr>
        <w:pStyle w:val="SDText"/>
        <w:ind w:firstLine="709"/>
        <w:jc w:val="both"/>
        <w:rPr>
          <w:lang w:eastAsia="ru-RU" w:bidi="ru-RU"/>
        </w:rPr>
      </w:pPr>
      <w:r w:rsidRPr="009E6200">
        <w:rPr>
          <w:lang w:eastAsia="ru-RU" w:bidi="ru-RU"/>
        </w:rPr>
        <w:t>У пациентов может наблюдаться повышенный риск развития инфузионных реакций/реакций гиперчувствительности. Существуют данные о более частом развитии анафилактических реакций и реакций анафилактоидного типа у пациентов, получавших препарат Авастин</w:t>
      </w:r>
      <w:r w:rsidRPr="009E6200">
        <w:rPr>
          <w:vertAlign w:val="superscript"/>
          <w:lang w:eastAsia="ru-RU" w:bidi="ru-RU"/>
        </w:rPr>
        <w:t>®</w:t>
      </w:r>
      <w:r w:rsidRPr="009E6200">
        <w:rPr>
          <w:lang w:eastAsia="ru-RU" w:bidi="ru-RU"/>
        </w:rPr>
        <w:t xml:space="preserve"> в комбинации с химиотерапией, по сравнению с пациентами, получавшими только химиотерапию. При изучении препарата Авастин</w:t>
      </w:r>
      <w:r w:rsidRPr="009E6200">
        <w:rPr>
          <w:vertAlign w:val="superscript"/>
          <w:lang w:eastAsia="ru-RU" w:bidi="ru-RU"/>
        </w:rPr>
        <w:t>®</w:t>
      </w:r>
      <w:r w:rsidRPr="009E6200">
        <w:rPr>
          <w:lang w:eastAsia="ru-RU" w:bidi="ru-RU"/>
        </w:rPr>
        <w:t xml:space="preserve"> такие реакции наблюдались часто (у 5% пациентов, получавших бевацизумаб).</w:t>
      </w:r>
    </w:p>
    <w:p w14:paraId="432A2F41" w14:textId="77777777" w:rsidR="00E05A5D" w:rsidRPr="009E6200" w:rsidRDefault="00E05A5D" w:rsidP="007B46F5">
      <w:pPr>
        <w:pStyle w:val="SDText"/>
        <w:ind w:firstLine="709"/>
        <w:jc w:val="both"/>
        <w:rPr>
          <w:lang w:eastAsia="ru-RU" w:bidi="ru-RU"/>
        </w:rPr>
      </w:pPr>
      <w:r w:rsidRPr="009E6200">
        <w:rPr>
          <w:lang w:eastAsia="ru-RU" w:bidi="ru-RU"/>
        </w:rPr>
        <w:t>Рекомендуется тщательное наблюдение за пациентом во время и после введения препарата Авастин</w:t>
      </w:r>
      <w:r w:rsidRPr="009E6200">
        <w:rPr>
          <w:vertAlign w:val="superscript"/>
          <w:lang w:eastAsia="ru-RU" w:bidi="ru-RU"/>
        </w:rPr>
        <w:t>®</w:t>
      </w:r>
      <w:r w:rsidRPr="009E6200">
        <w:rPr>
          <w:lang w:eastAsia="ru-RU" w:bidi="ru-RU"/>
        </w:rPr>
        <w:t>. При возникновении инфузионной реакции необходимо прервать инфузию и провести соответствующие медицинские мероприятия. Систематическая премедикация не может являться гарантией отсутствия инфузионных реакций/реакций гиперчувствительности.</w:t>
      </w:r>
    </w:p>
    <w:p w14:paraId="3DBEEAD9" w14:textId="77777777" w:rsidR="00BB6320" w:rsidRDefault="00BB6320" w:rsidP="007B46F5">
      <w:pPr>
        <w:pStyle w:val="SDText"/>
        <w:jc w:val="both"/>
        <w:rPr>
          <w:b/>
          <w:bCs/>
          <w:i/>
          <w:iCs/>
          <w:lang w:eastAsia="ru-RU" w:bidi="ru-RU"/>
        </w:rPr>
      </w:pPr>
    </w:p>
    <w:p w14:paraId="4463AB47" w14:textId="1DE6E3D3" w:rsidR="00E05A5D" w:rsidRPr="009E6200" w:rsidRDefault="00E05A5D" w:rsidP="007B46F5">
      <w:pPr>
        <w:pStyle w:val="SDText"/>
        <w:jc w:val="both"/>
        <w:rPr>
          <w:lang w:eastAsia="ru-RU" w:bidi="ru-RU"/>
        </w:rPr>
      </w:pPr>
      <w:r w:rsidRPr="009E6200">
        <w:rPr>
          <w:b/>
          <w:bCs/>
          <w:i/>
          <w:iCs/>
          <w:lang w:eastAsia="ru-RU" w:bidi="ru-RU"/>
        </w:rPr>
        <w:t>Остеонекроз челюсти</w:t>
      </w:r>
    </w:p>
    <w:p w14:paraId="54A60738" w14:textId="77777777" w:rsidR="00BB6320" w:rsidRDefault="00BB6320" w:rsidP="007B46F5">
      <w:pPr>
        <w:pStyle w:val="SDText"/>
        <w:ind w:firstLine="709"/>
        <w:jc w:val="both"/>
        <w:rPr>
          <w:lang w:eastAsia="ru-RU" w:bidi="ru-RU"/>
        </w:rPr>
      </w:pPr>
    </w:p>
    <w:p w14:paraId="3EAE9464" w14:textId="6091CE59" w:rsidR="00E05A5D" w:rsidRPr="009E6200" w:rsidRDefault="00E05A5D" w:rsidP="007B46F5">
      <w:pPr>
        <w:pStyle w:val="SDText"/>
        <w:ind w:firstLine="709"/>
        <w:jc w:val="both"/>
        <w:rPr>
          <w:lang w:eastAsia="ru-RU" w:bidi="ru-RU"/>
        </w:rPr>
      </w:pPr>
      <w:r w:rsidRPr="009E6200">
        <w:rPr>
          <w:lang w:eastAsia="ru-RU" w:bidi="ru-RU"/>
        </w:rPr>
        <w:t>Сообщалось о случаях остеонекроза челюсти у онкологических пациентов, получавших препарат Авастин</w:t>
      </w:r>
      <w:r w:rsidRPr="009E6200">
        <w:rPr>
          <w:vertAlign w:val="superscript"/>
          <w:lang w:eastAsia="ru-RU" w:bidi="ru-RU"/>
        </w:rPr>
        <w:t>®</w:t>
      </w:r>
      <w:r w:rsidRPr="009E6200">
        <w:rPr>
          <w:lang w:eastAsia="ru-RU" w:bidi="ru-RU"/>
        </w:rPr>
        <w:t>. Большинство из этих пациентов получали бисфосфонаты внутривенно ранее или в качестве сопутствующей терапии; остеонекроз челюсти является идентифицированным риском для бисфосфонатов.</w:t>
      </w:r>
    </w:p>
    <w:p w14:paraId="4A7F92C0" w14:textId="77777777" w:rsidR="00E05A5D" w:rsidRPr="009E6200" w:rsidRDefault="00E05A5D" w:rsidP="007B46F5">
      <w:pPr>
        <w:pStyle w:val="SDText"/>
        <w:ind w:firstLine="709"/>
        <w:jc w:val="both"/>
        <w:rPr>
          <w:lang w:eastAsia="ru-RU" w:bidi="ru-RU"/>
        </w:rPr>
      </w:pPr>
      <w:r w:rsidRPr="009E6200">
        <w:rPr>
          <w:lang w:eastAsia="ru-RU" w:bidi="ru-RU"/>
        </w:rPr>
        <w:t>Необходимо соблюдать осторожность при одновременном или последовательном применении препарата Авастин</w:t>
      </w:r>
      <w:r w:rsidRPr="009E6200">
        <w:rPr>
          <w:vertAlign w:val="superscript"/>
          <w:lang w:eastAsia="ru-RU" w:bidi="ru-RU"/>
        </w:rPr>
        <w:t>®</w:t>
      </w:r>
      <w:r w:rsidRPr="009E6200">
        <w:rPr>
          <w:lang w:eastAsia="ru-RU" w:bidi="ru-RU"/>
        </w:rPr>
        <w:t xml:space="preserve"> и бисфосфонатов внутривенно.</w:t>
      </w:r>
    </w:p>
    <w:p w14:paraId="1B2DA219" w14:textId="77777777" w:rsidR="00E05A5D" w:rsidRPr="009E6200" w:rsidRDefault="00E05A5D" w:rsidP="007B46F5">
      <w:pPr>
        <w:pStyle w:val="SDText"/>
        <w:ind w:firstLine="709"/>
        <w:jc w:val="both"/>
        <w:rPr>
          <w:lang w:eastAsia="ru-RU" w:bidi="ru-RU"/>
        </w:rPr>
      </w:pPr>
      <w:r w:rsidRPr="009E6200">
        <w:rPr>
          <w:lang w:eastAsia="ru-RU" w:bidi="ru-RU"/>
        </w:rPr>
        <w:t>Инвазивные стоматологические процедуры также являются идентифицированным фактором риска. До начала лечения препаратом Авастин</w:t>
      </w:r>
      <w:r w:rsidRPr="009E6200">
        <w:rPr>
          <w:vertAlign w:val="superscript"/>
          <w:lang w:eastAsia="ru-RU" w:bidi="ru-RU"/>
        </w:rPr>
        <w:t>®</w:t>
      </w:r>
      <w:r w:rsidRPr="009E6200">
        <w:rPr>
          <w:lang w:eastAsia="ru-RU" w:bidi="ru-RU"/>
        </w:rPr>
        <w:t xml:space="preserve"> следует провести стоматологическое обследование и соответствующие профилактические стоматологические мероприятия. По возможности следует избегать проведения инвазивных стоматологических процедур у пациентов, ранее получавших или получающих в настоящее время бисфосфонаты внутривенно.</w:t>
      </w:r>
    </w:p>
    <w:p w14:paraId="2B717A3C" w14:textId="77777777" w:rsidR="00BB6320" w:rsidRDefault="00BB6320" w:rsidP="007B46F5">
      <w:pPr>
        <w:pStyle w:val="SDText"/>
        <w:jc w:val="both"/>
        <w:rPr>
          <w:b/>
          <w:bCs/>
          <w:i/>
          <w:iCs/>
          <w:lang w:eastAsia="ru-RU" w:bidi="ru-RU"/>
        </w:rPr>
      </w:pPr>
    </w:p>
    <w:p w14:paraId="40B06476" w14:textId="3F7CA277" w:rsidR="00E05A5D" w:rsidRPr="009E6200" w:rsidRDefault="00E05A5D" w:rsidP="007B46F5">
      <w:pPr>
        <w:pStyle w:val="SDText"/>
        <w:jc w:val="both"/>
        <w:rPr>
          <w:lang w:eastAsia="ru-RU" w:bidi="ru-RU"/>
        </w:rPr>
      </w:pPr>
      <w:r w:rsidRPr="009E6200">
        <w:rPr>
          <w:b/>
          <w:bCs/>
          <w:i/>
          <w:iCs/>
          <w:lang w:eastAsia="ru-RU" w:bidi="ru-RU"/>
        </w:rPr>
        <w:t>Инфекции</w:t>
      </w:r>
    </w:p>
    <w:p w14:paraId="3A6D0A91" w14:textId="77777777" w:rsidR="00BB6320" w:rsidRDefault="00BB6320" w:rsidP="007B46F5">
      <w:pPr>
        <w:pStyle w:val="SDText"/>
        <w:jc w:val="both"/>
        <w:rPr>
          <w:lang w:eastAsia="ru-RU" w:bidi="ru-RU"/>
        </w:rPr>
      </w:pPr>
    </w:p>
    <w:p w14:paraId="4A0AD25E" w14:textId="249670AB" w:rsidR="00E05A5D" w:rsidRPr="009E6200" w:rsidRDefault="00E05A5D" w:rsidP="007B46F5">
      <w:pPr>
        <w:pStyle w:val="SDText"/>
        <w:ind w:firstLine="709"/>
        <w:jc w:val="both"/>
        <w:rPr>
          <w:lang w:eastAsia="ru-RU" w:bidi="ru-RU"/>
        </w:rPr>
      </w:pPr>
      <w:r w:rsidRPr="009E6200">
        <w:rPr>
          <w:lang w:eastAsia="ru-RU" w:bidi="ru-RU"/>
        </w:rPr>
        <w:t>При изучении препарата Авастин</w:t>
      </w:r>
      <w:r w:rsidRPr="009E6200">
        <w:rPr>
          <w:vertAlign w:val="superscript"/>
          <w:lang w:eastAsia="ru-RU" w:bidi="ru-RU"/>
        </w:rPr>
        <w:t>®</w:t>
      </w:r>
      <w:r w:rsidRPr="009E6200">
        <w:rPr>
          <w:lang w:eastAsia="ru-RU" w:bidi="ru-RU"/>
        </w:rPr>
        <w:t xml:space="preserve"> в комбинации с химиотерапией и лучевой терапией у пациентов с впервые диагностированной глиобластомой частота инфекций любой степени тяжести составила 54</w:t>
      </w:r>
      <w:r w:rsidR="001D23B0">
        <w:rPr>
          <w:lang w:eastAsia="ru-RU" w:bidi="ru-RU"/>
        </w:rPr>
        <w:t>,</w:t>
      </w:r>
      <w:r w:rsidRPr="009E6200">
        <w:rPr>
          <w:lang w:eastAsia="ru-RU" w:bidi="ru-RU"/>
        </w:rPr>
        <w:t>4% (12</w:t>
      </w:r>
      <w:r w:rsidR="001D23B0">
        <w:rPr>
          <w:lang w:eastAsia="ru-RU" w:bidi="ru-RU"/>
        </w:rPr>
        <w:t>,</w:t>
      </w:r>
      <w:r w:rsidRPr="009E6200">
        <w:rPr>
          <w:lang w:eastAsia="ru-RU" w:bidi="ru-RU"/>
        </w:rPr>
        <w:t>8% для инфекций 3-5 степени тяжести).</w:t>
      </w:r>
    </w:p>
    <w:p w14:paraId="60412A1A" w14:textId="77777777" w:rsidR="00BB6320" w:rsidRDefault="00BB6320" w:rsidP="007B46F5">
      <w:pPr>
        <w:pStyle w:val="SDText"/>
        <w:jc w:val="both"/>
        <w:rPr>
          <w:b/>
          <w:bCs/>
          <w:i/>
          <w:iCs/>
          <w:lang w:eastAsia="ru-RU" w:bidi="ru-RU"/>
        </w:rPr>
      </w:pPr>
    </w:p>
    <w:p w14:paraId="1C352F46" w14:textId="441477B5" w:rsidR="00E05A5D" w:rsidRPr="009E6200" w:rsidRDefault="00E05A5D" w:rsidP="007B46F5">
      <w:pPr>
        <w:pStyle w:val="SDText"/>
        <w:jc w:val="both"/>
        <w:rPr>
          <w:lang w:eastAsia="ru-RU" w:bidi="ru-RU"/>
        </w:rPr>
      </w:pPr>
      <w:r w:rsidRPr="009E6200">
        <w:rPr>
          <w:b/>
          <w:bCs/>
          <w:i/>
          <w:iCs/>
          <w:lang w:eastAsia="ru-RU" w:bidi="ru-RU"/>
        </w:rPr>
        <w:t>Нарушения со стороны лабораторных показателей</w:t>
      </w:r>
    </w:p>
    <w:p w14:paraId="45BCD3D5" w14:textId="77777777" w:rsidR="00BB6320" w:rsidRDefault="00BB6320" w:rsidP="007B46F5">
      <w:pPr>
        <w:pStyle w:val="SDText"/>
        <w:jc w:val="both"/>
        <w:rPr>
          <w:lang w:eastAsia="ru-RU" w:bidi="ru-RU"/>
        </w:rPr>
      </w:pPr>
    </w:p>
    <w:p w14:paraId="3F636313" w14:textId="34373A1A" w:rsidR="00E05A5D" w:rsidRPr="009E6200" w:rsidRDefault="00E05A5D" w:rsidP="007B46F5">
      <w:pPr>
        <w:pStyle w:val="SDText"/>
        <w:ind w:firstLine="709"/>
        <w:jc w:val="both"/>
        <w:rPr>
          <w:lang w:eastAsia="ru-RU" w:bidi="ru-RU"/>
        </w:rPr>
      </w:pPr>
      <w:r w:rsidRPr="009E6200">
        <w:rPr>
          <w:lang w:eastAsia="ru-RU" w:bidi="ru-RU"/>
        </w:rPr>
        <w:t>При изучении применения препарата Авастин</w:t>
      </w:r>
      <w:r w:rsidRPr="009E6200">
        <w:rPr>
          <w:vertAlign w:val="superscript"/>
          <w:lang w:eastAsia="ru-RU" w:bidi="ru-RU"/>
        </w:rPr>
        <w:t>®</w:t>
      </w:r>
      <w:r w:rsidRPr="009E6200">
        <w:rPr>
          <w:lang w:eastAsia="ru-RU" w:bidi="ru-RU"/>
        </w:rPr>
        <w:t xml:space="preserve"> отмечалось транзиторное повышение концентрации сывороточного креатинина (в 1</w:t>
      </w:r>
      <w:r w:rsidR="001D23B0">
        <w:rPr>
          <w:lang w:eastAsia="ru-RU" w:bidi="ru-RU"/>
        </w:rPr>
        <w:t>,</w:t>
      </w:r>
      <w:r w:rsidRPr="009E6200">
        <w:rPr>
          <w:lang w:eastAsia="ru-RU" w:bidi="ru-RU"/>
        </w:rPr>
        <w:t>5-1</w:t>
      </w:r>
      <w:r w:rsidR="001D23B0">
        <w:rPr>
          <w:lang w:eastAsia="ru-RU" w:bidi="ru-RU"/>
        </w:rPr>
        <w:t>.</w:t>
      </w:r>
      <w:r w:rsidRPr="009E6200">
        <w:rPr>
          <w:lang w:eastAsia="ru-RU" w:bidi="ru-RU"/>
        </w:rPr>
        <w:t>9 раз выше в сравнении с исходной концентрацией) с наличием или отсутствием протеинурии. Наблюдаемое повышение концентрации сывороточного креатинина не сопровождалось более высокой частотой клинических проявлений нарушения функции почек у пациентов, получавших лечение препаратом Авастин</w:t>
      </w:r>
      <w:r w:rsidRPr="009E6200">
        <w:rPr>
          <w:vertAlign w:val="superscript"/>
          <w:lang w:eastAsia="ru-RU" w:bidi="ru-RU"/>
        </w:rPr>
        <w:t>®</w:t>
      </w:r>
      <w:r w:rsidRPr="009E6200">
        <w:rPr>
          <w:lang w:eastAsia="ru-RU" w:bidi="ru-RU"/>
        </w:rPr>
        <w:t>.</w:t>
      </w:r>
    </w:p>
    <w:p w14:paraId="5281D234" w14:textId="77777777" w:rsidR="00BB6320" w:rsidRDefault="00BB6320" w:rsidP="007B46F5">
      <w:pPr>
        <w:pStyle w:val="SDText"/>
        <w:jc w:val="both"/>
        <w:rPr>
          <w:b/>
          <w:bCs/>
          <w:i/>
          <w:iCs/>
          <w:lang w:eastAsia="ru-RU" w:bidi="ru-RU"/>
        </w:rPr>
      </w:pPr>
    </w:p>
    <w:p w14:paraId="62DCB727" w14:textId="050CAE27" w:rsidR="00E05A5D" w:rsidRPr="009E6200" w:rsidRDefault="00E05A5D" w:rsidP="007B46F5">
      <w:pPr>
        <w:pStyle w:val="SDText"/>
        <w:jc w:val="both"/>
        <w:rPr>
          <w:lang w:eastAsia="ru-RU" w:bidi="ru-RU"/>
        </w:rPr>
      </w:pPr>
      <w:r w:rsidRPr="009E6200">
        <w:rPr>
          <w:b/>
          <w:bCs/>
          <w:i/>
          <w:iCs/>
          <w:lang w:eastAsia="ru-RU" w:bidi="ru-RU"/>
        </w:rPr>
        <w:t>Пациенты старше 65 лет</w:t>
      </w:r>
    </w:p>
    <w:p w14:paraId="6A90AF07" w14:textId="77777777" w:rsidR="00BB6320" w:rsidRDefault="00BB6320" w:rsidP="007B46F5">
      <w:pPr>
        <w:pStyle w:val="SDText"/>
        <w:jc w:val="both"/>
        <w:rPr>
          <w:lang w:eastAsia="ru-RU" w:bidi="ru-RU"/>
        </w:rPr>
      </w:pPr>
    </w:p>
    <w:p w14:paraId="486B388C" w14:textId="043B1B3D" w:rsidR="00E05A5D" w:rsidRPr="009E6200" w:rsidRDefault="00E05A5D" w:rsidP="007B46F5">
      <w:pPr>
        <w:pStyle w:val="SDText"/>
        <w:ind w:firstLine="709"/>
        <w:jc w:val="both"/>
        <w:rPr>
          <w:lang w:eastAsia="ru-RU" w:bidi="ru-RU"/>
        </w:rPr>
      </w:pPr>
      <w:r w:rsidRPr="009E6200">
        <w:rPr>
          <w:lang w:eastAsia="ru-RU" w:bidi="ru-RU"/>
        </w:rPr>
        <w:t>При назначении препарата Авастин</w:t>
      </w:r>
      <w:r w:rsidRPr="009E6200">
        <w:rPr>
          <w:vertAlign w:val="superscript"/>
          <w:lang w:eastAsia="ru-RU" w:bidi="ru-RU"/>
        </w:rPr>
        <w:t>®</w:t>
      </w:r>
      <w:r w:rsidRPr="009E6200">
        <w:rPr>
          <w:lang w:eastAsia="ru-RU" w:bidi="ru-RU"/>
        </w:rPr>
        <w:t xml:space="preserve"> пациентам старше 65 лет существует повышенный риск возникновения артериальной тромбоэмболии (включая развитие инсульта, транзиторной ишемической атаки, инфаркта миокарда), лейкопении 3-4 степени тяжести и тромбоцитопении, а также нейтропении (всех степеней тяжести), диареи, тошноты, головной боли и утомляемости по сравнению с пациентами &lt;65 лет. При исследовании препарата Авастин</w:t>
      </w:r>
      <w:r w:rsidRPr="009E6200">
        <w:rPr>
          <w:vertAlign w:val="superscript"/>
          <w:lang w:eastAsia="ru-RU" w:bidi="ru-RU"/>
        </w:rPr>
        <w:t>®</w:t>
      </w:r>
      <w:r w:rsidRPr="009E6200">
        <w:rPr>
          <w:lang w:eastAsia="ru-RU" w:bidi="ru-RU"/>
        </w:rPr>
        <w:t xml:space="preserve"> при метастатическом колоректальном раке повышения частоты развития других побочных реакций, связанных с применением препарата Авастин</w:t>
      </w:r>
      <w:r w:rsidRPr="009E6200">
        <w:rPr>
          <w:vertAlign w:val="superscript"/>
          <w:lang w:eastAsia="ru-RU" w:bidi="ru-RU"/>
        </w:rPr>
        <w:t>®</w:t>
      </w:r>
    </w:p>
    <w:p w14:paraId="5465237B" w14:textId="77777777" w:rsidR="00E05A5D" w:rsidRPr="009E6200" w:rsidRDefault="00E05A5D" w:rsidP="007B46F5">
      <w:pPr>
        <w:pStyle w:val="SDText"/>
        <w:jc w:val="both"/>
        <w:rPr>
          <w:lang w:eastAsia="ru-RU" w:bidi="ru-RU"/>
        </w:rPr>
      </w:pPr>
      <w:r w:rsidRPr="009E6200">
        <w:rPr>
          <w:lang w:eastAsia="ru-RU" w:bidi="ru-RU"/>
        </w:rPr>
        <w:t>(перфорации ЖКТ, осложнения, связанные с заживлением ран, ХСН и кровотечения), у пациентов старше 65 лет по сравнению с пациентами &lt;65 лет не отмечено.</w:t>
      </w:r>
    </w:p>
    <w:p w14:paraId="470F109B" w14:textId="77777777" w:rsidR="00E05A5D" w:rsidRPr="009E6200" w:rsidRDefault="00E05A5D" w:rsidP="007B46F5">
      <w:pPr>
        <w:pStyle w:val="SDText"/>
        <w:ind w:firstLine="709"/>
        <w:jc w:val="both"/>
        <w:rPr>
          <w:lang w:eastAsia="ru-RU" w:bidi="ru-RU"/>
        </w:rPr>
      </w:pPr>
      <w:r w:rsidRPr="009E6200">
        <w:rPr>
          <w:lang w:eastAsia="ru-RU" w:bidi="ru-RU"/>
        </w:rPr>
        <w:t>Мужчинам и женщинам детородного возраста во время лечения препаратом Авастин</w:t>
      </w:r>
      <w:r w:rsidRPr="009E6200">
        <w:rPr>
          <w:vertAlign w:val="superscript"/>
          <w:lang w:eastAsia="ru-RU" w:bidi="ru-RU"/>
        </w:rPr>
        <w:t>®</w:t>
      </w:r>
      <w:r w:rsidRPr="009E6200">
        <w:rPr>
          <w:lang w:eastAsia="ru-RU" w:bidi="ru-RU"/>
        </w:rPr>
        <w:t xml:space="preserve"> и, как минимум, в течение 6 месяцев после окончания лечения необходимо использовать надежные методы контрацепции.</w:t>
      </w:r>
    </w:p>
    <w:p w14:paraId="27FCEBDE" w14:textId="77777777" w:rsidR="00E05A5D" w:rsidRPr="009E6200" w:rsidRDefault="00E05A5D" w:rsidP="007B46F5">
      <w:pPr>
        <w:pStyle w:val="SDText"/>
        <w:ind w:firstLine="709"/>
        <w:jc w:val="both"/>
        <w:rPr>
          <w:lang w:eastAsia="ru-RU" w:bidi="ru-RU"/>
        </w:rPr>
      </w:pPr>
      <w:r w:rsidRPr="009E6200">
        <w:rPr>
          <w:lang w:eastAsia="ru-RU" w:bidi="ru-RU"/>
        </w:rPr>
        <w:t>Препарат Авастин</w:t>
      </w:r>
      <w:r w:rsidRPr="009E6200">
        <w:rPr>
          <w:vertAlign w:val="superscript"/>
          <w:lang w:eastAsia="ru-RU" w:bidi="ru-RU"/>
        </w:rPr>
        <w:t>®</w:t>
      </w:r>
      <w:r w:rsidRPr="009E6200">
        <w:rPr>
          <w:lang w:eastAsia="ru-RU" w:bidi="ru-RU"/>
        </w:rPr>
        <w:t xml:space="preserve"> может нарушать фертильность у женщин. У большинства пациенток фертильность восстанавливалась после прекращения терапии препаратом Авастин</w:t>
      </w:r>
      <w:r w:rsidRPr="009E6200">
        <w:rPr>
          <w:vertAlign w:val="superscript"/>
          <w:lang w:eastAsia="ru-RU" w:bidi="ru-RU"/>
        </w:rPr>
        <w:t>®</w:t>
      </w:r>
      <w:r w:rsidRPr="009E6200">
        <w:rPr>
          <w:lang w:eastAsia="ru-RU" w:bidi="ru-RU"/>
        </w:rPr>
        <w:t>. Отдаленные эффекты терапии препаратом Авастин</w:t>
      </w:r>
      <w:r w:rsidRPr="009E6200">
        <w:rPr>
          <w:vertAlign w:val="superscript"/>
          <w:lang w:eastAsia="ru-RU" w:bidi="ru-RU"/>
        </w:rPr>
        <w:t>®</w:t>
      </w:r>
      <w:r w:rsidRPr="009E6200">
        <w:rPr>
          <w:lang w:eastAsia="ru-RU" w:bidi="ru-RU"/>
        </w:rPr>
        <w:t xml:space="preserve"> на фертильность неизвестны. Вскармливание грудным молоком не рекомендуется во время лечения препаратом Авастин</w:t>
      </w:r>
      <w:r w:rsidRPr="009E6200">
        <w:rPr>
          <w:vertAlign w:val="superscript"/>
          <w:lang w:eastAsia="ru-RU" w:bidi="ru-RU"/>
        </w:rPr>
        <w:t>®</w:t>
      </w:r>
      <w:r w:rsidRPr="009E6200">
        <w:rPr>
          <w:lang w:eastAsia="ru-RU" w:bidi="ru-RU"/>
        </w:rPr>
        <w:t xml:space="preserve"> и, как минимум, в течение 6 месяцев после окончания терапии препаратом Авастин</w:t>
      </w:r>
      <w:r w:rsidRPr="009E6200">
        <w:rPr>
          <w:vertAlign w:val="superscript"/>
          <w:lang w:eastAsia="ru-RU" w:bidi="ru-RU"/>
        </w:rPr>
        <w:t>®</w:t>
      </w:r>
      <w:r w:rsidRPr="009E6200">
        <w:rPr>
          <w:lang w:eastAsia="ru-RU" w:bidi="ru-RU"/>
        </w:rPr>
        <w:t>.</w:t>
      </w:r>
    </w:p>
    <w:p w14:paraId="2CF16A28" w14:textId="77777777" w:rsidR="00E05A5D" w:rsidRPr="009E6200" w:rsidRDefault="00E05A5D" w:rsidP="007B46F5">
      <w:pPr>
        <w:pStyle w:val="SDText"/>
        <w:ind w:firstLine="709"/>
        <w:jc w:val="both"/>
        <w:rPr>
          <w:lang w:eastAsia="ru-RU" w:bidi="ru-RU"/>
        </w:rPr>
      </w:pPr>
      <w:r w:rsidRPr="009E6200">
        <w:rPr>
          <w:lang w:eastAsia="ru-RU" w:bidi="ru-RU"/>
        </w:rPr>
        <w:t>Утилизация неиспользованного препарата или с истекшим сроком годности должна проводиться в соответствии с требованиями лечебного учреждения.</w:t>
      </w:r>
    </w:p>
    <w:p w14:paraId="54C221E6" w14:textId="77777777" w:rsidR="00BB6320" w:rsidRDefault="00BB6320" w:rsidP="007B46F5">
      <w:pPr>
        <w:pStyle w:val="SDText"/>
        <w:jc w:val="both"/>
        <w:rPr>
          <w:b/>
          <w:bCs/>
          <w:lang w:eastAsia="ru-RU" w:bidi="ru-RU"/>
        </w:rPr>
      </w:pPr>
    </w:p>
    <w:p w14:paraId="2179373A" w14:textId="77777777" w:rsidR="00BB6320" w:rsidRDefault="00E05A5D" w:rsidP="007B46F5">
      <w:pPr>
        <w:pStyle w:val="SDText"/>
        <w:jc w:val="both"/>
        <w:rPr>
          <w:b/>
          <w:bCs/>
          <w:lang w:eastAsia="ru-RU" w:bidi="ru-RU"/>
        </w:rPr>
      </w:pPr>
      <w:r w:rsidRPr="009E6200">
        <w:rPr>
          <w:b/>
          <w:bCs/>
          <w:lang w:eastAsia="ru-RU" w:bidi="ru-RU"/>
        </w:rPr>
        <w:t xml:space="preserve">Влияние на способность управлять транспортными средствами и механизмами </w:t>
      </w:r>
    </w:p>
    <w:p w14:paraId="44825773" w14:textId="5734D917" w:rsidR="00E05A5D" w:rsidRPr="009E6200" w:rsidRDefault="00E05A5D" w:rsidP="007B46F5">
      <w:pPr>
        <w:pStyle w:val="SDText"/>
        <w:ind w:firstLine="709"/>
        <w:jc w:val="both"/>
        <w:rPr>
          <w:lang w:eastAsia="ru-RU" w:bidi="ru-RU"/>
        </w:rPr>
      </w:pPr>
      <w:r w:rsidRPr="009E6200">
        <w:rPr>
          <w:lang w:eastAsia="ru-RU" w:bidi="ru-RU"/>
        </w:rPr>
        <w:t>Исследования по изучению влияния препарата на способность управлять транспортными средствами, механизмами не проводились. Пациентам, у которых возникли такие нежелательные явления как синкопе, сонливость или нарушение зрения, следует воздержаться от управления транспортными средствами, механизмами.</w:t>
      </w:r>
    </w:p>
    <w:p w14:paraId="323D4693" w14:textId="77777777" w:rsidR="00BB6320" w:rsidRDefault="00BB6320" w:rsidP="007B46F5">
      <w:pPr>
        <w:pStyle w:val="SDText"/>
        <w:jc w:val="both"/>
        <w:rPr>
          <w:b/>
          <w:bCs/>
          <w:lang w:eastAsia="ru-RU" w:bidi="ru-RU"/>
        </w:rPr>
      </w:pPr>
      <w:bookmarkStart w:id="80" w:name="bookmark28"/>
      <w:bookmarkStart w:id="81" w:name="bookmark29"/>
    </w:p>
    <w:p w14:paraId="5761A53A" w14:textId="45719A67" w:rsidR="00E05A5D" w:rsidRPr="009E6200" w:rsidRDefault="00E05A5D" w:rsidP="007B46F5">
      <w:pPr>
        <w:pStyle w:val="SDText"/>
        <w:jc w:val="both"/>
        <w:rPr>
          <w:b/>
          <w:bCs/>
          <w:lang w:eastAsia="ru-RU" w:bidi="ru-RU"/>
        </w:rPr>
      </w:pPr>
      <w:r w:rsidRPr="009E6200">
        <w:rPr>
          <w:b/>
          <w:bCs/>
          <w:lang w:eastAsia="ru-RU" w:bidi="ru-RU"/>
        </w:rPr>
        <w:t>Форма выпуска</w:t>
      </w:r>
      <w:bookmarkEnd w:id="80"/>
      <w:bookmarkEnd w:id="81"/>
    </w:p>
    <w:p w14:paraId="62B164F8" w14:textId="77777777" w:rsidR="00BB6320" w:rsidRDefault="00BB6320" w:rsidP="007B46F5">
      <w:pPr>
        <w:pStyle w:val="SDText"/>
        <w:jc w:val="both"/>
        <w:rPr>
          <w:u w:val="single"/>
          <w:lang w:eastAsia="ru-RU" w:bidi="ru-RU"/>
        </w:rPr>
      </w:pPr>
    </w:p>
    <w:p w14:paraId="580C82BA" w14:textId="2D243FD4" w:rsidR="00E05A5D" w:rsidRPr="00992857" w:rsidRDefault="00E05A5D" w:rsidP="007B46F5">
      <w:pPr>
        <w:pStyle w:val="SDText"/>
        <w:jc w:val="both"/>
        <w:rPr>
          <w:lang w:eastAsia="ru-RU" w:bidi="ru-RU"/>
        </w:rPr>
      </w:pPr>
      <w:r w:rsidRPr="00992857">
        <w:rPr>
          <w:lang w:eastAsia="ru-RU" w:bidi="ru-RU"/>
        </w:rPr>
        <w:t>Концентрат для приготовления раствора для инфузий 100 мг/4 мл и 400 мг/16 мл</w:t>
      </w:r>
    </w:p>
    <w:p w14:paraId="72FFFF8C" w14:textId="77777777" w:rsidR="00E05A5D" w:rsidRPr="009E6200" w:rsidRDefault="00E05A5D" w:rsidP="007B46F5">
      <w:pPr>
        <w:pStyle w:val="SDText"/>
        <w:jc w:val="both"/>
        <w:rPr>
          <w:lang w:eastAsia="ru-RU" w:bidi="ru-RU"/>
        </w:rPr>
      </w:pPr>
      <w:r w:rsidRPr="009E6200">
        <w:rPr>
          <w:lang w:eastAsia="ru-RU" w:bidi="ru-RU"/>
        </w:rPr>
        <w:t xml:space="preserve">По 100 мг/4 мл или 400 мг/16 мл препарата в стеклянный флакон (стекло гидролитического класса </w:t>
      </w:r>
      <w:r w:rsidRPr="009E6200">
        <w:rPr>
          <w:lang w:eastAsia="ru-RU" w:bidi="en-US"/>
        </w:rPr>
        <w:t xml:space="preserve">I </w:t>
      </w:r>
      <w:r w:rsidRPr="009E6200">
        <w:rPr>
          <w:lang w:eastAsia="ru-RU" w:bidi="ru-RU"/>
        </w:rPr>
        <w:t>ЕФ), укупоренный пробкой из бутилкаучука, ламинированного фторполимером, обжатый алюминиевым колпачком и закрытый пластмассовой крышкой.</w:t>
      </w:r>
    </w:p>
    <w:p w14:paraId="61FB7FDD" w14:textId="0F9CE49A" w:rsidR="00E05A5D" w:rsidRPr="009E6200" w:rsidRDefault="00D311CF" w:rsidP="007B46F5">
      <w:pPr>
        <w:pStyle w:val="SDText"/>
        <w:jc w:val="both"/>
        <w:rPr>
          <w:lang w:eastAsia="ru-RU" w:bidi="ru-RU"/>
        </w:rPr>
      </w:pPr>
      <w:r w:rsidRPr="009E6200">
        <w:rPr>
          <w:lang w:eastAsia="ru-RU" w:bidi="ru-RU"/>
        </w:rPr>
        <w:t xml:space="preserve">1 </w:t>
      </w:r>
      <w:r w:rsidR="00E05A5D" w:rsidRPr="009E6200">
        <w:rPr>
          <w:lang w:eastAsia="ru-RU" w:bidi="ru-RU"/>
        </w:rPr>
        <w:t>флакон вместе с инструкцией по применению помещают в картонную пачку.</w:t>
      </w:r>
    </w:p>
    <w:p w14:paraId="06DDB217" w14:textId="77777777" w:rsidR="00BB6320" w:rsidRDefault="00BB6320" w:rsidP="007B46F5">
      <w:pPr>
        <w:pStyle w:val="SDText"/>
        <w:jc w:val="both"/>
        <w:rPr>
          <w:b/>
          <w:bCs/>
          <w:lang w:eastAsia="ru-RU" w:bidi="ru-RU"/>
        </w:rPr>
      </w:pPr>
      <w:bookmarkStart w:id="82" w:name="bookmark30"/>
      <w:bookmarkStart w:id="83" w:name="bookmark31"/>
    </w:p>
    <w:p w14:paraId="2D2CC580" w14:textId="22480CED" w:rsidR="00E05A5D" w:rsidRDefault="00E05A5D" w:rsidP="007B46F5">
      <w:pPr>
        <w:pStyle w:val="SDText"/>
        <w:jc w:val="both"/>
        <w:rPr>
          <w:b/>
          <w:bCs/>
          <w:lang w:eastAsia="ru-RU" w:bidi="ru-RU"/>
        </w:rPr>
      </w:pPr>
      <w:r w:rsidRPr="009E6200">
        <w:rPr>
          <w:b/>
          <w:bCs/>
          <w:lang w:eastAsia="ru-RU" w:bidi="ru-RU"/>
        </w:rPr>
        <w:t>Срок годности</w:t>
      </w:r>
      <w:bookmarkEnd w:id="82"/>
      <w:bookmarkEnd w:id="83"/>
    </w:p>
    <w:p w14:paraId="41249346" w14:textId="77777777" w:rsidR="00BB6320" w:rsidRPr="009E6200" w:rsidRDefault="00BB6320" w:rsidP="007B46F5">
      <w:pPr>
        <w:pStyle w:val="SDText"/>
        <w:jc w:val="both"/>
        <w:rPr>
          <w:b/>
          <w:bCs/>
          <w:lang w:eastAsia="ru-RU" w:bidi="ru-RU"/>
        </w:rPr>
      </w:pPr>
    </w:p>
    <w:p w14:paraId="29A19033" w14:textId="0EC33545" w:rsidR="00E05A5D" w:rsidRPr="009E6200" w:rsidRDefault="00D311CF" w:rsidP="007B46F5">
      <w:pPr>
        <w:pStyle w:val="SDText"/>
        <w:jc w:val="both"/>
        <w:rPr>
          <w:lang w:eastAsia="ru-RU" w:bidi="ru-RU"/>
        </w:rPr>
      </w:pPr>
      <w:r w:rsidRPr="009E6200">
        <w:rPr>
          <w:lang w:eastAsia="ru-RU" w:bidi="ru-RU"/>
        </w:rPr>
        <w:t xml:space="preserve">2 </w:t>
      </w:r>
      <w:r w:rsidR="00E05A5D" w:rsidRPr="009E6200">
        <w:rPr>
          <w:lang w:eastAsia="ru-RU" w:bidi="ru-RU"/>
        </w:rPr>
        <w:t>года. Не использовать по истечении срока годности, указанного на упаковке.</w:t>
      </w:r>
    </w:p>
    <w:p w14:paraId="38B252AC" w14:textId="77777777" w:rsidR="00BB6320" w:rsidRDefault="00BB6320" w:rsidP="007B46F5">
      <w:pPr>
        <w:pStyle w:val="SDText"/>
        <w:jc w:val="both"/>
        <w:rPr>
          <w:b/>
          <w:bCs/>
          <w:lang w:eastAsia="ru-RU" w:bidi="ru-RU"/>
        </w:rPr>
      </w:pPr>
      <w:bookmarkStart w:id="84" w:name="bookmark32"/>
      <w:bookmarkStart w:id="85" w:name="bookmark33"/>
    </w:p>
    <w:p w14:paraId="3625C00E" w14:textId="1F2EC0C4" w:rsidR="00E05A5D" w:rsidRDefault="00E05A5D" w:rsidP="007B46F5">
      <w:pPr>
        <w:pStyle w:val="SDText"/>
        <w:jc w:val="both"/>
        <w:rPr>
          <w:b/>
          <w:bCs/>
          <w:lang w:eastAsia="ru-RU" w:bidi="ru-RU"/>
        </w:rPr>
      </w:pPr>
      <w:r w:rsidRPr="009E6200">
        <w:rPr>
          <w:b/>
          <w:bCs/>
          <w:lang w:eastAsia="ru-RU" w:bidi="ru-RU"/>
        </w:rPr>
        <w:t>Условия хранения</w:t>
      </w:r>
      <w:bookmarkEnd w:id="84"/>
      <w:bookmarkEnd w:id="85"/>
    </w:p>
    <w:p w14:paraId="5FA5F19F" w14:textId="77777777" w:rsidR="00BB6320" w:rsidRPr="009E6200" w:rsidRDefault="00BB6320" w:rsidP="007B46F5">
      <w:pPr>
        <w:pStyle w:val="SDText"/>
        <w:jc w:val="both"/>
        <w:rPr>
          <w:b/>
          <w:bCs/>
          <w:lang w:eastAsia="ru-RU" w:bidi="ru-RU"/>
        </w:rPr>
      </w:pPr>
    </w:p>
    <w:p w14:paraId="6145B685" w14:textId="77777777" w:rsidR="00E05A5D" w:rsidRPr="009E6200" w:rsidRDefault="00E05A5D" w:rsidP="007B46F5">
      <w:pPr>
        <w:pStyle w:val="SDText"/>
        <w:jc w:val="both"/>
        <w:rPr>
          <w:lang w:eastAsia="ru-RU" w:bidi="ru-RU"/>
        </w:rPr>
      </w:pPr>
      <w:r w:rsidRPr="009E6200">
        <w:rPr>
          <w:lang w:eastAsia="ru-RU" w:bidi="ru-RU"/>
        </w:rPr>
        <w:t>Хранить при температуре 2-8°С в защищенном от света месте. Не замораживать.</w:t>
      </w:r>
    </w:p>
    <w:p w14:paraId="4A77F990" w14:textId="77777777" w:rsidR="00E05A5D" w:rsidRPr="009E6200" w:rsidRDefault="00E05A5D" w:rsidP="007B46F5">
      <w:pPr>
        <w:pStyle w:val="SDText"/>
        <w:jc w:val="both"/>
        <w:rPr>
          <w:lang w:eastAsia="ru-RU" w:bidi="ru-RU"/>
        </w:rPr>
      </w:pPr>
      <w:r w:rsidRPr="009E6200">
        <w:rPr>
          <w:lang w:eastAsia="ru-RU" w:bidi="ru-RU"/>
        </w:rPr>
        <w:t>Хранить в недоступном для детей месте.</w:t>
      </w:r>
    </w:p>
    <w:p w14:paraId="63F8EBF6" w14:textId="3AB58B73" w:rsidR="00E05A5D" w:rsidRPr="009E6200" w:rsidRDefault="00E05A5D" w:rsidP="007B46F5">
      <w:pPr>
        <w:pStyle w:val="SDText"/>
        <w:jc w:val="both"/>
        <w:rPr>
          <w:lang w:eastAsia="ru-RU" w:bidi="ru-RU"/>
        </w:rPr>
      </w:pPr>
      <w:r w:rsidRPr="009E6200">
        <w:rPr>
          <w:lang w:eastAsia="ru-RU" w:bidi="ru-RU"/>
        </w:rPr>
        <w:t>По рецепту.</w:t>
      </w:r>
    </w:p>
    <w:p w14:paraId="7C274C2A" w14:textId="77777777" w:rsidR="00BB6320" w:rsidRDefault="00BB6320" w:rsidP="007B46F5">
      <w:pPr>
        <w:pStyle w:val="SDText"/>
        <w:jc w:val="both"/>
        <w:rPr>
          <w:b/>
          <w:bCs/>
          <w:lang w:eastAsia="ru-RU" w:bidi="ru-RU"/>
        </w:rPr>
      </w:pPr>
      <w:bookmarkStart w:id="86" w:name="bookmark36"/>
      <w:bookmarkStart w:id="87" w:name="bookmark37"/>
    </w:p>
    <w:p w14:paraId="5F811EE5" w14:textId="1C5ECE91" w:rsidR="00E05A5D" w:rsidRPr="009E6200" w:rsidRDefault="00E05A5D" w:rsidP="007B46F5">
      <w:pPr>
        <w:pStyle w:val="SDText"/>
        <w:jc w:val="both"/>
        <w:rPr>
          <w:b/>
          <w:bCs/>
          <w:lang w:eastAsia="ru-RU" w:bidi="ru-RU"/>
        </w:rPr>
      </w:pPr>
      <w:r w:rsidRPr="009E6200">
        <w:rPr>
          <w:b/>
          <w:bCs/>
          <w:lang w:eastAsia="ru-RU" w:bidi="ru-RU"/>
        </w:rPr>
        <w:t>Владелец Регистрационного удостоверения</w:t>
      </w:r>
      <w:bookmarkEnd w:id="86"/>
      <w:bookmarkEnd w:id="87"/>
    </w:p>
    <w:p w14:paraId="2186F988" w14:textId="77777777" w:rsidR="00BB6320" w:rsidRDefault="00BB6320" w:rsidP="007B46F5">
      <w:pPr>
        <w:pStyle w:val="SDText"/>
        <w:jc w:val="both"/>
        <w:rPr>
          <w:lang w:eastAsia="ru-RU" w:bidi="ru-RU"/>
        </w:rPr>
      </w:pPr>
    </w:p>
    <w:p w14:paraId="778B31EC" w14:textId="098DD73D" w:rsidR="00E05A5D" w:rsidRPr="009E6200" w:rsidRDefault="00E05A5D" w:rsidP="007B46F5">
      <w:pPr>
        <w:pStyle w:val="SDText"/>
        <w:jc w:val="both"/>
        <w:rPr>
          <w:lang w:eastAsia="ru-RU" w:bidi="ru-RU"/>
        </w:rPr>
      </w:pPr>
      <w:r w:rsidRPr="009E6200">
        <w:rPr>
          <w:lang w:eastAsia="ru-RU" w:bidi="ru-RU"/>
        </w:rPr>
        <w:t>Ф. Хоффманн-Ля Рош Лтд., Швейцария</w:t>
      </w:r>
    </w:p>
    <w:p w14:paraId="320718CE" w14:textId="77777777" w:rsidR="00E05A5D" w:rsidRPr="009E6200" w:rsidRDefault="00E05A5D" w:rsidP="007B46F5">
      <w:pPr>
        <w:pStyle w:val="SDText"/>
        <w:jc w:val="both"/>
        <w:rPr>
          <w:lang w:val="en-US" w:eastAsia="ru-RU" w:bidi="ru-RU"/>
        </w:rPr>
      </w:pPr>
      <w:r w:rsidRPr="009E6200">
        <w:rPr>
          <w:lang w:val="en-US" w:eastAsia="ru-RU" w:bidi="en-US"/>
        </w:rPr>
        <w:t xml:space="preserve">F. Hoffmann-La Roche Ltd, Grenzacherstrasse </w:t>
      </w:r>
      <w:r w:rsidRPr="009E6200">
        <w:rPr>
          <w:lang w:val="en-US" w:eastAsia="ru-RU" w:bidi="ru-RU"/>
        </w:rPr>
        <w:t xml:space="preserve">124, 4070 </w:t>
      </w:r>
      <w:r w:rsidRPr="009E6200">
        <w:rPr>
          <w:lang w:val="en-US" w:eastAsia="ru-RU" w:bidi="en-US"/>
        </w:rPr>
        <w:t>Basel, Switzerland</w:t>
      </w:r>
    </w:p>
    <w:p w14:paraId="2550E4CB" w14:textId="77777777" w:rsidR="00BB6320" w:rsidRPr="0024542E" w:rsidRDefault="00BB6320" w:rsidP="007B46F5">
      <w:pPr>
        <w:pStyle w:val="SDText"/>
        <w:jc w:val="both"/>
        <w:rPr>
          <w:b/>
          <w:bCs/>
          <w:lang w:val="en-US" w:eastAsia="ru-RU" w:bidi="ru-RU"/>
        </w:rPr>
      </w:pPr>
      <w:bookmarkStart w:id="88" w:name="bookmark38"/>
      <w:bookmarkStart w:id="89" w:name="bookmark39"/>
    </w:p>
    <w:p w14:paraId="554F6A3B" w14:textId="3634DEB7" w:rsidR="00E05A5D" w:rsidRPr="009E6200" w:rsidRDefault="00E05A5D" w:rsidP="007B46F5">
      <w:pPr>
        <w:pStyle w:val="SDText"/>
        <w:jc w:val="both"/>
        <w:rPr>
          <w:b/>
          <w:bCs/>
          <w:lang w:val="en-US" w:eastAsia="ru-RU" w:bidi="ru-RU"/>
        </w:rPr>
      </w:pPr>
      <w:r w:rsidRPr="009E6200">
        <w:rPr>
          <w:b/>
          <w:bCs/>
          <w:lang w:eastAsia="ru-RU" w:bidi="ru-RU"/>
        </w:rPr>
        <w:t>Производитель</w:t>
      </w:r>
      <w:bookmarkEnd w:id="88"/>
      <w:bookmarkEnd w:id="89"/>
    </w:p>
    <w:p w14:paraId="0A979B1D" w14:textId="77777777" w:rsidR="00BB6320" w:rsidRPr="0024542E" w:rsidRDefault="00BB6320" w:rsidP="007B46F5">
      <w:pPr>
        <w:pStyle w:val="SDText"/>
        <w:jc w:val="both"/>
        <w:rPr>
          <w:lang w:val="en-US" w:eastAsia="ru-RU" w:bidi="ru-RU"/>
        </w:rPr>
      </w:pPr>
    </w:p>
    <w:p w14:paraId="5DCF2B1B" w14:textId="304BBC33" w:rsidR="00E05A5D" w:rsidRDefault="00E05A5D" w:rsidP="00992857">
      <w:pPr>
        <w:pStyle w:val="SDText"/>
        <w:jc w:val="both"/>
        <w:rPr>
          <w:lang w:val="en-US" w:eastAsia="ru-RU" w:bidi="en-US"/>
        </w:rPr>
      </w:pPr>
      <w:r w:rsidRPr="009E6200">
        <w:rPr>
          <w:lang w:eastAsia="ru-RU" w:bidi="ru-RU"/>
        </w:rPr>
        <w:t>Дженентек</w:t>
      </w:r>
      <w:r w:rsidRPr="0024542E">
        <w:rPr>
          <w:lang w:val="en-US" w:eastAsia="ru-RU" w:bidi="ru-RU"/>
        </w:rPr>
        <w:t xml:space="preserve"> </w:t>
      </w:r>
      <w:r w:rsidRPr="009E6200">
        <w:rPr>
          <w:lang w:eastAsia="ru-RU" w:bidi="ru-RU"/>
        </w:rPr>
        <w:t>Инк</w:t>
      </w:r>
      <w:r w:rsidRPr="0024542E">
        <w:rPr>
          <w:lang w:val="en-US" w:eastAsia="ru-RU" w:bidi="ru-RU"/>
        </w:rPr>
        <w:t xml:space="preserve">., </w:t>
      </w:r>
      <w:r w:rsidRPr="009E6200">
        <w:rPr>
          <w:lang w:eastAsia="ru-RU" w:bidi="ru-RU"/>
        </w:rPr>
        <w:t>США</w:t>
      </w:r>
      <w:r w:rsidR="00DA24D0" w:rsidRPr="0024542E">
        <w:rPr>
          <w:lang w:val="en-US" w:eastAsia="ru-RU" w:bidi="ru-RU"/>
        </w:rPr>
        <w:t xml:space="preserve"> (</w:t>
      </w:r>
      <w:r w:rsidRPr="009E6200">
        <w:rPr>
          <w:lang w:val="en-US" w:eastAsia="ru-RU" w:bidi="en-US"/>
        </w:rPr>
        <w:t>Genentech</w:t>
      </w:r>
      <w:r w:rsidRPr="0024542E">
        <w:rPr>
          <w:lang w:val="en-US" w:eastAsia="ru-RU" w:bidi="en-US"/>
        </w:rPr>
        <w:t xml:space="preserve"> </w:t>
      </w:r>
      <w:r w:rsidRPr="009E6200">
        <w:rPr>
          <w:lang w:val="en-US" w:eastAsia="ru-RU" w:bidi="en-US"/>
        </w:rPr>
        <w:t>Inc</w:t>
      </w:r>
      <w:r w:rsidRPr="0024542E">
        <w:rPr>
          <w:lang w:val="en-US" w:eastAsia="ru-RU" w:bidi="en-US"/>
        </w:rPr>
        <w:t xml:space="preserve">., </w:t>
      </w:r>
      <w:r w:rsidRPr="0024542E">
        <w:rPr>
          <w:lang w:val="en-US" w:eastAsia="ru-RU" w:bidi="ru-RU"/>
        </w:rPr>
        <w:t xml:space="preserve">1 </w:t>
      </w:r>
      <w:r w:rsidRPr="009E6200">
        <w:rPr>
          <w:lang w:val="en-US" w:eastAsia="ru-RU" w:bidi="en-US"/>
        </w:rPr>
        <w:t>DNA</w:t>
      </w:r>
      <w:r w:rsidRPr="0024542E">
        <w:rPr>
          <w:lang w:val="en-US" w:eastAsia="ru-RU" w:bidi="en-US"/>
        </w:rPr>
        <w:t xml:space="preserve"> </w:t>
      </w:r>
      <w:r w:rsidRPr="009E6200">
        <w:rPr>
          <w:lang w:val="en-US" w:eastAsia="ru-RU" w:bidi="en-US"/>
        </w:rPr>
        <w:t>Way</w:t>
      </w:r>
      <w:r w:rsidRPr="0024542E">
        <w:rPr>
          <w:lang w:val="en-US" w:eastAsia="ru-RU" w:bidi="en-US"/>
        </w:rPr>
        <w:t xml:space="preserve">, </w:t>
      </w:r>
      <w:r w:rsidRPr="009E6200">
        <w:rPr>
          <w:lang w:val="en-US" w:eastAsia="ru-RU" w:bidi="en-US"/>
        </w:rPr>
        <w:t>South</w:t>
      </w:r>
      <w:r w:rsidRPr="0024542E">
        <w:rPr>
          <w:lang w:val="en-US" w:eastAsia="ru-RU" w:bidi="en-US"/>
        </w:rPr>
        <w:t xml:space="preserve"> </w:t>
      </w:r>
      <w:r w:rsidRPr="009E6200">
        <w:rPr>
          <w:lang w:val="en-US" w:eastAsia="ru-RU" w:bidi="en-US"/>
        </w:rPr>
        <w:t>San</w:t>
      </w:r>
      <w:r w:rsidRPr="0024542E">
        <w:rPr>
          <w:lang w:val="en-US" w:eastAsia="ru-RU" w:bidi="en-US"/>
        </w:rPr>
        <w:t xml:space="preserve"> </w:t>
      </w:r>
      <w:r w:rsidRPr="009E6200">
        <w:rPr>
          <w:lang w:val="en-US" w:eastAsia="ru-RU" w:bidi="en-US"/>
        </w:rPr>
        <w:t>Francisco</w:t>
      </w:r>
      <w:r w:rsidRPr="0024542E">
        <w:rPr>
          <w:lang w:val="en-US" w:eastAsia="ru-RU" w:bidi="en-US"/>
        </w:rPr>
        <w:t xml:space="preserve">, </w:t>
      </w:r>
      <w:r w:rsidRPr="009E6200">
        <w:rPr>
          <w:lang w:val="en-US" w:eastAsia="ru-RU" w:bidi="en-US"/>
        </w:rPr>
        <w:t>California</w:t>
      </w:r>
      <w:r w:rsidRPr="0024542E">
        <w:rPr>
          <w:lang w:val="en-US" w:eastAsia="ru-RU" w:bidi="en-US"/>
        </w:rPr>
        <w:t xml:space="preserve"> (</w:t>
      </w:r>
      <w:r w:rsidRPr="009E6200">
        <w:rPr>
          <w:lang w:val="en-US" w:eastAsia="ru-RU" w:bidi="en-US"/>
        </w:rPr>
        <w:t>CA</w:t>
      </w:r>
      <w:r w:rsidRPr="0024542E">
        <w:rPr>
          <w:lang w:val="en-US" w:eastAsia="ru-RU" w:bidi="en-US"/>
        </w:rPr>
        <w:t xml:space="preserve">) </w:t>
      </w:r>
      <w:r w:rsidRPr="0024542E">
        <w:rPr>
          <w:lang w:val="en-US" w:eastAsia="ru-RU" w:bidi="ru-RU"/>
        </w:rPr>
        <w:t xml:space="preserve">94080, </w:t>
      </w:r>
      <w:r w:rsidRPr="009E6200">
        <w:rPr>
          <w:lang w:val="en-US" w:eastAsia="ru-RU" w:bidi="en-US"/>
        </w:rPr>
        <w:t>USA</w:t>
      </w:r>
      <w:r w:rsidR="00DA24D0" w:rsidRPr="0024542E">
        <w:rPr>
          <w:lang w:val="en-US" w:eastAsia="ru-RU" w:bidi="en-US"/>
        </w:rPr>
        <w:t xml:space="preserve"> </w:t>
      </w:r>
      <w:r w:rsidRPr="009E6200">
        <w:rPr>
          <w:lang w:eastAsia="ru-RU" w:bidi="ru-RU"/>
        </w:rPr>
        <w:t>или</w:t>
      </w:r>
      <w:r w:rsidR="00DA24D0" w:rsidRPr="0024542E">
        <w:rPr>
          <w:lang w:val="en-US" w:eastAsia="ru-RU" w:bidi="ru-RU"/>
        </w:rPr>
        <w:t xml:space="preserve"> </w:t>
      </w:r>
      <w:r w:rsidRPr="009E6200">
        <w:rPr>
          <w:lang w:val="en-US" w:eastAsia="ru-RU" w:bidi="en-US"/>
        </w:rPr>
        <w:t>Genentech</w:t>
      </w:r>
      <w:r w:rsidRPr="0024542E">
        <w:rPr>
          <w:lang w:val="en-US" w:eastAsia="ru-RU" w:bidi="en-US"/>
        </w:rPr>
        <w:t xml:space="preserve"> </w:t>
      </w:r>
      <w:r w:rsidRPr="009E6200">
        <w:rPr>
          <w:lang w:val="en-US" w:eastAsia="ru-RU" w:bidi="en-US"/>
        </w:rPr>
        <w:t>Inc</w:t>
      </w:r>
      <w:r w:rsidRPr="0024542E">
        <w:rPr>
          <w:lang w:val="en-US" w:eastAsia="ru-RU" w:bidi="en-US"/>
        </w:rPr>
        <w:t xml:space="preserve">., </w:t>
      </w:r>
      <w:r w:rsidRPr="0024542E">
        <w:rPr>
          <w:lang w:val="en-US" w:eastAsia="ru-RU" w:bidi="ru-RU"/>
        </w:rPr>
        <w:t xml:space="preserve">4625 </w:t>
      </w:r>
      <w:r w:rsidRPr="009E6200">
        <w:rPr>
          <w:lang w:val="en-US" w:eastAsia="ru-RU" w:bidi="en-US"/>
        </w:rPr>
        <w:t>NW</w:t>
      </w:r>
      <w:r w:rsidRPr="0024542E">
        <w:rPr>
          <w:lang w:val="en-US" w:eastAsia="ru-RU" w:bidi="en-US"/>
        </w:rPr>
        <w:t xml:space="preserve"> </w:t>
      </w:r>
      <w:r w:rsidRPr="009E6200">
        <w:rPr>
          <w:lang w:val="en-US" w:eastAsia="ru-RU" w:bidi="en-US"/>
        </w:rPr>
        <w:t>Brookwood</w:t>
      </w:r>
      <w:r w:rsidRPr="0024542E">
        <w:rPr>
          <w:lang w:val="en-US" w:eastAsia="ru-RU" w:bidi="en-US"/>
        </w:rPr>
        <w:t xml:space="preserve"> </w:t>
      </w:r>
      <w:r w:rsidRPr="009E6200">
        <w:rPr>
          <w:lang w:val="en-US" w:eastAsia="ru-RU" w:bidi="en-US"/>
        </w:rPr>
        <w:t>Parkway</w:t>
      </w:r>
      <w:r w:rsidRPr="0024542E">
        <w:rPr>
          <w:lang w:val="en-US" w:eastAsia="ru-RU" w:bidi="en-US"/>
        </w:rPr>
        <w:t xml:space="preserve">, </w:t>
      </w:r>
      <w:r w:rsidRPr="009E6200">
        <w:rPr>
          <w:lang w:val="en-US" w:eastAsia="ru-RU" w:bidi="en-US"/>
        </w:rPr>
        <w:t>Hillsboro</w:t>
      </w:r>
      <w:r w:rsidRPr="0024542E">
        <w:rPr>
          <w:lang w:val="en-US" w:eastAsia="ru-RU" w:bidi="en-US"/>
        </w:rPr>
        <w:t xml:space="preserve">, </w:t>
      </w:r>
      <w:r w:rsidRPr="009E6200">
        <w:rPr>
          <w:lang w:val="en-US" w:eastAsia="ru-RU" w:bidi="en-US"/>
        </w:rPr>
        <w:t>Oregon</w:t>
      </w:r>
      <w:r w:rsidRPr="0024542E">
        <w:rPr>
          <w:lang w:val="en-US" w:eastAsia="ru-RU" w:bidi="en-US"/>
        </w:rPr>
        <w:t xml:space="preserve"> (</w:t>
      </w:r>
      <w:r w:rsidRPr="009E6200">
        <w:rPr>
          <w:lang w:val="en-US" w:eastAsia="ru-RU" w:bidi="en-US"/>
        </w:rPr>
        <w:t>OR</w:t>
      </w:r>
      <w:r w:rsidRPr="0024542E">
        <w:rPr>
          <w:lang w:val="en-US" w:eastAsia="ru-RU" w:bidi="en-US"/>
        </w:rPr>
        <w:t xml:space="preserve">) </w:t>
      </w:r>
      <w:r w:rsidRPr="0024542E">
        <w:rPr>
          <w:lang w:val="en-US" w:eastAsia="ru-RU" w:bidi="ru-RU"/>
        </w:rPr>
        <w:t xml:space="preserve">97124, </w:t>
      </w:r>
      <w:r w:rsidRPr="009E6200">
        <w:rPr>
          <w:lang w:val="en-US" w:eastAsia="ru-RU" w:bidi="en-US"/>
        </w:rPr>
        <w:t>USA</w:t>
      </w:r>
      <w:r w:rsidR="00DA24D0" w:rsidRPr="0024542E">
        <w:rPr>
          <w:lang w:val="en-US" w:eastAsia="ru-RU" w:bidi="en-US"/>
        </w:rPr>
        <w:t xml:space="preserve">), </w:t>
      </w:r>
      <w:r w:rsidRPr="009E6200">
        <w:rPr>
          <w:lang w:eastAsia="ru-RU" w:bidi="ru-RU"/>
        </w:rPr>
        <w:t>Ф</w:t>
      </w:r>
      <w:r w:rsidRPr="0024542E">
        <w:rPr>
          <w:lang w:val="en-US" w:eastAsia="ru-RU" w:bidi="ru-RU"/>
        </w:rPr>
        <w:t xml:space="preserve">. </w:t>
      </w:r>
      <w:r w:rsidRPr="009E6200">
        <w:rPr>
          <w:lang w:eastAsia="ru-RU" w:bidi="ru-RU"/>
        </w:rPr>
        <w:t>Хоффманн</w:t>
      </w:r>
      <w:r w:rsidRPr="0024542E">
        <w:rPr>
          <w:lang w:val="en-US" w:eastAsia="ru-RU" w:bidi="ru-RU"/>
        </w:rPr>
        <w:t>-</w:t>
      </w:r>
      <w:r w:rsidRPr="009E6200">
        <w:rPr>
          <w:lang w:eastAsia="ru-RU" w:bidi="ru-RU"/>
        </w:rPr>
        <w:t>Ля</w:t>
      </w:r>
      <w:r w:rsidRPr="0024542E">
        <w:rPr>
          <w:lang w:val="en-US" w:eastAsia="ru-RU" w:bidi="ru-RU"/>
        </w:rPr>
        <w:t xml:space="preserve"> </w:t>
      </w:r>
      <w:r w:rsidRPr="009E6200">
        <w:rPr>
          <w:lang w:eastAsia="ru-RU" w:bidi="ru-RU"/>
        </w:rPr>
        <w:t>Рош</w:t>
      </w:r>
      <w:r w:rsidRPr="0024542E">
        <w:rPr>
          <w:lang w:val="en-US" w:eastAsia="ru-RU" w:bidi="ru-RU"/>
        </w:rPr>
        <w:t xml:space="preserve"> </w:t>
      </w:r>
      <w:r w:rsidRPr="009E6200">
        <w:rPr>
          <w:lang w:eastAsia="ru-RU" w:bidi="ru-RU"/>
        </w:rPr>
        <w:t>Лтд</w:t>
      </w:r>
      <w:r w:rsidRPr="0024542E">
        <w:rPr>
          <w:lang w:val="en-US" w:eastAsia="ru-RU" w:bidi="ru-RU"/>
        </w:rPr>
        <w:t xml:space="preserve">., </w:t>
      </w:r>
      <w:r w:rsidRPr="009E6200">
        <w:rPr>
          <w:lang w:eastAsia="ru-RU" w:bidi="ru-RU"/>
        </w:rPr>
        <w:t>Швейцария</w:t>
      </w:r>
      <w:r w:rsidR="00DA24D0" w:rsidRPr="0024542E">
        <w:rPr>
          <w:lang w:val="en-US" w:eastAsia="ru-RU" w:bidi="ru-RU"/>
        </w:rPr>
        <w:t xml:space="preserve"> (</w:t>
      </w:r>
      <w:r w:rsidRPr="009E6200">
        <w:rPr>
          <w:lang w:val="en-US" w:eastAsia="ru-RU" w:bidi="en-US"/>
        </w:rPr>
        <w:t>F</w:t>
      </w:r>
      <w:r w:rsidRPr="0024542E">
        <w:rPr>
          <w:lang w:val="en-US" w:eastAsia="ru-RU" w:bidi="en-US"/>
        </w:rPr>
        <w:t xml:space="preserve">. </w:t>
      </w:r>
      <w:r w:rsidRPr="009E6200">
        <w:rPr>
          <w:lang w:val="en-US" w:eastAsia="ru-RU" w:bidi="en-US"/>
        </w:rPr>
        <w:t>Hoffmann</w:t>
      </w:r>
      <w:r w:rsidRPr="0024542E">
        <w:rPr>
          <w:lang w:val="en-US" w:eastAsia="ru-RU" w:bidi="en-US"/>
        </w:rPr>
        <w:t>-</w:t>
      </w:r>
      <w:r w:rsidRPr="009E6200">
        <w:rPr>
          <w:lang w:val="en-US" w:eastAsia="ru-RU" w:bidi="en-US"/>
        </w:rPr>
        <w:t>La</w:t>
      </w:r>
      <w:r w:rsidRPr="0024542E">
        <w:rPr>
          <w:lang w:val="en-US" w:eastAsia="ru-RU" w:bidi="en-US"/>
        </w:rPr>
        <w:t xml:space="preserve"> </w:t>
      </w:r>
      <w:r w:rsidRPr="009E6200">
        <w:rPr>
          <w:lang w:val="en-US" w:eastAsia="ru-RU" w:bidi="en-US"/>
        </w:rPr>
        <w:t>Roche</w:t>
      </w:r>
      <w:r w:rsidRPr="0024542E">
        <w:rPr>
          <w:lang w:val="en-US" w:eastAsia="ru-RU" w:bidi="en-US"/>
        </w:rPr>
        <w:t xml:space="preserve"> </w:t>
      </w:r>
      <w:r w:rsidRPr="009E6200">
        <w:rPr>
          <w:lang w:val="en-US" w:eastAsia="ru-RU" w:bidi="en-US"/>
        </w:rPr>
        <w:t>Ltd</w:t>
      </w:r>
      <w:r w:rsidRPr="0024542E">
        <w:rPr>
          <w:lang w:val="en-US" w:eastAsia="ru-RU" w:bidi="en-US"/>
        </w:rPr>
        <w:t xml:space="preserve">, </w:t>
      </w:r>
      <w:r w:rsidRPr="009E6200">
        <w:rPr>
          <w:lang w:val="en-US" w:eastAsia="ru-RU" w:bidi="en-US"/>
        </w:rPr>
        <w:t>Wurmisweg</w:t>
      </w:r>
      <w:r w:rsidRPr="0024542E">
        <w:rPr>
          <w:lang w:val="en-US" w:eastAsia="ru-RU" w:bidi="en-US"/>
        </w:rPr>
        <w:t xml:space="preserve">, </w:t>
      </w:r>
      <w:r w:rsidRPr="0024542E">
        <w:rPr>
          <w:lang w:val="en-US" w:eastAsia="ru-RU" w:bidi="ru-RU"/>
        </w:rPr>
        <w:t xml:space="preserve">4303 </w:t>
      </w:r>
      <w:r w:rsidRPr="009E6200">
        <w:rPr>
          <w:lang w:val="en-US" w:eastAsia="ru-RU" w:bidi="en-US"/>
        </w:rPr>
        <w:t>Kaiseraugst</w:t>
      </w:r>
      <w:r w:rsidRPr="0024542E">
        <w:rPr>
          <w:lang w:val="en-US" w:eastAsia="ru-RU" w:bidi="en-US"/>
        </w:rPr>
        <w:t xml:space="preserve">, </w:t>
      </w:r>
      <w:r w:rsidRPr="009E6200">
        <w:rPr>
          <w:lang w:val="en-US" w:eastAsia="ru-RU" w:bidi="en-US"/>
        </w:rPr>
        <w:t>Switzerland</w:t>
      </w:r>
      <w:r w:rsidR="00DA24D0" w:rsidRPr="0024542E">
        <w:rPr>
          <w:lang w:val="en-US" w:eastAsia="ru-RU" w:bidi="en-US"/>
        </w:rPr>
        <w:t xml:space="preserve">), </w:t>
      </w:r>
      <w:r w:rsidRPr="009E6200">
        <w:rPr>
          <w:lang w:eastAsia="ru-RU" w:bidi="ru-RU"/>
        </w:rPr>
        <w:t>Рош</w:t>
      </w:r>
      <w:r w:rsidRPr="0024542E">
        <w:rPr>
          <w:lang w:val="en-US" w:eastAsia="ru-RU" w:bidi="ru-RU"/>
        </w:rPr>
        <w:t xml:space="preserve"> </w:t>
      </w:r>
      <w:r w:rsidRPr="009E6200">
        <w:rPr>
          <w:lang w:eastAsia="ru-RU" w:bidi="ru-RU"/>
        </w:rPr>
        <w:t>Диагностикс</w:t>
      </w:r>
      <w:r w:rsidRPr="0024542E">
        <w:rPr>
          <w:lang w:val="en-US" w:eastAsia="ru-RU" w:bidi="ru-RU"/>
        </w:rPr>
        <w:t xml:space="preserve"> </w:t>
      </w:r>
      <w:r w:rsidRPr="009E6200">
        <w:rPr>
          <w:lang w:eastAsia="ru-RU" w:bidi="ru-RU"/>
        </w:rPr>
        <w:t>ГмбХ</w:t>
      </w:r>
      <w:r w:rsidRPr="0024542E">
        <w:rPr>
          <w:lang w:val="en-US" w:eastAsia="ru-RU" w:bidi="ru-RU"/>
        </w:rPr>
        <w:t xml:space="preserve">, </w:t>
      </w:r>
      <w:r w:rsidRPr="009E6200">
        <w:rPr>
          <w:lang w:eastAsia="ru-RU" w:bidi="ru-RU"/>
        </w:rPr>
        <w:t>Германия</w:t>
      </w:r>
      <w:r w:rsidR="00DA24D0" w:rsidRPr="0024542E">
        <w:rPr>
          <w:lang w:val="en-US" w:eastAsia="ru-RU" w:bidi="ru-RU"/>
        </w:rPr>
        <w:t xml:space="preserve"> (</w:t>
      </w:r>
      <w:r w:rsidRPr="009E6200">
        <w:rPr>
          <w:lang w:val="en-US" w:eastAsia="ru-RU" w:bidi="en-US"/>
        </w:rPr>
        <w:t>Roche</w:t>
      </w:r>
      <w:r w:rsidRPr="0024542E">
        <w:rPr>
          <w:lang w:val="en-US" w:eastAsia="ru-RU" w:bidi="en-US"/>
        </w:rPr>
        <w:t xml:space="preserve"> </w:t>
      </w:r>
      <w:r w:rsidRPr="009E6200">
        <w:rPr>
          <w:lang w:val="en-US" w:eastAsia="ru-RU" w:bidi="en-US"/>
        </w:rPr>
        <w:t>Diagnostics</w:t>
      </w:r>
      <w:r w:rsidRPr="0024542E">
        <w:rPr>
          <w:lang w:val="en-US" w:eastAsia="ru-RU" w:bidi="en-US"/>
        </w:rPr>
        <w:t xml:space="preserve"> </w:t>
      </w:r>
      <w:r w:rsidRPr="009E6200">
        <w:rPr>
          <w:lang w:val="en-US" w:eastAsia="ru-RU" w:bidi="en-US"/>
        </w:rPr>
        <w:t>GmbH</w:t>
      </w:r>
      <w:r w:rsidRPr="0024542E">
        <w:rPr>
          <w:lang w:val="en-US" w:eastAsia="ru-RU" w:bidi="en-US"/>
        </w:rPr>
        <w:t xml:space="preserve">, </w:t>
      </w:r>
      <w:r w:rsidRPr="009E6200">
        <w:rPr>
          <w:lang w:val="en-US" w:eastAsia="ru-RU" w:bidi="en-US"/>
        </w:rPr>
        <w:t>Sandhofer</w:t>
      </w:r>
      <w:r w:rsidRPr="0024542E">
        <w:rPr>
          <w:lang w:val="en-US" w:eastAsia="ru-RU" w:bidi="en-US"/>
        </w:rPr>
        <w:t xml:space="preserve"> </w:t>
      </w:r>
      <w:r w:rsidRPr="009E6200">
        <w:rPr>
          <w:lang w:val="en-US" w:eastAsia="ru-RU" w:bidi="en-US"/>
        </w:rPr>
        <w:t>Strasse</w:t>
      </w:r>
      <w:r w:rsidRPr="0024542E">
        <w:rPr>
          <w:lang w:val="en-US" w:eastAsia="ru-RU" w:bidi="en-US"/>
        </w:rPr>
        <w:t xml:space="preserve"> </w:t>
      </w:r>
      <w:r w:rsidRPr="0024542E">
        <w:rPr>
          <w:lang w:val="en-US" w:eastAsia="ru-RU" w:bidi="ru-RU"/>
        </w:rPr>
        <w:t xml:space="preserve">116, 68305 </w:t>
      </w:r>
      <w:r w:rsidRPr="009E6200">
        <w:rPr>
          <w:lang w:val="en-US" w:eastAsia="ru-RU" w:bidi="en-US"/>
        </w:rPr>
        <w:t>Mannheim</w:t>
      </w:r>
      <w:r w:rsidRPr="0024542E">
        <w:rPr>
          <w:lang w:val="en-US" w:eastAsia="ru-RU" w:bidi="en-US"/>
        </w:rPr>
        <w:t xml:space="preserve">, </w:t>
      </w:r>
      <w:r w:rsidRPr="009E6200">
        <w:rPr>
          <w:lang w:val="en-US" w:eastAsia="ru-RU" w:bidi="en-US"/>
        </w:rPr>
        <w:t>Germany</w:t>
      </w:r>
      <w:r w:rsidR="00DA24D0" w:rsidRPr="0024542E">
        <w:rPr>
          <w:lang w:val="en-US" w:eastAsia="ru-RU" w:bidi="en-US"/>
        </w:rPr>
        <w:t>).</w:t>
      </w:r>
    </w:p>
    <w:p w14:paraId="647FB71C" w14:textId="77777777" w:rsidR="00992857" w:rsidRPr="00992857" w:rsidRDefault="00992857" w:rsidP="00992857">
      <w:pPr>
        <w:pStyle w:val="SDText"/>
        <w:jc w:val="both"/>
        <w:rPr>
          <w:lang w:val="en-US" w:eastAsia="ru-RU"/>
        </w:rPr>
      </w:pPr>
    </w:p>
    <w:p w14:paraId="6FB5A58A" w14:textId="79616335" w:rsidR="00073DCB" w:rsidRDefault="00E64836" w:rsidP="007B46F5">
      <w:pPr>
        <w:pStyle w:val="Heading2"/>
      </w:pPr>
      <w:bookmarkStart w:id="90" w:name="_Toc120865229"/>
      <w:r w:rsidRPr="009E6200">
        <w:t>Сводное изложение результатов доклинических исследований</w:t>
      </w:r>
      <w:bookmarkEnd w:id="90"/>
    </w:p>
    <w:p w14:paraId="2827DEB8" w14:textId="77777777" w:rsidR="00BB6320" w:rsidRPr="00BB6320" w:rsidRDefault="00BB6320" w:rsidP="007B46F5">
      <w:pPr>
        <w:pStyle w:val="SDText"/>
        <w:rPr>
          <w:lang w:eastAsia="ru-RU"/>
        </w:rPr>
      </w:pPr>
    </w:p>
    <w:p w14:paraId="269C8D34" w14:textId="77777777" w:rsidR="003B6456" w:rsidRPr="009E6200" w:rsidRDefault="003B6456" w:rsidP="007B46F5">
      <w:pPr>
        <w:pStyle w:val="SDText"/>
        <w:ind w:firstLine="709"/>
        <w:jc w:val="both"/>
      </w:pPr>
      <w:r w:rsidRPr="009E6200">
        <w:t>RPH-001 является воспроизведенным аналогом препарата Авастин</w:t>
      </w:r>
      <w:r w:rsidR="00121FA5" w:rsidRPr="009E6200">
        <w:rPr>
          <w:rFonts w:cs="Times New Roman"/>
          <w:vertAlign w:val="superscript"/>
        </w:rPr>
        <w:t>®</w:t>
      </w:r>
      <w:r w:rsidRPr="009E6200">
        <w:t xml:space="preserve"> (бевацизумаб). Препараты</w:t>
      </w:r>
      <w:r w:rsidR="00A35C18" w:rsidRPr="009E6200">
        <w:t xml:space="preserve"> </w:t>
      </w:r>
      <w:r w:rsidRPr="009E6200">
        <w:t>RPH-001</w:t>
      </w:r>
      <w:r w:rsidR="00A35C18" w:rsidRPr="009E6200">
        <w:t xml:space="preserve"> </w:t>
      </w:r>
      <w:r w:rsidRPr="009E6200">
        <w:t>и</w:t>
      </w:r>
      <w:r w:rsidR="00A35C18" w:rsidRPr="009E6200">
        <w:t xml:space="preserve"> </w:t>
      </w:r>
      <w:r w:rsidRPr="009E6200">
        <w:t>Авастин</w:t>
      </w:r>
      <w:r w:rsidR="00121FA5" w:rsidRPr="009E6200">
        <w:rPr>
          <w:rFonts w:cs="Times New Roman"/>
          <w:vertAlign w:val="superscript"/>
        </w:rPr>
        <w:t>®</w:t>
      </w:r>
      <w:r w:rsidR="00A35C18" w:rsidRPr="009E6200">
        <w:t xml:space="preserve"> </w:t>
      </w:r>
      <w:r w:rsidRPr="009E6200">
        <w:t>представляют</w:t>
      </w:r>
      <w:r w:rsidR="00A35C18" w:rsidRPr="009E6200">
        <w:t xml:space="preserve"> </w:t>
      </w:r>
      <w:r w:rsidRPr="009E6200">
        <w:t>собой</w:t>
      </w:r>
      <w:r w:rsidR="00A35C18" w:rsidRPr="009E6200">
        <w:t xml:space="preserve"> </w:t>
      </w:r>
      <w:r w:rsidRPr="009E6200">
        <w:t>рекомбинантные гуманизированные</w:t>
      </w:r>
      <w:r w:rsidR="00A35C18" w:rsidRPr="009E6200">
        <w:t xml:space="preserve"> </w:t>
      </w:r>
      <w:r w:rsidRPr="009E6200">
        <w:t>моноклональные</w:t>
      </w:r>
      <w:r w:rsidR="00A35C18" w:rsidRPr="009E6200">
        <w:t xml:space="preserve"> </w:t>
      </w:r>
      <w:r w:rsidRPr="009E6200">
        <w:t>ан</w:t>
      </w:r>
      <w:r w:rsidR="00A35C18" w:rsidRPr="009E6200">
        <w:t>титела к человеческому VEGF.</w:t>
      </w:r>
      <w:r w:rsidRPr="009E6200">
        <w:t xml:space="preserve"> Антитела</w:t>
      </w:r>
      <w:r w:rsidR="00A35C18" w:rsidRPr="009E6200">
        <w:t xml:space="preserve"> </w:t>
      </w:r>
      <w:r w:rsidRPr="009E6200">
        <w:t>ингибируют</w:t>
      </w:r>
      <w:r w:rsidR="00A35C18" w:rsidRPr="009E6200">
        <w:t xml:space="preserve"> </w:t>
      </w:r>
      <w:r w:rsidRPr="009E6200">
        <w:t>связывание</w:t>
      </w:r>
      <w:r w:rsidR="00A35C18" w:rsidRPr="009E6200">
        <w:t xml:space="preserve"> </w:t>
      </w:r>
      <w:r w:rsidRPr="009E6200">
        <w:t>VEGF</w:t>
      </w:r>
      <w:r w:rsidR="00A35C18" w:rsidRPr="009E6200">
        <w:t xml:space="preserve"> </w:t>
      </w:r>
      <w:r w:rsidRPr="009E6200">
        <w:t>с</w:t>
      </w:r>
      <w:r w:rsidR="00A35C18" w:rsidRPr="009E6200">
        <w:t xml:space="preserve"> </w:t>
      </w:r>
      <w:r w:rsidRPr="009E6200">
        <w:t>его рецепторами</w:t>
      </w:r>
      <w:r w:rsidR="00A35C18" w:rsidRPr="009E6200">
        <w:t xml:space="preserve"> </w:t>
      </w:r>
      <w:r w:rsidRPr="009E6200">
        <w:t>на</w:t>
      </w:r>
      <w:r w:rsidR="00A35C18" w:rsidRPr="009E6200">
        <w:t xml:space="preserve"> </w:t>
      </w:r>
      <w:r w:rsidRPr="009E6200">
        <w:t>поверхности</w:t>
      </w:r>
      <w:r w:rsidR="00A35C18" w:rsidRPr="009E6200">
        <w:t xml:space="preserve"> </w:t>
      </w:r>
      <w:r w:rsidRPr="009E6200">
        <w:t>эндотелиальных</w:t>
      </w:r>
      <w:r w:rsidR="00A35C18" w:rsidRPr="009E6200">
        <w:t xml:space="preserve"> </w:t>
      </w:r>
      <w:r w:rsidRPr="009E6200">
        <w:t>клеток,</w:t>
      </w:r>
      <w:r w:rsidR="00A35C18" w:rsidRPr="009E6200">
        <w:t xml:space="preserve"> </w:t>
      </w:r>
      <w:r w:rsidRPr="009E6200">
        <w:t>что</w:t>
      </w:r>
      <w:r w:rsidR="00A35C18" w:rsidRPr="009E6200">
        <w:t xml:space="preserve"> </w:t>
      </w:r>
      <w:r w:rsidRPr="009E6200">
        <w:t>приводит</w:t>
      </w:r>
      <w:r w:rsidR="00A35C18" w:rsidRPr="009E6200">
        <w:t xml:space="preserve"> </w:t>
      </w:r>
      <w:r w:rsidRPr="009E6200">
        <w:t>к</w:t>
      </w:r>
      <w:r w:rsidR="00A35C18" w:rsidRPr="009E6200">
        <w:t xml:space="preserve"> </w:t>
      </w:r>
      <w:r w:rsidRPr="009E6200">
        <w:t>снижению васкуляризации, угнетению рос</w:t>
      </w:r>
      <w:r w:rsidR="00A35C18" w:rsidRPr="009E6200">
        <w:t>та и метастазирования опухоли.</w:t>
      </w:r>
    </w:p>
    <w:p w14:paraId="5EE1D749" w14:textId="77777777" w:rsidR="003B6456" w:rsidRPr="009E6200" w:rsidRDefault="003B6456" w:rsidP="007B46F5">
      <w:pPr>
        <w:pStyle w:val="SDText"/>
        <w:ind w:firstLine="709"/>
        <w:jc w:val="both"/>
      </w:pPr>
      <w:r w:rsidRPr="009E6200">
        <w:t>RPH-001</w:t>
      </w:r>
      <w:r w:rsidR="00A35C18" w:rsidRPr="009E6200">
        <w:t xml:space="preserve"> </w:t>
      </w:r>
      <w:r w:rsidRPr="009E6200">
        <w:t>является</w:t>
      </w:r>
      <w:r w:rsidR="00A35C18" w:rsidRPr="009E6200">
        <w:t xml:space="preserve"> </w:t>
      </w:r>
      <w:r w:rsidRPr="009E6200">
        <w:t>гликозилированным</w:t>
      </w:r>
      <w:r w:rsidR="00A35C18" w:rsidRPr="009E6200">
        <w:t xml:space="preserve"> </w:t>
      </w:r>
      <w:r w:rsidRPr="009E6200">
        <w:t>иммуноглобулином</w:t>
      </w:r>
      <w:r w:rsidR="00A35C18" w:rsidRPr="009E6200">
        <w:t xml:space="preserve"> </w:t>
      </w:r>
      <w:r w:rsidRPr="009E6200">
        <w:t>подкласса</w:t>
      </w:r>
      <w:r w:rsidR="00A35C18" w:rsidRPr="009E6200">
        <w:t xml:space="preserve"> </w:t>
      </w:r>
      <w:r w:rsidRPr="009E6200">
        <w:t>IgG</w:t>
      </w:r>
      <w:r w:rsidRPr="009E6200">
        <w:rPr>
          <w:vertAlign w:val="subscript"/>
        </w:rPr>
        <w:t>1</w:t>
      </w:r>
      <w:r w:rsidRPr="009E6200">
        <w:t>, состоящим</w:t>
      </w:r>
      <w:r w:rsidR="00A35C18" w:rsidRPr="009E6200">
        <w:t xml:space="preserve"> </w:t>
      </w:r>
      <w:r w:rsidRPr="009E6200">
        <w:t>из</w:t>
      </w:r>
      <w:r w:rsidR="00A35C18" w:rsidRPr="009E6200">
        <w:t xml:space="preserve"> </w:t>
      </w:r>
      <w:r w:rsidRPr="009E6200">
        <w:t>двух</w:t>
      </w:r>
      <w:r w:rsidR="00A35C18" w:rsidRPr="009E6200">
        <w:t xml:space="preserve"> </w:t>
      </w:r>
      <w:r w:rsidRPr="009E6200">
        <w:t>легких</w:t>
      </w:r>
      <w:r w:rsidR="00A35C18" w:rsidRPr="009E6200">
        <w:t xml:space="preserve"> </w:t>
      </w:r>
      <w:r w:rsidRPr="009E6200">
        <w:t>(214</w:t>
      </w:r>
      <w:r w:rsidR="00A35C18" w:rsidRPr="009E6200">
        <w:t xml:space="preserve"> </w:t>
      </w:r>
      <w:r w:rsidRPr="009E6200">
        <w:t>аминокислот)</w:t>
      </w:r>
      <w:r w:rsidR="00A35C18" w:rsidRPr="009E6200">
        <w:t xml:space="preserve"> </w:t>
      </w:r>
      <w:r w:rsidRPr="009E6200">
        <w:t>и</w:t>
      </w:r>
      <w:r w:rsidR="00A35C18" w:rsidRPr="009E6200">
        <w:t xml:space="preserve"> </w:t>
      </w:r>
      <w:r w:rsidRPr="009E6200">
        <w:t>двух</w:t>
      </w:r>
      <w:r w:rsidR="00A35C18" w:rsidRPr="009E6200">
        <w:t xml:space="preserve"> </w:t>
      </w:r>
      <w:r w:rsidRPr="009E6200">
        <w:t>тяжелых</w:t>
      </w:r>
      <w:r w:rsidR="00A35C18" w:rsidRPr="009E6200">
        <w:t xml:space="preserve"> </w:t>
      </w:r>
      <w:r w:rsidRPr="009E6200">
        <w:t>цепей</w:t>
      </w:r>
      <w:r w:rsidR="00A35C18" w:rsidRPr="009E6200">
        <w:t xml:space="preserve"> </w:t>
      </w:r>
      <w:r w:rsidRPr="009E6200">
        <w:t>(453 аминокислот),</w:t>
      </w:r>
      <w:r w:rsidR="00A35C18" w:rsidRPr="009E6200">
        <w:t xml:space="preserve"> </w:t>
      </w:r>
      <w:r w:rsidRPr="009E6200">
        <w:t>содержит</w:t>
      </w:r>
      <w:r w:rsidR="00A35C18" w:rsidRPr="009E6200">
        <w:t xml:space="preserve"> </w:t>
      </w:r>
      <w:r w:rsidRPr="009E6200">
        <w:t>93%</w:t>
      </w:r>
      <w:r w:rsidR="00A35C18" w:rsidRPr="009E6200">
        <w:t xml:space="preserve"> </w:t>
      </w:r>
      <w:r w:rsidRPr="009E6200">
        <w:t>человеческой</w:t>
      </w:r>
      <w:r w:rsidR="00A35C18" w:rsidRPr="009E6200">
        <w:t xml:space="preserve"> </w:t>
      </w:r>
      <w:r w:rsidRPr="009E6200">
        <w:t>и</w:t>
      </w:r>
      <w:r w:rsidR="00A35C18" w:rsidRPr="009E6200">
        <w:t xml:space="preserve"> </w:t>
      </w:r>
      <w:r w:rsidRPr="009E6200">
        <w:t>7%</w:t>
      </w:r>
      <w:r w:rsidR="00A35C18" w:rsidRPr="009E6200">
        <w:t xml:space="preserve"> </w:t>
      </w:r>
      <w:r w:rsidRPr="009E6200">
        <w:t>мышиной</w:t>
      </w:r>
      <w:r w:rsidR="00A35C18" w:rsidRPr="009E6200">
        <w:t xml:space="preserve"> </w:t>
      </w:r>
      <w:r w:rsidRPr="009E6200">
        <w:t>последовательности. Препарат получен по технологии рекомбинантной ДНК в системе для экспрессии клеток</w:t>
      </w:r>
      <w:r w:rsidR="00A35C18" w:rsidRPr="009E6200">
        <w:t xml:space="preserve"> </w:t>
      </w:r>
      <w:r w:rsidRPr="009E6200">
        <w:t>яичников</w:t>
      </w:r>
      <w:r w:rsidR="00A35C18" w:rsidRPr="009E6200">
        <w:t xml:space="preserve"> </w:t>
      </w:r>
      <w:r w:rsidRPr="009E6200">
        <w:t>китайского</w:t>
      </w:r>
      <w:r w:rsidR="00A35C18" w:rsidRPr="009E6200">
        <w:t xml:space="preserve"> </w:t>
      </w:r>
      <w:r w:rsidRPr="009E6200">
        <w:t>хомячка.</w:t>
      </w:r>
      <w:r w:rsidR="00A35C18" w:rsidRPr="009E6200">
        <w:t xml:space="preserve"> </w:t>
      </w:r>
      <w:r w:rsidRPr="009E6200">
        <w:t>Приблизительная</w:t>
      </w:r>
      <w:r w:rsidR="00A35C18" w:rsidRPr="009E6200">
        <w:t xml:space="preserve"> </w:t>
      </w:r>
      <w:r w:rsidRPr="009E6200">
        <w:t>молекулярная</w:t>
      </w:r>
      <w:r w:rsidR="00A35C18" w:rsidRPr="009E6200">
        <w:t xml:space="preserve"> </w:t>
      </w:r>
      <w:r w:rsidRPr="009E6200">
        <w:t xml:space="preserve">масса </w:t>
      </w:r>
      <w:r w:rsidR="00A35C18" w:rsidRPr="009E6200">
        <w:t>препарата RPH-001 – 149 кДа.</w:t>
      </w:r>
    </w:p>
    <w:p w14:paraId="190CEBBB" w14:textId="77777777" w:rsidR="003B6456" w:rsidRPr="009E6200" w:rsidRDefault="003B6456" w:rsidP="007B46F5">
      <w:pPr>
        <w:pStyle w:val="SDText"/>
        <w:ind w:firstLine="709"/>
        <w:jc w:val="both"/>
      </w:pPr>
      <w:r w:rsidRPr="009E6200">
        <w:t>Результаты</w:t>
      </w:r>
      <w:r w:rsidR="00A35C18" w:rsidRPr="009E6200">
        <w:t xml:space="preserve"> </w:t>
      </w:r>
      <w:r w:rsidRPr="009E6200">
        <w:t>доклинических</w:t>
      </w:r>
      <w:r w:rsidR="00A35C18" w:rsidRPr="009E6200">
        <w:t xml:space="preserve"> </w:t>
      </w:r>
      <w:r w:rsidRPr="009E6200">
        <w:t>исследований</w:t>
      </w:r>
      <w:r w:rsidR="00A35C18" w:rsidRPr="009E6200">
        <w:t xml:space="preserve"> </w:t>
      </w:r>
      <w:r w:rsidRPr="009E6200">
        <w:t>демонстрируют</w:t>
      </w:r>
      <w:r w:rsidR="00A35C18" w:rsidRPr="009E6200">
        <w:t xml:space="preserve"> </w:t>
      </w:r>
      <w:r w:rsidRPr="009E6200">
        <w:t>высокое</w:t>
      </w:r>
      <w:r w:rsidR="00A35C18" w:rsidRPr="009E6200">
        <w:t xml:space="preserve"> </w:t>
      </w:r>
      <w:r w:rsidRPr="009E6200">
        <w:t>сходство воспроизведенного</w:t>
      </w:r>
      <w:r w:rsidR="00A35C18" w:rsidRPr="009E6200">
        <w:t xml:space="preserve"> </w:t>
      </w:r>
      <w:r w:rsidRPr="009E6200">
        <w:t>препарата</w:t>
      </w:r>
      <w:r w:rsidR="00A35C18" w:rsidRPr="009E6200">
        <w:t xml:space="preserve"> </w:t>
      </w:r>
      <w:r w:rsidRPr="009E6200">
        <w:t>RPH-001</w:t>
      </w:r>
      <w:r w:rsidR="00A35C18" w:rsidRPr="009E6200">
        <w:t xml:space="preserve"> </w:t>
      </w:r>
      <w:r w:rsidRPr="009E6200">
        <w:t>и</w:t>
      </w:r>
      <w:r w:rsidR="00A35C18" w:rsidRPr="009E6200">
        <w:t xml:space="preserve"> </w:t>
      </w:r>
      <w:r w:rsidRPr="009E6200">
        <w:t>оригинального</w:t>
      </w:r>
      <w:r w:rsidR="00A35C18" w:rsidRPr="009E6200">
        <w:t xml:space="preserve"> </w:t>
      </w:r>
      <w:r w:rsidRPr="009E6200">
        <w:t>препарата</w:t>
      </w:r>
      <w:r w:rsidR="00A35C18" w:rsidRPr="009E6200">
        <w:t xml:space="preserve"> </w:t>
      </w:r>
      <w:r w:rsidRPr="009E6200">
        <w:t>Авастин</w:t>
      </w:r>
      <w:r w:rsidR="00121FA5" w:rsidRPr="009E6200">
        <w:rPr>
          <w:rFonts w:cs="Times New Roman"/>
          <w:vertAlign w:val="superscript"/>
        </w:rPr>
        <w:t>®</w:t>
      </w:r>
      <w:r w:rsidR="00A35C18" w:rsidRPr="009E6200">
        <w:t xml:space="preserve"> </w:t>
      </w:r>
      <w:r w:rsidRPr="009E6200">
        <w:t>по составу,</w:t>
      </w:r>
      <w:r w:rsidR="00A35C18" w:rsidRPr="009E6200">
        <w:t xml:space="preserve"> </w:t>
      </w:r>
      <w:r w:rsidRPr="009E6200">
        <w:t>физико-химическим</w:t>
      </w:r>
      <w:r w:rsidR="00A35C18" w:rsidRPr="009E6200">
        <w:t xml:space="preserve"> </w:t>
      </w:r>
      <w:r w:rsidRPr="009E6200">
        <w:t>свойствам,</w:t>
      </w:r>
      <w:r w:rsidR="00A35C18" w:rsidRPr="009E6200">
        <w:t xml:space="preserve"> </w:t>
      </w:r>
      <w:r w:rsidRPr="009E6200">
        <w:t>фармакокинетическому</w:t>
      </w:r>
      <w:r w:rsidR="00A35C18" w:rsidRPr="009E6200">
        <w:t xml:space="preserve"> </w:t>
      </w:r>
      <w:r w:rsidRPr="009E6200">
        <w:t xml:space="preserve">профилю, специфической активности и безопасности применения. </w:t>
      </w:r>
    </w:p>
    <w:p w14:paraId="1FBC211A" w14:textId="77777777" w:rsidR="003B6456" w:rsidRPr="009E6200" w:rsidRDefault="003B6456" w:rsidP="007B46F5">
      <w:pPr>
        <w:pStyle w:val="SDText"/>
        <w:ind w:firstLine="709"/>
        <w:jc w:val="both"/>
      </w:pPr>
      <w:r w:rsidRPr="009E6200">
        <w:t>Сходство</w:t>
      </w:r>
      <w:r w:rsidR="00A35C18" w:rsidRPr="009E6200">
        <w:t xml:space="preserve"> </w:t>
      </w:r>
      <w:r w:rsidRPr="009E6200">
        <w:t>состава</w:t>
      </w:r>
      <w:r w:rsidR="00A35C18" w:rsidRPr="009E6200">
        <w:t xml:space="preserve"> </w:t>
      </w:r>
      <w:r w:rsidRPr="009E6200">
        <w:t>и</w:t>
      </w:r>
      <w:r w:rsidR="00A35C18" w:rsidRPr="009E6200">
        <w:t xml:space="preserve"> </w:t>
      </w:r>
      <w:r w:rsidRPr="009E6200">
        <w:t>физико-химических</w:t>
      </w:r>
      <w:r w:rsidR="00A35C18" w:rsidRPr="009E6200">
        <w:t xml:space="preserve"> </w:t>
      </w:r>
      <w:r w:rsidRPr="009E6200">
        <w:t>свойств</w:t>
      </w:r>
      <w:r w:rsidR="00A35C18" w:rsidRPr="009E6200">
        <w:t xml:space="preserve"> </w:t>
      </w:r>
      <w:r w:rsidRPr="009E6200">
        <w:t>препаратов</w:t>
      </w:r>
      <w:r w:rsidR="00A35C18" w:rsidRPr="009E6200">
        <w:t xml:space="preserve"> </w:t>
      </w:r>
      <w:r w:rsidRPr="009E6200">
        <w:t>RPH-001</w:t>
      </w:r>
      <w:r w:rsidR="00A35C18" w:rsidRPr="009E6200">
        <w:t xml:space="preserve"> </w:t>
      </w:r>
      <w:r w:rsidRPr="009E6200">
        <w:t>и</w:t>
      </w:r>
      <w:r w:rsidR="00A35C18" w:rsidRPr="009E6200">
        <w:t xml:space="preserve"> </w:t>
      </w:r>
      <w:r w:rsidRPr="009E6200">
        <w:t>Авастин</w:t>
      </w:r>
      <w:r w:rsidR="00121FA5" w:rsidRPr="009E6200">
        <w:rPr>
          <w:rFonts w:cs="Times New Roman"/>
          <w:vertAlign w:val="superscript"/>
        </w:rPr>
        <w:t>®</w:t>
      </w:r>
      <w:r w:rsidR="00A35C18" w:rsidRPr="009E6200">
        <w:rPr>
          <w:rFonts w:cs="Times New Roman"/>
        </w:rPr>
        <w:t xml:space="preserve"> </w:t>
      </w:r>
      <w:r w:rsidRPr="009E6200">
        <w:t>подтверждено</w:t>
      </w:r>
      <w:r w:rsidR="00A35C18" w:rsidRPr="009E6200">
        <w:t xml:space="preserve"> </w:t>
      </w:r>
      <w:r w:rsidRPr="009E6200">
        <w:t>методами</w:t>
      </w:r>
      <w:r w:rsidR="00A35C18" w:rsidRPr="009E6200">
        <w:t xml:space="preserve"> </w:t>
      </w:r>
      <w:r w:rsidRPr="009E6200">
        <w:t>пептидного</w:t>
      </w:r>
      <w:r w:rsidR="00A35C18" w:rsidRPr="009E6200">
        <w:t xml:space="preserve"> </w:t>
      </w:r>
      <w:r w:rsidRPr="009E6200">
        <w:t>картирования,</w:t>
      </w:r>
      <w:r w:rsidR="00A35C18" w:rsidRPr="009E6200">
        <w:t xml:space="preserve"> </w:t>
      </w:r>
      <w:r w:rsidRPr="009E6200">
        <w:t>гель-фильтрации,</w:t>
      </w:r>
      <w:r w:rsidR="00A35C18" w:rsidRPr="009E6200">
        <w:t xml:space="preserve"> </w:t>
      </w:r>
      <w:r w:rsidRPr="009E6200">
        <w:t>слабой катионообменной</w:t>
      </w:r>
      <w:r w:rsidR="00A35C18" w:rsidRPr="009E6200">
        <w:t xml:space="preserve"> </w:t>
      </w:r>
      <w:r w:rsidRPr="009E6200">
        <w:t>хроматографии,</w:t>
      </w:r>
      <w:r w:rsidR="00A35C18" w:rsidRPr="009E6200">
        <w:t xml:space="preserve"> </w:t>
      </w:r>
      <w:r w:rsidRPr="009E6200">
        <w:t>а</w:t>
      </w:r>
      <w:r w:rsidR="00A35C18" w:rsidRPr="009E6200">
        <w:t xml:space="preserve"> </w:t>
      </w:r>
      <w:r w:rsidRPr="009E6200">
        <w:t>также</w:t>
      </w:r>
      <w:r w:rsidR="00A35C18" w:rsidRPr="009E6200">
        <w:t xml:space="preserve"> </w:t>
      </w:r>
      <w:r w:rsidRPr="009E6200">
        <w:t>электрофорезом</w:t>
      </w:r>
      <w:r w:rsidR="00A35C18" w:rsidRPr="009E6200">
        <w:t xml:space="preserve"> </w:t>
      </w:r>
      <w:r w:rsidRPr="009E6200">
        <w:t>в</w:t>
      </w:r>
      <w:r w:rsidR="00A35C18" w:rsidRPr="009E6200">
        <w:t xml:space="preserve"> </w:t>
      </w:r>
      <w:r w:rsidRPr="009E6200">
        <w:t>полиакриламидном геле</w:t>
      </w:r>
      <w:r w:rsidR="00A35C18" w:rsidRPr="009E6200">
        <w:t xml:space="preserve"> </w:t>
      </w:r>
      <w:r w:rsidRPr="009E6200">
        <w:t>в</w:t>
      </w:r>
      <w:r w:rsidR="00A35C18" w:rsidRPr="009E6200">
        <w:t xml:space="preserve"> </w:t>
      </w:r>
      <w:r w:rsidRPr="009E6200">
        <w:t>нативных</w:t>
      </w:r>
      <w:r w:rsidR="00A35C18" w:rsidRPr="009E6200">
        <w:t xml:space="preserve"> </w:t>
      </w:r>
      <w:r w:rsidRPr="009E6200">
        <w:t>и</w:t>
      </w:r>
      <w:r w:rsidR="00A35C18" w:rsidRPr="009E6200">
        <w:t xml:space="preserve"> </w:t>
      </w:r>
      <w:r w:rsidRPr="009E6200">
        <w:t>денатурирующих</w:t>
      </w:r>
      <w:r w:rsidR="00A35C18" w:rsidRPr="009E6200">
        <w:t xml:space="preserve"> </w:t>
      </w:r>
      <w:r w:rsidRPr="009E6200">
        <w:t>условиях,</w:t>
      </w:r>
      <w:r w:rsidR="00A35C18" w:rsidRPr="009E6200">
        <w:t xml:space="preserve"> </w:t>
      </w:r>
      <w:r w:rsidRPr="009E6200">
        <w:t>и</w:t>
      </w:r>
      <w:r w:rsidR="00A35C18" w:rsidRPr="009E6200">
        <w:t xml:space="preserve"> </w:t>
      </w:r>
      <w:r w:rsidRPr="009E6200">
        <w:t xml:space="preserve">изоэлектрическим фокусированием. </w:t>
      </w:r>
    </w:p>
    <w:p w14:paraId="0F4EB6D1" w14:textId="77777777" w:rsidR="00A35C18" w:rsidRPr="009E6200" w:rsidRDefault="003B6456" w:rsidP="007B46F5">
      <w:pPr>
        <w:pStyle w:val="SDText"/>
        <w:ind w:firstLine="709"/>
        <w:jc w:val="both"/>
      </w:pPr>
      <w:r w:rsidRPr="009E6200">
        <w:t>Сравнительное</w:t>
      </w:r>
      <w:r w:rsidR="00A35C18" w:rsidRPr="009E6200">
        <w:t xml:space="preserve"> </w:t>
      </w:r>
      <w:r w:rsidRPr="009E6200">
        <w:t>изучение</w:t>
      </w:r>
      <w:r w:rsidR="00A35C18" w:rsidRPr="009E6200">
        <w:t xml:space="preserve"> </w:t>
      </w:r>
      <w:r w:rsidRPr="009E6200">
        <w:t>фармакокинетики</w:t>
      </w:r>
      <w:r w:rsidR="00A35C18" w:rsidRPr="009E6200">
        <w:t xml:space="preserve"> </w:t>
      </w:r>
      <w:r w:rsidRPr="009E6200">
        <w:t>препаратов</w:t>
      </w:r>
      <w:r w:rsidR="00A35C18" w:rsidRPr="009E6200">
        <w:t xml:space="preserve"> </w:t>
      </w:r>
      <w:r w:rsidRPr="009E6200">
        <w:t>RPH-001</w:t>
      </w:r>
      <w:r w:rsidR="00A35C18" w:rsidRPr="009E6200">
        <w:t xml:space="preserve"> </w:t>
      </w:r>
      <w:r w:rsidRPr="009E6200">
        <w:t>и</w:t>
      </w:r>
      <w:r w:rsidR="00A35C18" w:rsidRPr="009E6200">
        <w:t xml:space="preserve"> </w:t>
      </w:r>
      <w:r w:rsidRPr="009E6200">
        <w:t>Авастин</w:t>
      </w:r>
      <w:r w:rsidR="00121FA5" w:rsidRPr="009E6200">
        <w:rPr>
          <w:vertAlign w:val="superscript"/>
        </w:rPr>
        <w:t>®</w:t>
      </w:r>
      <w:r w:rsidR="00A35C18" w:rsidRPr="009E6200">
        <w:t xml:space="preserve"> </w:t>
      </w:r>
      <w:r w:rsidRPr="009E6200">
        <w:t>при однократном внутривенном введении самцам яванских макак продемонстрировало</w:t>
      </w:r>
      <w:r w:rsidR="00A35C18" w:rsidRPr="009E6200">
        <w:t xml:space="preserve"> высокую степень сходства их фармакокинетических профилей. Концентрации в конце инфузии (C</w:t>
      </w:r>
      <w:r w:rsidR="00A35C18" w:rsidRPr="009E6200">
        <w:rPr>
          <w:vertAlign w:val="subscript"/>
        </w:rPr>
        <w:t>inf</w:t>
      </w:r>
      <w:r w:rsidR="00A35C18" w:rsidRPr="009E6200">
        <w:t>) RPH-001 и Авастина</w:t>
      </w:r>
      <w:r w:rsidR="00121FA5" w:rsidRPr="009E6200">
        <w:rPr>
          <w:vertAlign w:val="superscript"/>
        </w:rPr>
        <w:t>®</w:t>
      </w:r>
      <w:r w:rsidR="00A35C18" w:rsidRPr="009E6200">
        <w:t xml:space="preserve"> были сопоставимы во всех изучаемых дозовых группах. Площадь под фармакокинетической кривой «концентрация-время» (AUC) для препарата RPH-001 была незначительно выше по сравнению с аналогичным показателем для Авастина</w:t>
      </w:r>
      <w:r w:rsidR="00121FA5" w:rsidRPr="009E6200">
        <w:rPr>
          <w:vertAlign w:val="superscript"/>
        </w:rPr>
        <w:t>®</w:t>
      </w:r>
      <w:r w:rsidR="00A35C18" w:rsidRPr="009E6200">
        <w:t>. Системное воздействие препаратов RPH-001 и Авастин</w:t>
      </w:r>
      <w:r w:rsidR="00121FA5" w:rsidRPr="009E6200">
        <w:rPr>
          <w:vertAlign w:val="superscript"/>
        </w:rPr>
        <w:t>®</w:t>
      </w:r>
      <w:r w:rsidR="00A35C18" w:rsidRPr="009E6200">
        <w:t xml:space="preserve"> имело дозозависимый характер. Показатели выведения и распределения были сопоставимы для обоих препаратов и не зависели от дозы. </w:t>
      </w:r>
    </w:p>
    <w:p w14:paraId="59C837A2" w14:textId="77777777" w:rsidR="00A35C18" w:rsidRPr="009E6200" w:rsidRDefault="00A35C18" w:rsidP="007B46F5">
      <w:pPr>
        <w:pStyle w:val="SDText"/>
        <w:ind w:firstLine="709"/>
        <w:jc w:val="both"/>
      </w:pPr>
      <w:r w:rsidRPr="009E6200">
        <w:t>Препарат RPH-001 обладает высокоспецифичной связывающей способностью с VEGF, практически не отличающейся от таковой у Авастина</w:t>
      </w:r>
      <w:r w:rsidR="00121FA5" w:rsidRPr="009E6200">
        <w:rPr>
          <w:vertAlign w:val="superscript"/>
        </w:rPr>
        <w:t>®</w:t>
      </w:r>
      <w:r w:rsidRPr="009E6200">
        <w:t>. Препараты продемонстрировали сопоставимую антипролиферативную активность в тесте на клетках эндотелия пупочной вены человека (</w:t>
      </w:r>
      <w:r w:rsidR="00287060" w:rsidRPr="009E6200">
        <w:t xml:space="preserve">Human Umbilical Vein Endothelial Cell, </w:t>
      </w:r>
      <w:r w:rsidRPr="009E6200">
        <w:t>HUVEC).</w:t>
      </w:r>
    </w:p>
    <w:p w14:paraId="710B152B" w14:textId="77777777" w:rsidR="00A35C18" w:rsidRPr="009E6200" w:rsidRDefault="00A35C18" w:rsidP="007B46F5">
      <w:pPr>
        <w:pStyle w:val="SDText"/>
        <w:jc w:val="both"/>
      </w:pPr>
      <w:r w:rsidRPr="009E6200">
        <w:t>На фоне химиотерапии RPH-001 обладает выраженной противоопухолевой активностью на моделях быстро и медленно растущих опухолей. Противоопухолевая активность RPH-001 практически не отличается от таковой препарата Авастин</w:t>
      </w:r>
      <w:r w:rsidR="00121FA5" w:rsidRPr="009E6200">
        <w:rPr>
          <w:vertAlign w:val="superscript"/>
        </w:rPr>
        <w:t>®</w:t>
      </w:r>
      <w:r w:rsidR="00287060" w:rsidRPr="009E6200">
        <w:t>.</w:t>
      </w:r>
    </w:p>
    <w:p w14:paraId="51381239" w14:textId="77777777" w:rsidR="00A35C18" w:rsidRPr="009E6200" w:rsidRDefault="00A35C18" w:rsidP="007B46F5">
      <w:pPr>
        <w:pStyle w:val="SDText"/>
        <w:ind w:firstLine="709"/>
        <w:jc w:val="both"/>
      </w:pPr>
      <w:r w:rsidRPr="009E6200">
        <w:t>Препараты RPH-001 и Авастин</w:t>
      </w:r>
      <w:r w:rsidR="00121FA5" w:rsidRPr="009E6200">
        <w:rPr>
          <w:vertAlign w:val="superscript"/>
        </w:rPr>
        <w:t>®</w:t>
      </w:r>
      <w:r w:rsidRPr="009E6200">
        <w:t xml:space="preserve"> являются практически эквитоксичными по показателям острой токсичности с использованием тест-систем беспородных мышей, крыс и кроликов, самцов яванских макак, и показателям подострой токсичности на беспородных крысах. Данные, полученных в ходе исследований острой токсичности сравниваемых препаратов, позволяют отнести препарат RPH-001 к VI классу относительно безвредных лекарственных веществ (</w:t>
      </w:r>
      <w:r w:rsidR="00287060" w:rsidRPr="009E6200">
        <w:t>среднелетальная доза [ЛД</w:t>
      </w:r>
      <w:r w:rsidRPr="009E6200">
        <w:rPr>
          <w:vertAlign w:val="subscript"/>
        </w:rPr>
        <w:t>50</w:t>
      </w:r>
      <w:r w:rsidR="00287060" w:rsidRPr="009E6200">
        <w:t>]</w:t>
      </w:r>
      <w:r w:rsidRPr="009E6200">
        <w:t xml:space="preserve"> &gt;</w:t>
      </w:r>
      <w:r w:rsidR="00287060" w:rsidRPr="009E6200">
        <w:t xml:space="preserve"> </w:t>
      </w:r>
      <w:r w:rsidRPr="009E6200">
        <w:t xml:space="preserve">15000 мг/кг, крысы, внутривенно). </w:t>
      </w:r>
    </w:p>
    <w:p w14:paraId="6F1FFB6E" w14:textId="77777777" w:rsidR="00A35C18" w:rsidRPr="009E6200" w:rsidRDefault="00A35C18" w:rsidP="007B46F5">
      <w:pPr>
        <w:pStyle w:val="SDText"/>
        <w:jc w:val="both"/>
      </w:pPr>
      <w:r w:rsidRPr="009E6200">
        <w:t>Препарат RPH-001 не обладает аллергизирующими свойствами, как и препарат сравнения Авастин</w:t>
      </w:r>
      <w:r w:rsidR="00121FA5" w:rsidRPr="009E6200">
        <w:rPr>
          <w:vertAlign w:val="superscript"/>
        </w:rPr>
        <w:t>®</w:t>
      </w:r>
      <w:r w:rsidRPr="009E6200">
        <w:t>, что подтверждается результатами исследования аллергенности, проведенного с использованием тест-систем на крысах и морских свинках.</w:t>
      </w:r>
    </w:p>
    <w:p w14:paraId="38FDAC4A" w14:textId="77777777" w:rsidR="00A35C18" w:rsidRPr="009E6200" w:rsidRDefault="00A35C18" w:rsidP="007B46F5">
      <w:pPr>
        <w:pStyle w:val="SDText"/>
        <w:ind w:firstLine="709"/>
        <w:jc w:val="both"/>
      </w:pPr>
      <w:r w:rsidRPr="009E6200">
        <w:t>Результаты исследования местно-раздражающего действия с использованием тест-системы обезьян продемонстрировали хорошую переносимость RPH-001 и Авастин</w:t>
      </w:r>
      <w:r w:rsidR="00121FA5" w:rsidRPr="009E6200">
        <w:rPr>
          <w:vertAlign w:val="superscript"/>
        </w:rPr>
        <w:t>®</w:t>
      </w:r>
      <w:r w:rsidRPr="009E6200">
        <w:t xml:space="preserve"> в месте инъекции. Выраженных различий по местно-раздражающему действию препаратов не наблюдалось. </w:t>
      </w:r>
    </w:p>
    <w:p w14:paraId="76C75A23" w14:textId="77777777" w:rsidR="00287060" w:rsidRPr="009E6200" w:rsidRDefault="00A35C18" w:rsidP="007B46F5">
      <w:pPr>
        <w:pStyle w:val="SDText"/>
        <w:ind w:firstLine="709"/>
        <w:jc w:val="both"/>
      </w:pPr>
      <w:r w:rsidRPr="009E6200">
        <w:t>Результаты оценки перекрестной реактивности с тканями человека продемонстрировали высокую сопо</w:t>
      </w:r>
      <w:r w:rsidR="00287060" w:rsidRPr="009E6200">
        <w:t>ставимость RPH-001 и Авастина</w:t>
      </w:r>
      <w:r w:rsidR="00121FA5" w:rsidRPr="009E6200">
        <w:rPr>
          <w:vertAlign w:val="superscript"/>
        </w:rPr>
        <w:t>®</w:t>
      </w:r>
      <w:r w:rsidR="00287060" w:rsidRPr="009E6200">
        <w:t>.</w:t>
      </w:r>
    </w:p>
    <w:p w14:paraId="58D9E6F3" w14:textId="0BEB5B8B" w:rsidR="003B6456" w:rsidRDefault="00A35C18" w:rsidP="007B46F5">
      <w:pPr>
        <w:pStyle w:val="SDText"/>
        <w:ind w:firstLine="709"/>
        <w:jc w:val="both"/>
      </w:pPr>
      <w:r w:rsidRPr="009E6200">
        <w:t>Сходство показателей фармакокинетики, эффективности и безопасности препаратов RPH-001 и Авастин</w:t>
      </w:r>
      <w:r w:rsidR="00121FA5" w:rsidRPr="009E6200">
        <w:rPr>
          <w:vertAlign w:val="superscript"/>
        </w:rPr>
        <w:t>®</w:t>
      </w:r>
      <w:r w:rsidRPr="009E6200">
        <w:t xml:space="preserve"> в доклинических исследованиях являлось обоснованием для проведения клинических исследований с целью подтверждения фармакокинетической и фармакодинамической эквивалентности этих препаратов, а также для сравнения эффективности и безопасности применения препаратов RPH-001 и Авастин</w:t>
      </w:r>
      <w:r w:rsidR="00121FA5" w:rsidRPr="009E6200">
        <w:rPr>
          <w:vertAlign w:val="superscript"/>
        </w:rPr>
        <w:t>®</w:t>
      </w:r>
      <w:r w:rsidRPr="009E6200">
        <w:t xml:space="preserve"> у пациентов с метастатическим раком прямой и ободочной кишки.</w:t>
      </w:r>
    </w:p>
    <w:p w14:paraId="5F2387AF" w14:textId="77777777" w:rsidR="00BB6320" w:rsidRPr="00BB6320" w:rsidRDefault="00BB6320" w:rsidP="007B46F5">
      <w:pPr>
        <w:pStyle w:val="SDText"/>
        <w:ind w:firstLine="709"/>
        <w:jc w:val="both"/>
        <w:rPr>
          <w:szCs w:val="24"/>
        </w:rPr>
      </w:pPr>
    </w:p>
    <w:p w14:paraId="3A7DEA65" w14:textId="604E7775" w:rsidR="00EA5DF2" w:rsidRPr="00BB6320" w:rsidRDefault="00E64836" w:rsidP="007B46F5">
      <w:pPr>
        <w:pStyle w:val="Heading2"/>
      </w:pPr>
      <w:bookmarkStart w:id="91" w:name="_Toc120865230"/>
      <w:r w:rsidRPr="00BB6320">
        <w:t>Сводное изложение результатов клинических исследований</w:t>
      </w:r>
      <w:bookmarkEnd w:id="91"/>
    </w:p>
    <w:p w14:paraId="3D49BEB0" w14:textId="77777777" w:rsidR="00BB6320" w:rsidRPr="00BB6320" w:rsidRDefault="00BB6320" w:rsidP="007B46F5">
      <w:pPr>
        <w:pStyle w:val="SDText"/>
        <w:rPr>
          <w:lang w:eastAsia="ru-RU"/>
        </w:rPr>
      </w:pPr>
    </w:p>
    <w:p w14:paraId="0B95F0AC" w14:textId="77777777" w:rsidR="00121FA5" w:rsidRPr="009E6200" w:rsidRDefault="00121FA5" w:rsidP="007B46F5">
      <w:pPr>
        <w:pStyle w:val="SDText"/>
        <w:ind w:firstLine="709"/>
        <w:jc w:val="both"/>
        <w:rPr>
          <w:lang w:eastAsia="ru-RU"/>
        </w:rPr>
      </w:pPr>
      <w:r w:rsidRPr="009E6200">
        <w:rPr>
          <w:lang w:eastAsia="ru-RU"/>
        </w:rPr>
        <w:t xml:space="preserve">Было проведено клиническое исследование препарата </w:t>
      </w:r>
    </w:p>
    <w:p w14:paraId="123EB102" w14:textId="77777777" w:rsidR="00121FA5" w:rsidRPr="009E6200" w:rsidRDefault="00121FA5" w:rsidP="00992857">
      <w:pPr>
        <w:pStyle w:val="SDText"/>
        <w:ind w:firstLine="709"/>
        <w:jc w:val="both"/>
        <w:rPr>
          <w:lang w:eastAsia="ru-RU"/>
        </w:rPr>
      </w:pPr>
      <w:r w:rsidRPr="009E6200">
        <w:rPr>
          <w:lang w:eastAsia="ru-RU"/>
        </w:rPr>
        <w:t>RPH-001: многоцентровое, открытое, рандомизированное исследование фармакокинетической эквивалентности препаратов RPH-001 и Авастин</w:t>
      </w:r>
      <w:r w:rsidRPr="009E6200">
        <w:rPr>
          <w:vertAlign w:val="superscript"/>
          <w:lang w:eastAsia="ru-RU"/>
        </w:rPr>
        <w:t>®</w:t>
      </w:r>
      <w:r w:rsidRPr="009E6200">
        <w:rPr>
          <w:lang w:eastAsia="ru-RU"/>
        </w:rPr>
        <w:t xml:space="preserve">, а также фармакодинамики, эффективности и безопасности препарата RPH-001 у пациентов с метастатическим раком прямой и ободочной кишки (протокол №RPH-001-01). </w:t>
      </w:r>
    </w:p>
    <w:p w14:paraId="0A1947E3" w14:textId="77777777" w:rsidR="00121FA5" w:rsidRPr="009E6200" w:rsidRDefault="00121FA5" w:rsidP="00992857">
      <w:pPr>
        <w:pStyle w:val="SDText"/>
        <w:ind w:firstLine="709"/>
        <w:jc w:val="both"/>
        <w:rPr>
          <w:lang w:eastAsia="ru-RU"/>
        </w:rPr>
      </w:pPr>
      <w:r w:rsidRPr="009E6200">
        <w:rPr>
          <w:lang w:eastAsia="ru-RU"/>
        </w:rPr>
        <w:t>Данное исследование показало, что препарат RPH-001 сопоставим с препаратом Авастин</w:t>
      </w:r>
      <w:r w:rsidRPr="009E6200">
        <w:rPr>
          <w:vertAlign w:val="superscript"/>
          <w:lang w:eastAsia="ru-RU"/>
        </w:rPr>
        <w:t>®</w:t>
      </w:r>
      <w:r w:rsidRPr="009E6200">
        <w:rPr>
          <w:lang w:eastAsia="ru-RU"/>
        </w:rPr>
        <w:t xml:space="preserve"> по показателям фармакодинамики, эффективности и безопасности. Однако в результате оценки фармакокинетики препаратов RPH-001 и Авастин</w:t>
      </w:r>
      <w:r w:rsidRPr="009E6200">
        <w:rPr>
          <w:vertAlign w:val="superscript"/>
          <w:lang w:eastAsia="ru-RU"/>
        </w:rPr>
        <w:t>®</w:t>
      </w:r>
      <w:r w:rsidRPr="009E6200">
        <w:rPr>
          <w:lang w:eastAsia="ru-RU"/>
        </w:rPr>
        <w:t xml:space="preserve"> после однократного введения было показано, что эти препараты являются биоэквивалентными только по параметру Cmax, но не являются биоэквивалентными по параметрам AUC</w:t>
      </w:r>
      <w:r w:rsidRPr="009E6200">
        <w:rPr>
          <w:vertAlign w:val="subscript"/>
          <w:lang w:eastAsia="ru-RU"/>
        </w:rPr>
        <w:t>0-336</w:t>
      </w:r>
      <w:r w:rsidRPr="009E6200">
        <w:rPr>
          <w:lang w:eastAsia="ru-RU"/>
        </w:rPr>
        <w:t xml:space="preserve"> и AUC</w:t>
      </w:r>
      <w:r w:rsidRPr="009E6200">
        <w:rPr>
          <w:vertAlign w:val="subscript"/>
          <w:lang w:eastAsia="ru-RU"/>
        </w:rPr>
        <w:t>0-∞</w:t>
      </w:r>
      <w:r w:rsidRPr="009E6200">
        <w:rPr>
          <w:lang w:eastAsia="ru-RU"/>
        </w:rPr>
        <w:t>. Анализ клинических данных, полученных в этом исследовании, выполненный с использованием методов популяционного моделирования, продемонстрировал биоэквивалентность исследуемых препаратов по всем фармакокинетическим параметрам.</w:t>
      </w:r>
    </w:p>
    <w:p w14:paraId="06E77EC0" w14:textId="77777777" w:rsidR="00121FA5" w:rsidRPr="009E6200" w:rsidRDefault="00121FA5" w:rsidP="00992857">
      <w:pPr>
        <w:pStyle w:val="SDText"/>
        <w:ind w:firstLine="709"/>
        <w:jc w:val="both"/>
        <w:rPr>
          <w:lang w:eastAsia="ru-RU"/>
        </w:rPr>
      </w:pPr>
      <w:r w:rsidRPr="009E6200">
        <w:rPr>
          <w:lang w:eastAsia="ru-RU"/>
        </w:rPr>
        <w:t>В связи с этим была выполнена посттрансляционная модификация, а именно гликомодификация RPH-001, направленная на сближение гликопрофиля RPH-001 и Авастина</w:t>
      </w:r>
      <w:r w:rsidRPr="009E6200">
        <w:rPr>
          <w:vertAlign w:val="superscript"/>
          <w:lang w:eastAsia="ru-RU"/>
        </w:rPr>
        <w:t>®</w:t>
      </w:r>
      <w:r w:rsidRPr="009E6200">
        <w:rPr>
          <w:lang w:eastAsia="ru-RU"/>
        </w:rPr>
        <w:t>, с целью достичь биоэквивалентности препаратов RPH-001 и Авастин</w:t>
      </w:r>
      <w:r w:rsidRPr="009E6200">
        <w:rPr>
          <w:vertAlign w:val="superscript"/>
          <w:lang w:eastAsia="ru-RU"/>
        </w:rPr>
        <w:t>®</w:t>
      </w:r>
      <w:r w:rsidRPr="009E6200">
        <w:rPr>
          <w:lang w:eastAsia="ru-RU"/>
        </w:rPr>
        <w:t xml:space="preserve"> по параметрам AUC</w:t>
      </w:r>
      <w:r w:rsidRPr="009E6200">
        <w:rPr>
          <w:vertAlign w:val="subscript"/>
          <w:lang w:eastAsia="ru-RU"/>
        </w:rPr>
        <w:t>0-336</w:t>
      </w:r>
      <w:r w:rsidRPr="009E6200">
        <w:rPr>
          <w:lang w:eastAsia="ru-RU"/>
        </w:rPr>
        <w:t xml:space="preserve"> и AUC</w:t>
      </w:r>
      <w:r w:rsidRPr="009E6200">
        <w:rPr>
          <w:vertAlign w:val="subscript"/>
          <w:lang w:eastAsia="ru-RU"/>
        </w:rPr>
        <w:t>0-∞</w:t>
      </w:r>
      <w:r w:rsidRPr="009E6200">
        <w:rPr>
          <w:lang w:eastAsia="ru-RU"/>
        </w:rPr>
        <w:t xml:space="preserve">. </w:t>
      </w:r>
    </w:p>
    <w:p w14:paraId="79F63076" w14:textId="5255DB63" w:rsidR="00287060" w:rsidRDefault="00121FA5" w:rsidP="00992857">
      <w:pPr>
        <w:pStyle w:val="SDText"/>
        <w:ind w:firstLine="709"/>
        <w:jc w:val="both"/>
        <w:rPr>
          <w:lang w:eastAsia="ru-RU"/>
        </w:rPr>
      </w:pPr>
      <w:r w:rsidRPr="009E6200">
        <w:rPr>
          <w:lang w:eastAsia="ru-RU"/>
        </w:rPr>
        <w:t>Для изучения аспектов фармакокинетики и безопасности RPH-001 c посттрансляционной модификацией, а также для сравнения этих параметров с аналогичными для оригинального препарата бевацизумаба (Авастин</w:t>
      </w:r>
      <w:r w:rsidRPr="009E6200">
        <w:rPr>
          <w:vertAlign w:val="superscript"/>
          <w:lang w:eastAsia="ru-RU"/>
        </w:rPr>
        <w:t>®</w:t>
      </w:r>
      <w:r w:rsidRPr="009E6200">
        <w:rPr>
          <w:lang w:eastAsia="ru-RU"/>
        </w:rPr>
        <w:t>) было проведено клиническое исследование «Двойное слепое рандомизированное сравнительное, в параллельных группах, клиническое исследование фармакокинетики и безопасности препаратов RPH-001 (АО «Р-Фарм», Россия) и Авастин</w:t>
      </w:r>
      <w:r w:rsidRPr="009E6200">
        <w:rPr>
          <w:vertAlign w:val="superscript"/>
          <w:lang w:eastAsia="ru-RU"/>
        </w:rPr>
        <w:t>®</w:t>
      </w:r>
      <w:r w:rsidRPr="009E6200">
        <w:rPr>
          <w:lang w:eastAsia="ru-RU"/>
        </w:rPr>
        <w:t xml:space="preserve"> (Ф. Хоффманн-Ля Рош Лтд., Швейцария) при однократном внутривенном введении у здоровых добровольцев» (Протокол СL01011063), I Фаза. Результаты, полученные в данном исследовании, подтвердили биоэквивалентность препаратов RPH-001 и Авастин</w:t>
      </w:r>
      <w:r w:rsidRPr="009E6200">
        <w:rPr>
          <w:vertAlign w:val="superscript"/>
          <w:lang w:eastAsia="ru-RU"/>
        </w:rPr>
        <w:t>®</w:t>
      </w:r>
      <w:r w:rsidRPr="009E6200">
        <w:rPr>
          <w:lang w:eastAsia="ru-RU"/>
        </w:rPr>
        <w:t xml:space="preserve"> по основным фармакокинетическим параметрам С</w:t>
      </w:r>
      <w:r w:rsidRPr="009E6200">
        <w:rPr>
          <w:vertAlign w:val="subscript"/>
          <w:lang w:eastAsia="ru-RU"/>
        </w:rPr>
        <w:t>max</w:t>
      </w:r>
      <w:r w:rsidRPr="009E6200">
        <w:rPr>
          <w:lang w:eastAsia="ru-RU"/>
        </w:rPr>
        <w:t xml:space="preserve"> и AUC</w:t>
      </w:r>
      <w:r w:rsidRPr="009E6200">
        <w:rPr>
          <w:vertAlign w:val="subscript"/>
          <w:lang w:eastAsia="ru-RU"/>
        </w:rPr>
        <w:t>(0-t)</w:t>
      </w:r>
      <w:r w:rsidRPr="009E6200">
        <w:rPr>
          <w:lang w:eastAsia="ru-RU"/>
        </w:rPr>
        <w:t>.</w:t>
      </w:r>
    </w:p>
    <w:p w14:paraId="42CE4480" w14:textId="77777777" w:rsidR="00BB6320" w:rsidRPr="009E6200" w:rsidRDefault="00BB6320" w:rsidP="007B46F5">
      <w:pPr>
        <w:pStyle w:val="SDText"/>
        <w:ind w:firstLine="709"/>
        <w:jc w:val="both"/>
        <w:rPr>
          <w:lang w:eastAsia="ru-RU"/>
        </w:rPr>
      </w:pPr>
    </w:p>
    <w:p w14:paraId="74AE1F37" w14:textId="2F2C2E60" w:rsidR="00E64836" w:rsidRDefault="00E64836" w:rsidP="007B46F5">
      <w:pPr>
        <w:pStyle w:val="Heading2"/>
      </w:pPr>
      <w:bookmarkStart w:id="92" w:name="_Toc466287421"/>
      <w:bookmarkStart w:id="93" w:name="_Toc466287529"/>
      <w:bookmarkStart w:id="94" w:name="_Toc466287636"/>
      <w:bookmarkStart w:id="95" w:name="_Toc466287741"/>
      <w:bookmarkStart w:id="96" w:name="_Toc466287847"/>
      <w:bookmarkStart w:id="97" w:name="_Toc466287949"/>
      <w:bookmarkStart w:id="98" w:name="_Toc466288049"/>
      <w:bookmarkStart w:id="99" w:name="_Toc466288148"/>
      <w:bookmarkStart w:id="100" w:name="_Toc466288244"/>
      <w:bookmarkStart w:id="101" w:name="_Toc120865231"/>
      <w:bookmarkEnd w:id="92"/>
      <w:bookmarkEnd w:id="93"/>
      <w:bookmarkEnd w:id="94"/>
      <w:bookmarkEnd w:id="95"/>
      <w:bookmarkEnd w:id="96"/>
      <w:bookmarkEnd w:id="97"/>
      <w:bookmarkEnd w:id="98"/>
      <w:bookmarkEnd w:id="99"/>
      <w:bookmarkEnd w:id="100"/>
      <w:r w:rsidRPr="009E6200">
        <w:t>Потенциальные риск и польза от применения исследуемых лекарственных препаратов для участника исследования</w:t>
      </w:r>
      <w:bookmarkEnd w:id="101"/>
    </w:p>
    <w:p w14:paraId="4CFBF376" w14:textId="77777777" w:rsidR="00BB6320" w:rsidRPr="00BB6320" w:rsidRDefault="00BB6320" w:rsidP="007B46F5">
      <w:pPr>
        <w:pStyle w:val="SDText"/>
        <w:rPr>
          <w:lang w:eastAsia="ru-RU"/>
        </w:rPr>
      </w:pPr>
    </w:p>
    <w:p w14:paraId="56F08707" w14:textId="77777777" w:rsidR="004A6549" w:rsidRPr="009E6200" w:rsidRDefault="004A6549" w:rsidP="007B46F5">
      <w:pPr>
        <w:pStyle w:val="SDText"/>
        <w:ind w:firstLine="709"/>
        <w:jc w:val="both"/>
        <w:rPr>
          <w:lang w:eastAsia="ru-RU"/>
        </w:rPr>
      </w:pPr>
      <w:r w:rsidRPr="009E6200">
        <w:rPr>
          <w:lang w:eastAsia="ru-RU"/>
        </w:rPr>
        <w:t xml:space="preserve">Препарат </w:t>
      </w:r>
      <w:r w:rsidRPr="009E6200">
        <w:t xml:space="preserve">RPH-001 в лекарственной форме </w:t>
      </w:r>
      <w:r w:rsidRPr="009E6200">
        <w:rPr>
          <w:lang w:eastAsia="ru-RU"/>
        </w:rPr>
        <w:t>концентрат для приготовления раствора дли инфузий</w:t>
      </w:r>
      <w:r w:rsidRPr="009E6200">
        <w:t xml:space="preserve"> и препарат </w:t>
      </w:r>
      <w:r w:rsidRPr="009E6200">
        <w:rPr>
          <w:lang w:eastAsia="ru-RU"/>
        </w:rPr>
        <w:t>Авастин</w:t>
      </w:r>
      <w:r w:rsidR="00121FA5" w:rsidRPr="009E6200">
        <w:rPr>
          <w:rFonts w:cs="Times New Roman"/>
          <w:vertAlign w:val="superscript"/>
          <w:lang w:eastAsia="ru-RU"/>
        </w:rPr>
        <w:t>®</w:t>
      </w:r>
      <w:r w:rsidRPr="009E6200">
        <w:rPr>
          <w:lang w:eastAsia="ru-RU"/>
        </w:rPr>
        <w:t xml:space="preserve">, в лекарственной форме концентрат для приготовления раствора для инфузий, </w:t>
      </w:r>
      <w:r w:rsidRPr="009E6200">
        <w:t>содержащие лекарственное вещество «бевацизумаб», относятся к фармакотерапевтической группе «</w:t>
      </w:r>
      <w:r w:rsidRPr="009E6200">
        <w:rPr>
          <w:lang w:eastAsia="ru-RU"/>
        </w:rPr>
        <w:t>противоопухолевое средство, антитела моноклональные</w:t>
      </w:r>
      <w:r w:rsidRPr="009E6200">
        <w:t xml:space="preserve">» и применяется для химиотерапии </w:t>
      </w:r>
      <w:r w:rsidRPr="009E6200">
        <w:rPr>
          <w:lang w:eastAsia="ru-RU"/>
        </w:rPr>
        <w:t>в комбинации с карбоплатином и паклитакселом у пациентов с неплоскоклеточным НМРЛ.</w:t>
      </w:r>
    </w:p>
    <w:p w14:paraId="6478EFBB" w14:textId="77777777" w:rsidR="004A6549" w:rsidRPr="009E6200" w:rsidRDefault="004A6549" w:rsidP="007B46F5">
      <w:pPr>
        <w:pStyle w:val="SDText"/>
        <w:ind w:firstLine="709"/>
        <w:jc w:val="both"/>
        <w:rPr>
          <w:lang w:eastAsia="ru-RU"/>
        </w:rPr>
      </w:pPr>
      <w:r w:rsidRPr="009E6200">
        <w:rPr>
          <w:lang w:eastAsia="ru-RU"/>
        </w:rPr>
        <w:t>Препарат Авастин</w:t>
      </w:r>
      <w:r w:rsidR="00121FA5" w:rsidRPr="009E6200">
        <w:rPr>
          <w:rFonts w:cs="Times New Roman"/>
          <w:vertAlign w:val="superscript"/>
          <w:lang w:eastAsia="ru-RU"/>
        </w:rPr>
        <w:t>®</w:t>
      </w:r>
      <w:r w:rsidRPr="009E6200">
        <w:rPr>
          <w:lang w:eastAsia="ru-RU"/>
        </w:rPr>
        <w:t xml:space="preserve"> длительное время успешно применяется для лечения пациентов с неплоскоклеточным НМРЛ. Препарат </w:t>
      </w:r>
      <w:r w:rsidRPr="009E6200">
        <w:t xml:space="preserve">RPH-001 содержит аналог действующего вещества и вспомогательных веществ препарата </w:t>
      </w:r>
      <w:r w:rsidRPr="009E6200">
        <w:rPr>
          <w:lang w:eastAsia="ru-RU"/>
        </w:rPr>
        <w:t>Авастин</w:t>
      </w:r>
      <w:r w:rsidR="00121FA5" w:rsidRPr="009E6200">
        <w:rPr>
          <w:rFonts w:cs="Times New Roman"/>
          <w:vertAlign w:val="superscript"/>
          <w:lang w:eastAsia="ru-RU"/>
        </w:rPr>
        <w:t>®</w:t>
      </w:r>
      <w:r w:rsidRPr="009E6200">
        <w:rPr>
          <w:rFonts w:cs="Times New Roman"/>
          <w:lang w:eastAsia="ru-RU"/>
        </w:rPr>
        <w:t xml:space="preserve">. В связи с этим риски и польза использования препарата </w:t>
      </w:r>
      <w:r w:rsidRPr="009E6200">
        <w:t xml:space="preserve">RPH-001 могут быть оценены по результатам клинического исследования эффективности и безопасности препаратов RPH-001 и </w:t>
      </w:r>
      <w:r w:rsidRPr="009E6200">
        <w:rPr>
          <w:lang w:eastAsia="ru-RU"/>
        </w:rPr>
        <w:t>Авастин</w:t>
      </w:r>
      <w:r w:rsidR="00121FA5" w:rsidRPr="009E6200">
        <w:rPr>
          <w:vertAlign w:val="superscript"/>
          <w:lang w:eastAsia="ru-RU"/>
        </w:rPr>
        <w:t>®</w:t>
      </w:r>
      <w:r w:rsidRPr="009E6200">
        <w:rPr>
          <w:vertAlign w:val="superscript"/>
          <w:lang w:eastAsia="ru-RU"/>
        </w:rPr>
        <w:t xml:space="preserve"> </w:t>
      </w:r>
      <w:r w:rsidRPr="009E6200">
        <w:rPr>
          <w:lang w:eastAsia="ru-RU"/>
        </w:rPr>
        <w:t>в комбинации с карбоплатином и паклитакселом.</w:t>
      </w:r>
      <w:r w:rsidR="00C41E91" w:rsidRPr="009E6200">
        <w:rPr>
          <w:lang w:eastAsia="ru-RU"/>
        </w:rPr>
        <w:t xml:space="preserve"> </w:t>
      </w:r>
    </w:p>
    <w:p w14:paraId="0E91D11F" w14:textId="3B4FBA72" w:rsidR="002F6ECB" w:rsidRPr="009E6200" w:rsidRDefault="003C3298" w:rsidP="007B46F5">
      <w:pPr>
        <w:pStyle w:val="SDText"/>
        <w:ind w:firstLine="709"/>
        <w:jc w:val="both"/>
        <w:rPr>
          <w:lang w:eastAsia="ru-RU"/>
        </w:rPr>
      </w:pPr>
      <w:r w:rsidRPr="009E6200">
        <w:rPr>
          <w:lang w:eastAsia="ru-RU"/>
        </w:rPr>
        <w:t xml:space="preserve">Перечень известных НЯ, возникающих при приеме исследуемого препарата </w:t>
      </w:r>
      <w:r w:rsidR="00033801" w:rsidRPr="009E6200">
        <w:rPr>
          <w:lang w:val="en-US" w:eastAsia="ru-RU"/>
        </w:rPr>
        <w:t>RPH</w:t>
      </w:r>
      <w:r w:rsidR="00033801" w:rsidRPr="009E6200">
        <w:rPr>
          <w:lang w:eastAsia="ru-RU"/>
        </w:rPr>
        <w:t>-001 и препарата сравнения Авастин</w:t>
      </w:r>
      <w:r w:rsidR="00121FA5" w:rsidRPr="009E6200">
        <w:rPr>
          <w:rFonts w:cs="Times New Roman"/>
          <w:vertAlign w:val="superscript"/>
          <w:lang w:eastAsia="ru-RU"/>
        </w:rPr>
        <w:t>®</w:t>
      </w:r>
      <w:r w:rsidR="00033801" w:rsidRPr="009E6200">
        <w:rPr>
          <w:lang w:eastAsia="ru-RU"/>
        </w:rPr>
        <w:t xml:space="preserve"> </w:t>
      </w:r>
      <w:r w:rsidR="00545A82" w:rsidRPr="009E6200">
        <w:rPr>
          <w:lang w:eastAsia="ru-RU"/>
        </w:rPr>
        <w:t xml:space="preserve">в комбинации с другими компонентами схем химиотерапии </w:t>
      </w:r>
      <w:r w:rsidRPr="009E6200">
        <w:rPr>
          <w:lang w:eastAsia="ru-RU"/>
        </w:rPr>
        <w:t>представлен</w:t>
      </w:r>
      <w:r w:rsidR="00033801" w:rsidRPr="009E6200">
        <w:rPr>
          <w:lang w:eastAsia="ru-RU"/>
        </w:rPr>
        <w:t xml:space="preserve">ы в Разделах </w:t>
      </w:r>
      <w:r w:rsidR="001A2740" w:rsidRPr="009E6200">
        <w:rPr>
          <w:lang w:eastAsia="ru-RU"/>
        </w:rPr>
        <w:fldChar w:fldCharType="begin"/>
      </w:r>
      <w:r w:rsidR="001A2740" w:rsidRPr="009E6200">
        <w:rPr>
          <w:lang w:eastAsia="ru-RU"/>
        </w:rPr>
        <w:instrText xml:space="preserve"> REF _Ref12190790 \n \h  \* MERGEFORMAT </w:instrText>
      </w:r>
      <w:r w:rsidR="001A2740" w:rsidRPr="009E6200">
        <w:rPr>
          <w:lang w:eastAsia="ru-RU"/>
        </w:rPr>
      </w:r>
      <w:r w:rsidR="001A2740" w:rsidRPr="009E6200">
        <w:rPr>
          <w:lang w:eastAsia="ru-RU"/>
        </w:rPr>
        <w:fldChar w:fldCharType="separate"/>
      </w:r>
      <w:r w:rsidR="005A436A">
        <w:rPr>
          <w:lang w:eastAsia="ru-RU"/>
        </w:rPr>
        <w:t>2.1.1</w:t>
      </w:r>
      <w:r w:rsidR="001A2740" w:rsidRPr="009E6200">
        <w:rPr>
          <w:lang w:eastAsia="ru-RU"/>
        </w:rPr>
        <w:fldChar w:fldCharType="end"/>
      </w:r>
      <w:r w:rsidR="00033801" w:rsidRPr="009E6200">
        <w:rPr>
          <w:lang w:eastAsia="ru-RU"/>
        </w:rPr>
        <w:t xml:space="preserve"> и </w:t>
      </w:r>
      <w:r w:rsidR="001A2740" w:rsidRPr="009E6200">
        <w:rPr>
          <w:lang w:eastAsia="ru-RU"/>
        </w:rPr>
        <w:fldChar w:fldCharType="begin"/>
      </w:r>
      <w:r w:rsidR="001A2740" w:rsidRPr="009E6200">
        <w:rPr>
          <w:lang w:eastAsia="ru-RU"/>
        </w:rPr>
        <w:instrText xml:space="preserve"> REF _Ref27147171 \n \h  \* MERGEFORMAT </w:instrText>
      </w:r>
      <w:r w:rsidR="001A2740" w:rsidRPr="009E6200">
        <w:rPr>
          <w:lang w:eastAsia="ru-RU"/>
        </w:rPr>
      </w:r>
      <w:r w:rsidR="001A2740" w:rsidRPr="009E6200">
        <w:rPr>
          <w:lang w:eastAsia="ru-RU"/>
        </w:rPr>
        <w:fldChar w:fldCharType="separate"/>
      </w:r>
      <w:r w:rsidR="005A436A">
        <w:rPr>
          <w:lang w:eastAsia="ru-RU"/>
        </w:rPr>
        <w:t>2.1.2</w:t>
      </w:r>
      <w:r w:rsidR="001A2740" w:rsidRPr="009E6200">
        <w:rPr>
          <w:lang w:eastAsia="ru-RU"/>
        </w:rPr>
        <w:fldChar w:fldCharType="end"/>
      </w:r>
      <w:r w:rsidR="00033801" w:rsidRPr="009E6200">
        <w:rPr>
          <w:lang w:eastAsia="ru-RU"/>
        </w:rPr>
        <w:t>соответственно</w:t>
      </w:r>
      <w:r w:rsidRPr="009E6200">
        <w:rPr>
          <w:lang w:eastAsia="ru-RU"/>
        </w:rPr>
        <w:t>.</w:t>
      </w:r>
      <w:r w:rsidR="001E69D3" w:rsidRPr="009E6200">
        <w:rPr>
          <w:lang w:eastAsia="ru-RU"/>
        </w:rPr>
        <w:t xml:space="preserve"> Информация о препарате Авастин</w:t>
      </w:r>
      <w:r w:rsidR="00121FA5" w:rsidRPr="009E6200">
        <w:rPr>
          <w:rFonts w:cs="Times New Roman"/>
          <w:vertAlign w:val="superscript"/>
          <w:lang w:eastAsia="ru-RU"/>
        </w:rPr>
        <w:t>®</w:t>
      </w:r>
      <w:r w:rsidR="001E69D3" w:rsidRPr="009E6200">
        <w:rPr>
          <w:lang w:eastAsia="ru-RU"/>
        </w:rPr>
        <w:t xml:space="preserve"> актуализирована по последней редакции инструкции по медицинскому применению препарата. Актуальная информация об исследуемом препарате </w:t>
      </w:r>
      <w:r w:rsidR="001E69D3" w:rsidRPr="009E6200">
        <w:rPr>
          <w:lang w:val="en-US" w:eastAsia="ru-RU"/>
        </w:rPr>
        <w:t>RPH</w:t>
      </w:r>
      <w:r w:rsidR="001E69D3" w:rsidRPr="009E6200">
        <w:rPr>
          <w:lang w:eastAsia="ru-RU"/>
        </w:rPr>
        <w:t>-001 содержится в последней редакции брошюры исследователя.</w:t>
      </w:r>
    </w:p>
    <w:p w14:paraId="0B10533A" w14:textId="17928C5C" w:rsidR="002F6ECB" w:rsidRPr="009E6200" w:rsidRDefault="002F6ECB" w:rsidP="007B46F5">
      <w:pPr>
        <w:pStyle w:val="SDText"/>
        <w:jc w:val="both"/>
        <w:rPr>
          <w:lang w:eastAsia="ru-RU"/>
        </w:rPr>
      </w:pPr>
      <w:r w:rsidRPr="009E6200">
        <w:rPr>
          <w:lang w:eastAsia="ru-RU"/>
        </w:rPr>
        <w:t xml:space="preserve">Помимо исследуемого препарата и препарата сравнения, больные будут получать комбинированную химиотерапию </w:t>
      </w:r>
      <w:r w:rsidR="00545A82" w:rsidRPr="009E6200">
        <w:rPr>
          <w:lang w:eastAsia="ru-RU"/>
        </w:rPr>
        <w:t>паклитаксел + карбоплатин, 4-6 циклов</w:t>
      </w:r>
      <w:r w:rsidR="00735CB4" w:rsidRPr="009E6200">
        <w:rPr>
          <w:lang w:eastAsia="ru-RU"/>
        </w:rPr>
        <w:t xml:space="preserve"> (в зависимости от переносимости по решению врача-исследователя)</w:t>
      </w:r>
      <w:r w:rsidR="00545A82" w:rsidRPr="009E6200">
        <w:rPr>
          <w:lang w:eastAsia="ru-RU"/>
        </w:rPr>
        <w:t xml:space="preserve">. Возможно развитие свойственных для этих препаратов побочных эффектов. </w:t>
      </w:r>
      <w:r w:rsidR="00F91511" w:rsidRPr="009E6200">
        <w:rPr>
          <w:lang w:eastAsia="ru-RU"/>
        </w:rPr>
        <w:t xml:space="preserve">Перед введением паклитаксела проводится премедикация глюкокортикостероидами, блокаторами Н1- и Н2-гистаминовых рецепторов (Раздел </w:t>
      </w:r>
      <w:r w:rsidR="00F91511" w:rsidRPr="009E6200">
        <w:rPr>
          <w:lang w:eastAsia="ru-RU"/>
        </w:rPr>
        <w:fldChar w:fldCharType="begin"/>
      </w:r>
      <w:r w:rsidR="00F91511" w:rsidRPr="009E6200">
        <w:rPr>
          <w:lang w:eastAsia="ru-RU"/>
        </w:rPr>
        <w:instrText xml:space="preserve"> REF _Ref12614195 \n \h </w:instrText>
      </w:r>
      <w:r w:rsidR="009E6200">
        <w:rPr>
          <w:lang w:eastAsia="ru-RU"/>
        </w:rPr>
        <w:instrText xml:space="preserve"> \* MERGEFORMAT </w:instrText>
      </w:r>
      <w:r w:rsidR="00F91511" w:rsidRPr="009E6200">
        <w:rPr>
          <w:lang w:eastAsia="ru-RU"/>
        </w:rPr>
      </w:r>
      <w:r w:rsidR="00F91511" w:rsidRPr="009E6200">
        <w:rPr>
          <w:lang w:eastAsia="ru-RU"/>
        </w:rPr>
        <w:fldChar w:fldCharType="separate"/>
      </w:r>
      <w:r w:rsidR="005A436A">
        <w:rPr>
          <w:lang w:eastAsia="ru-RU"/>
        </w:rPr>
        <w:t>6.2.4.1</w:t>
      </w:r>
      <w:r w:rsidR="00F91511" w:rsidRPr="009E6200">
        <w:rPr>
          <w:lang w:eastAsia="ru-RU"/>
        </w:rPr>
        <w:fldChar w:fldCharType="end"/>
      </w:r>
      <w:r w:rsidR="00F91511" w:rsidRPr="009E6200">
        <w:rPr>
          <w:lang w:eastAsia="ru-RU"/>
        </w:rPr>
        <w:t xml:space="preserve">). При введении препаратов, используемых для премедикации и химиотерапии также возможно развитие побочных эффектов. </w:t>
      </w:r>
      <w:r w:rsidR="00545A82" w:rsidRPr="009E6200">
        <w:rPr>
          <w:lang w:eastAsia="ru-RU"/>
        </w:rPr>
        <w:t xml:space="preserve">Для получения информации о возможных побочных эффектах паклитаксела </w:t>
      </w:r>
      <w:r w:rsidR="00C41E91" w:rsidRPr="009E6200">
        <w:rPr>
          <w:lang w:eastAsia="ru-RU"/>
        </w:rPr>
        <w:t xml:space="preserve">и карбоплатина </w:t>
      </w:r>
      <w:r w:rsidR="00F91511" w:rsidRPr="009E6200">
        <w:rPr>
          <w:lang w:eastAsia="ru-RU"/>
        </w:rPr>
        <w:t xml:space="preserve">и препаратов премедикации </w:t>
      </w:r>
      <w:r w:rsidR="00C41E91" w:rsidRPr="009E6200">
        <w:rPr>
          <w:lang w:eastAsia="ru-RU"/>
        </w:rPr>
        <w:t>следует обратиться к актуальным инструкциям по медицинскому применению используемых в рамках исследования лекарственных препаратов.</w:t>
      </w:r>
    </w:p>
    <w:p w14:paraId="0C559E0F" w14:textId="76037806" w:rsidR="003C3298" w:rsidRPr="009E6200" w:rsidRDefault="003C3298" w:rsidP="007B46F5">
      <w:pPr>
        <w:pStyle w:val="SDText"/>
        <w:ind w:firstLine="709"/>
        <w:jc w:val="both"/>
        <w:rPr>
          <w:lang w:eastAsia="ru-RU"/>
        </w:rPr>
      </w:pPr>
      <w:r w:rsidRPr="009E6200">
        <w:rPr>
          <w:lang w:eastAsia="ru-RU"/>
        </w:rPr>
        <w:t>С целью снижения частоты возникновения НЯ в настоящем исследовании предусмотрена тщательная проверка соответствия пациентов критериям включения (Раздел</w:t>
      </w:r>
      <w:r w:rsidR="00033801" w:rsidRPr="009E6200">
        <w:rPr>
          <w:lang w:eastAsia="ru-RU"/>
        </w:rPr>
        <w:t xml:space="preserve"> </w:t>
      </w:r>
      <w:r w:rsidR="00033801" w:rsidRPr="009E6200">
        <w:rPr>
          <w:lang w:eastAsia="ru-RU"/>
        </w:rPr>
        <w:fldChar w:fldCharType="begin"/>
      </w:r>
      <w:r w:rsidR="00033801" w:rsidRPr="009E6200">
        <w:rPr>
          <w:lang w:eastAsia="ru-RU"/>
        </w:rPr>
        <w:instrText xml:space="preserve"> REF _Ref12190822 \r \h </w:instrText>
      </w:r>
      <w:r w:rsidR="009E6200">
        <w:rPr>
          <w:lang w:eastAsia="ru-RU"/>
        </w:rPr>
        <w:instrText xml:space="preserve"> \* MERGEFORMAT </w:instrText>
      </w:r>
      <w:r w:rsidR="00033801" w:rsidRPr="009E6200">
        <w:rPr>
          <w:lang w:eastAsia="ru-RU"/>
        </w:rPr>
      </w:r>
      <w:r w:rsidR="00033801" w:rsidRPr="009E6200">
        <w:rPr>
          <w:lang w:eastAsia="ru-RU"/>
        </w:rPr>
        <w:fldChar w:fldCharType="separate"/>
      </w:r>
      <w:r w:rsidR="005A436A">
        <w:rPr>
          <w:lang w:eastAsia="ru-RU"/>
        </w:rPr>
        <w:t>5.1</w:t>
      </w:r>
      <w:r w:rsidR="00033801" w:rsidRPr="009E6200">
        <w:rPr>
          <w:lang w:eastAsia="ru-RU"/>
        </w:rPr>
        <w:fldChar w:fldCharType="end"/>
      </w:r>
      <w:r w:rsidRPr="009E6200">
        <w:rPr>
          <w:lang w:eastAsia="ru-RU"/>
        </w:rPr>
        <w:t>) и невключения (Раздел</w:t>
      </w:r>
      <w:r w:rsidR="00392E36" w:rsidRPr="009E6200">
        <w:rPr>
          <w:lang w:eastAsia="ru-RU"/>
        </w:rPr>
        <w:t xml:space="preserve"> </w:t>
      </w:r>
      <w:r w:rsidR="00392E36" w:rsidRPr="009E6200">
        <w:rPr>
          <w:lang w:eastAsia="ru-RU"/>
        </w:rPr>
        <w:fldChar w:fldCharType="begin"/>
      </w:r>
      <w:r w:rsidR="00392E36" w:rsidRPr="009E6200">
        <w:rPr>
          <w:lang w:eastAsia="ru-RU"/>
        </w:rPr>
        <w:instrText xml:space="preserve"> REF _Ref16256942 \r \h </w:instrText>
      </w:r>
      <w:r w:rsidR="009E6200">
        <w:rPr>
          <w:lang w:eastAsia="ru-RU"/>
        </w:rPr>
        <w:instrText xml:space="preserve"> \* MERGEFORMAT </w:instrText>
      </w:r>
      <w:r w:rsidR="00392E36" w:rsidRPr="009E6200">
        <w:rPr>
          <w:lang w:eastAsia="ru-RU"/>
        </w:rPr>
      </w:r>
      <w:r w:rsidR="00392E36" w:rsidRPr="009E6200">
        <w:rPr>
          <w:lang w:eastAsia="ru-RU"/>
        </w:rPr>
        <w:fldChar w:fldCharType="separate"/>
      </w:r>
      <w:r w:rsidR="005A436A">
        <w:rPr>
          <w:lang w:eastAsia="ru-RU"/>
        </w:rPr>
        <w:t>5.2</w:t>
      </w:r>
      <w:r w:rsidR="00392E36" w:rsidRPr="009E6200">
        <w:rPr>
          <w:lang w:eastAsia="ru-RU"/>
        </w:rPr>
        <w:fldChar w:fldCharType="end"/>
      </w:r>
      <w:r w:rsidRPr="009E6200">
        <w:rPr>
          <w:lang w:eastAsia="ru-RU"/>
        </w:rPr>
        <w:t xml:space="preserve">) до приема исследуемого препарата. Для исключения возможного воздействия препаратов на эмбрион в исследование будут включаться женщины только при условии отрицательного теста на беременность и согласия придерживаться разрешенных эффективных методов контрацепции во время участия в исследовании (Раздел </w:t>
      </w:r>
      <w:r w:rsidR="00033801" w:rsidRPr="009E6200">
        <w:rPr>
          <w:lang w:eastAsia="ru-RU"/>
        </w:rPr>
        <w:fldChar w:fldCharType="begin"/>
      </w:r>
      <w:r w:rsidR="00033801" w:rsidRPr="009E6200">
        <w:rPr>
          <w:lang w:eastAsia="ru-RU"/>
        </w:rPr>
        <w:instrText xml:space="preserve"> REF _Ref12190842 \r \h </w:instrText>
      </w:r>
      <w:r w:rsidR="009E6200">
        <w:rPr>
          <w:lang w:eastAsia="ru-RU"/>
        </w:rPr>
        <w:instrText xml:space="preserve"> \* MERGEFORMAT </w:instrText>
      </w:r>
      <w:r w:rsidR="00033801" w:rsidRPr="009E6200">
        <w:rPr>
          <w:lang w:eastAsia="ru-RU"/>
        </w:rPr>
      </w:r>
      <w:r w:rsidR="00033801" w:rsidRPr="009E6200">
        <w:rPr>
          <w:lang w:eastAsia="ru-RU"/>
        </w:rPr>
        <w:fldChar w:fldCharType="separate"/>
      </w:r>
      <w:r w:rsidR="005A436A">
        <w:rPr>
          <w:lang w:eastAsia="ru-RU"/>
        </w:rPr>
        <w:t>6.4</w:t>
      </w:r>
      <w:r w:rsidR="00033801" w:rsidRPr="009E6200">
        <w:rPr>
          <w:lang w:eastAsia="ru-RU"/>
        </w:rPr>
        <w:fldChar w:fldCharType="end"/>
      </w:r>
      <w:r w:rsidRPr="009E6200">
        <w:rPr>
          <w:lang w:eastAsia="ru-RU"/>
        </w:rPr>
        <w:t>).</w:t>
      </w:r>
    </w:p>
    <w:p w14:paraId="4B9D4B96" w14:textId="77777777" w:rsidR="003C3298" w:rsidRPr="009E6200" w:rsidRDefault="003C3298" w:rsidP="007B46F5">
      <w:pPr>
        <w:pStyle w:val="SDText"/>
        <w:ind w:firstLine="709"/>
        <w:jc w:val="both"/>
        <w:rPr>
          <w:lang w:eastAsia="ru-RU"/>
        </w:rPr>
      </w:pPr>
      <w:r w:rsidRPr="009E6200">
        <w:rPr>
          <w:lang w:eastAsia="ru-RU"/>
        </w:rPr>
        <w:t xml:space="preserve">Отбор проб крови для лабораторных </w:t>
      </w:r>
      <w:r w:rsidR="00033801" w:rsidRPr="009E6200">
        <w:rPr>
          <w:lang w:eastAsia="ru-RU"/>
        </w:rPr>
        <w:t xml:space="preserve">анализов крови </w:t>
      </w:r>
      <w:r w:rsidRPr="009E6200">
        <w:rPr>
          <w:lang w:eastAsia="ru-RU"/>
        </w:rPr>
        <w:t>(общий анализ крови, биохимический анализ крови, серологический анализ крови</w:t>
      </w:r>
      <w:r w:rsidR="00033801" w:rsidRPr="009E6200">
        <w:rPr>
          <w:lang w:eastAsia="ru-RU"/>
        </w:rPr>
        <w:t>, коагулограмма, определение уровня бевацизумаба и уровня антител к бевацизумабу</w:t>
      </w:r>
      <w:r w:rsidRPr="009E6200">
        <w:rPr>
          <w:lang w:eastAsia="ru-RU"/>
        </w:rPr>
        <w:t>) может сопровождаться неудобствами для пациентов, связанными с болезненностью процедур установки венозного катетера, введения иглы в вену, а также возможными кровоподтеками в местах венепункции. Значительно реже в месте венепункции может развиться инфекционное осложнение или системное инфицирование. Головокружение и/или слабость могут наблюдаться во время или вскоре после отбора проб крови.</w:t>
      </w:r>
    </w:p>
    <w:p w14:paraId="6C69A4CA" w14:textId="30720F30" w:rsidR="00033801" w:rsidRPr="009E6200" w:rsidRDefault="00033801" w:rsidP="007B46F5">
      <w:pPr>
        <w:pStyle w:val="SDText"/>
        <w:ind w:firstLine="709"/>
        <w:jc w:val="both"/>
        <w:rPr>
          <w:lang w:eastAsia="ru-RU"/>
        </w:rPr>
      </w:pPr>
      <w:r w:rsidRPr="009E6200">
        <w:rPr>
          <w:lang w:eastAsia="ru-RU"/>
        </w:rPr>
        <w:t>Проведение ЭГДС, колоноскопии, КТ и МРТ исследований</w:t>
      </w:r>
      <w:r w:rsidR="00A70B28">
        <w:rPr>
          <w:lang w:eastAsia="ru-RU"/>
        </w:rPr>
        <w:t xml:space="preserve"> брюшной полости</w:t>
      </w:r>
      <w:r w:rsidR="00FE05D3">
        <w:rPr>
          <w:lang w:eastAsia="ru-RU"/>
        </w:rPr>
        <w:t>, а так же МРТ исследования малого таза</w:t>
      </w:r>
      <w:r w:rsidRPr="009E6200">
        <w:rPr>
          <w:lang w:eastAsia="ru-RU"/>
        </w:rPr>
        <w:t xml:space="preserve"> требуют подготовки пациента. Подготовка включает в себя диету</w:t>
      </w:r>
      <w:r w:rsidR="00830A85" w:rsidRPr="009E6200">
        <w:rPr>
          <w:lang w:eastAsia="ru-RU"/>
        </w:rPr>
        <w:t xml:space="preserve">, в некоторых случаях </w:t>
      </w:r>
      <w:r w:rsidR="00E52C21" w:rsidRPr="009E6200">
        <w:rPr>
          <w:lang w:eastAsia="ru-RU"/>
        </w:rPr>
        <w:t xml:space="preserve">прием лекарственных препаратов, а также соблюдения режима. </w:t>
      </w:r>
      <w:r w:rsidR="00830A85" w:rsidRPr="009E6200">
        <w:rPr>
          <w:lang w:eastAsia="ru-RU"/>
        </w:rPr>
        <w:t>ЭГДС и колоноскопия могут доставлять дискомфорт или болевые ощущения</w:t>
      </w:r>
      <w:r w:rsidR="00621378" w:rsidRPr="009E6200">
        <w:rPr>
          <w:lang w:eastAsia="ru-RU"/>
        </w:rPr>
        <w:t>, крайне редко возможно развитие более тяжелых осложнений, таких как кровотечения, перфорация стенки кишки или другого исследуемого отдела желудочно-кишечного тракта.</w:t>
      </w:r>
      <w:r w:rsidR="00830A85" w:rsidRPr="009E6200">
        <w:rPr>
          <w:lang w:eastAsia="ru-RU"/>
        </w:rPr>
        <w:t xml:space="preserve"> КТ и МРТ с контрастированием сопряжены с риском аллергической реакции на контрастный препарат, а также могут вызывать</w:t>
      </w:r>
      <w:r w:rsidR="004A4095" w:rsidRPr="009E6200">
        <w:rPr>
          <w:lang w:eastAsia="ru-RU"/>
        </w:rPr>
        <w:t xml:space="preserve"> дискомфорт, связанный с необходимостью длительно пребывать в одном положении неподвижно, задерживать дыхание, находиться в ограниченном пространстве.</w:t>
      </w:r>
      <w:r w:rsidR="00541719" w:rsidRPr="009E6200">
        <w:rPr>
          <w:lang w:eastAsia="ru-RU"/>
        </w:rPr>
        <w:t xml:space="preserve"> КТ </w:t>
      </w:r>
      <w:r w:rsidR="00831B9D" w:rsidRPr="009E6200">
        <w:rPr>
          <w:lang w:eastAsia="ru-RU"/>
        </w:rPr>
        <w:t xml:space="preserve">предполагает лучевую нагрузку на пациента (рентгеновское излучение), однако этот риск оправдан необходимостью оценки динамики заболевания для </w:t>
      </w:r>
      <w:r w:rsidR="003007EE" w:rsidRPr="009E6200">
        <w:rPr>
          <w:lang w:eastAsia="ru-RU"/>
        </w:rPr>
        <w:t>коррекции лечебной тактики</w:t>
      </w:r>
      <w:r w:rsidR="00831B9D" w:rsidRPr="009E6200">
        <w:rPr>
          <w:lang w:eastAsia="ru-RU"/>
        </w:rPr>
        <w:t>.</w:t>
      </w:r>
    </w:p>
    <w:p w14:paraId="2BE3B76B" w14:textId="77777777" w:rsidR="003C3298" w:rsidRPr="009E6200" w:rsidRDefault="003C3298" w:rsidP="007B46F5">
      <w:pPr>
        <w:pStyle w:val="SDText"/>
        <w:ind w:firstLine="709"/>
        <w:jc w:val="both"/>
        <w:rPr>
          <w:lang w:eastAsia="ru-RU"/>
        </w:rPr>
      </w:pPr>
      <w:r w:rsidRPr="009E6200">
        <w:rPr>
          <w:lang w:eastAsia="ru-RU"/>
        </w:rPr>
        <w:t>Другие процедуры исследования, выполняемые в рамках данного протокола, включая физикальное обследование, являются рутинными в общей клинической практике. Частота их выполнения не создает дополнительной нагрузки на пациента.</w:t>
      </w:r>
    </w:p>
    <w:p w14:paraId="5A005C36" w14:textId="77777777" w:rsidR="003C3298" w:rsidRPr="009E6200" w:rsidRDefault="003C3298" w:rsidP="007B46F5">
      <w:pPr>
        <w:pStyle w:val="SDText"/>
        <w:ind w:firstLine="709"/>
        <w:jc w:val="both"/>
        <w:rPr>
          <w:lang w:eastAsia="ru-RU"/>
        </w:rPr>
      </w:pPr>
      <w:r w:rsidRPr="009E6200">
        <w:rPr>
          <w:lang w:eastAsia="ru-RU"/>
        </w:rPr>
        <w:t>Все пациенты перед подписанием формы Информированного согласия на участие в данном исследовании будут проинформированы о возможных рисках и дискомфорте, а также о необходимости сообщать Исследователю о проблемах со здоровьем в случае возникновения таковых. Исследователь будет проводить тщательный мониторинг состояния пациентов в ходе всего исследования. При необходимости (например, развитии НЯ или СНЯ), Исследователь предпримет все необходимые меры по проведению соответствующих обследований и/или назначения требуемой терапии. Все НЯ и СНЯ будут прослежены до их разрешения или до тех пор, пока Исследователь не расценит их как «стабильные».</w:t>
      </w:r>
      <w:r w:rsidR="00E52C21" w:rsidRPr="009E6200">
        <w:rPr>
          <w:lang w:eastAsia="ru-RU"/>
        </w:rPr>
        <w:t xml:space="preserve"> Введение следующей дозы препаратов исследования будет проводиться только после оценки состояния пациента, и допустимости внутривенного введения препаратов с учетом их выявленной токсичности.</w:t>
      </w:r>
    </w:p>
    <w:p w14:paraId="5ADE6360" w14:textId="77777777" w:rsidR="003C3298" w:rsidRPr="009E6200" w:rsidRDefault="003C3298" w:rsidP="007B46F5">
      <w:pPr>
        <w:pStyle w:val="SDText"/>
        <w:ind w:firstLine="709"/>
        <w:jc w:val="both"/>
        <w:rPr>
          <w:lang w:eastAsia="ru-RU"/>
        </w:rPr>
      </w:pPr>
      <w:r w:rsidRPr="009E6200">
        <w:rPr>
          <w:lang w:eastAsia="ru-RU"/>
        </w:rPr>
        <w:t xml:space="preserve">Таким образом, риски для пациентов в данном исследовании </w:t>
      </w:r>
      <w:r w:rsidR="00735CB4" w:rsidRPr="009E6200">
        <w:rPr>
          <w:lang w:eastAsia="ru-RU"/>
        </w:rPr>
        <w:t xml:space="preserve">не превышают пользы от потенциальной </w:t>
      </w:r>
      <w:r w:rsidR="008F4306" w:rsidRPr="009E6200">
        <w:rPr>
          <w:lang w:eastAsia="ru-RU"/>
        </w:rPr>
        <w:t>эффективност</w:t>
      </w:r>
      <w:r w:rsidR="00735CB4" w:rsidRPr="009E6200">
        <w:rPr>
          <w:lang w:eastAsia="ru-RU"/>
        </w:rPr>
        <w:t>и</w:t>
      </w:r>
      <w:r w:rsidR="008F4306" w:rsidRPr="009E6200">
        <w:rPr>
          <w:lang w:eastAsia="ru-RU"/>
        </w:rPr>
        <w:t xml:space="preserve"> терапии неплоскоклеточного НМРЛ</w:t>
      </w:r>
      <w:r w:rsidR="00735CB4" w:rsidRPr="009E6200">
        <w:rPr>
          <w:lang w:eastAsia="ru-RU"/>
        </w:rPr>
        <w:t xml:space="preserve"> по предусмотренным протоколом схемам</w:t>
      </w:r>
      <w:r w:rsidRPr="009E6200">
        <w:rPr>
          <w:lang w:eastAsia="ru-RU"/>
        </w:rPr>
        <w:t>, а включение в исследование пациентов будет оправданным с точки зрения этики и безопасным.</w:t>
      </w:r>
    </w:p>
    <w:p w14:paraId="209738F6" w14:textId="3F29CD94" w:rsidR="00882182" w:rsidRDefault="00882182" w:rsidP="007B46F5">
      <w:pPr>
        <w:pStyle w:val="SDText"/>
        <w:ind w:firstLine="709"/>
        <w:jc w:val="both"/>
        <w:rPr>
          <w:lang w:eastAsia="ru-RU"/>
        </w:rPr>
      </w:pPr>
      <w:r w:rsidRPr="009E6200">
        <w:rPr>
          <w:lang w:eastAsia="ru-RU"/>
        </w:rPr>
        <w:t xml:space="preserve">Клиническое исследование будет проводиться в соответствии с протоколом клинического исследования и правилами надлежащей клинической практики (приказ Министерства здравоохранения [МЗ] РФ от 01.04.2016 г. N 200н «Об утверждении правил надлежащей клинической практики»; Национальный стандарт Российской Федерации ГОСТР 52379-2005 «Надлежащая клиническая практика»; Правила надлежащей клинической практики Евразийского экономического союза [ЕАЭС] [утверждены Решением Совета Евразийской экономической комиссии от 03.11.2016 г. № 79]), лечение пациентов будет проводиться квалифицированным медицинским персоналом с учетом современных клинических рекомендаций по лечению </w:t>
      </w:r>
      <w:r w:rsidR="00621378" w:rsidRPr="009E6200">
        <w:rPr>
          <w:lang w:eastAsia="ru-RU"/>
        </w:rPr>
        <w:t>пациентов</w:t>
      </w:r>
      <w:r w:rsidRPr="009E6200">
        <w:rPr>
          <w:lang w:eastAsia="ru-RU"/>
        </w:rPr>
        <w:t xml:space="preserve"> </w:t>
      </w:r>
      <w:sdt>
        <w:sdtPr>
          <w:rPr>
            <w:lang w:eastAsia="ru-RU"/>
          </w:rPr>
          <w:id w:val="-20555578"/>
          <w:placeholder>
            <w:docPart w:val="DF3542474D704B8FBE081AE31EFDA90A"/>
          </w:placeholder>
          <w:showingPlcHdr/>
        </w:sdtPr>
        <w:sdtEndPr/>
        <w:sdtContent>
          <w:r w:rsidR="008F4306" w:rsidRPr="009E6200">
            <w:rPr>
              <w:lang w:eastAsia="ru-RU"/>
            </w:rPr>
            <w:t xml:space="preserve">с неплоскоклеточным НМРЛ стадии </w:t>
          </w:r>
          <w:r w:rsidR="008F4306" w:rsidRPr="009E6200">
            <w:rPr>
              <w:lang w:val="en-US" w:eastAsia="ru-RU"/>
            </w:rPr>
            <w:t>IIIB</w:t>
          </w:r>
          <w:r w:rsidR="008F4306" w:rsidRPr="009E6200">
            <w:rPr>
              <w:lang w:eastAsia="ru-RU"/>
            </w:rPr>
            <w:t>–</w:t>
          </w:r>
          <w:r w:rsidR="008F4306" w:rsidRPr="009E6200">
            <w:rPr>
              <w:lang w:val="en-US" w:eastAsia="ru-RU"/>
            </w:rPr>
            <w:t>IV</w:t>
          </w:r>
        </w:sdtContent>
      </w:sdt>
      <w:r w:rsidRPr="009E6200">
        <w:rPr>
          <w:lang w:eastAsia="ru-RU"/>
        </w:rPr>
        <w:t>. Лечение и обследовани</w:t>
      </w:r>
      <w:r w:rsidR="00621378" w:rsidRPr="009E6200">
        <w:rPr>
          <w:lang w:eastAsia="ru-RU"/>
        </w:rPr>
        <w:t>я</w:t>
      </w:r>
      <w:r w:rsidRPr="009E6200">
        <w:rPr>
          <w:lang w:eastAsia="ru-RU"/>
        </w:rPr>
        <w:t xml:space="preserve"> в рамках исследования будут бесплатны для пациента. Таким образом, потенциальная польза от участия в исследовании превышает потенциальный риск применения исследуемого препарата и препарата сравнения.</w:t>
      </w:r>
    </w:p>
    <w:p w14:paraId="41C08673" w14:textId="77777777" w:rsidR="00BB6320" w:rsidRPr="009E6200" w:rsidRDefault="00BB6320" w:rsidP="007B46F5">
      <w:pPr>
        <w:pStyle w:val="SDText"/>
        <w:ind w:firstLine="709"/>
        <w:jc w:val="both"/>
        <w:rPr>
          <w:lang w:eastAsia="ru-RU"/>
        </w:rPr>
      </w:pPr>
    </w:p>
    <w:p w14:paraId="6470FC19" w14:textId="2F071584" w:rsidR="00E64836" w:rsidRPr="009E6200" w:rsidRDefault="00E64836" w:rsidP="007B46F5">
      <w:pPr>
        <w:pStyle w:val="Heading2"/>
      </w:pPr>
      <w:bookmarkStart w:id="102" w:name="_Toc120865232"/>
      <w:r w:rsidRPr="009E6200">
        <w:t>Описание и обоснование способа введения, дозировки, режима дозирования и курса лечения</w:t>
      </w:r>
      <w:bookmarkEnd w:id="102"/>
    </w:p>
    <w:p w14:paraId="217F26A7" w14:textId="77777777" w:rsidR="00BB6320" w:rsidRDefault="00BB6320" w:rsidP="007B46F5">
      <w:pPr>
        <w:pStyle w:val="SDText"/>
        <w:jc w:val="both"/>
        <w:rPr>
          <w:lang w:eastAsia="ru-RU"/>
        </w:rPr>
      </w:pPr>
    </w:p>
    <w:p w14:paraId="5D8436E7" w14:textId="1C3B141C" w:rsidR="007C5E0C" w:rsidRPr="009E6200" w:rsidRDefault="007C5E0C" w:rsidP="007B46F5">
      <w:pPr>
        <w:pStyle w:val="SDText"/>
        <w:ind w:firstLine="432"/>
        <w:jc w:val="both"/>
        <w:rPr>
          <w:lang w:eastAsia="ru-RU"/>
        </w:rPr>
      </w:pPr>
      <w:r w:rsidRPr="009E6200">
        <w:rPr>
          <w:lang w:eastAsia="ru-RU"/>
        </w:rPr>
        <w:t xml:space="preserve">Соответствующие критериям включения и не имеющие критериев невключения по данным скринингового обследования пациенты будут </w:t>
      </w:r>
      <w:r w:rsidRPr="009E6200">
        <w:t>рандомизированы</w:t>
      </w:r>
      <w:r w:rsidRPr="009E6200">
        <w:rPr>
          <w:lang w:eastAsia="ru-RU"/>
        </w:rPr>
        <w:t xml:space="preserve"> в одну из групп терапии:</w:t>
      </w:r>
    </w:p>
    <w:p w14:paraId="343B245E" w14:textId="77777777" w:rsidR="007C5E0C" w:rsidRPr="009E6200" w:rsidRDefault="007C5E0C" w:rsidP="007B46F5">
      <w:pPr>
        <w:pStyle w:val="SDText"/>
        <w:numPr>
          <w:ilvl w:val="0"/>
          <w:numId w:val="16"/>
        </w:numPr>
        <w:ind w:firstLine="135"/>
        <w:jc w:val="both"/>
        <w:rPr>
          <w:lang w:eastAsia="ru-RU"/>
        </w:rPr>
      </w:pPr>
      <w:r w:rsidRPr="009E6200">
        <w:rPr>
          <w:lang w:eastAsia="ru-RU"/>
        </w:rPr>
        <w:t>RPH-001 в дозе 15 мг/кг один раз в 3 недели в виде внутривенной инфузии;</w:t>
      </w:r>
    </w:p>
    <w:p w14:paraId="5BEF0BEE" w14:textId="77777777" w:rsidR="007C5E0C" w:rsidRPr="009E6200" w:rsidRDefault="007C5E0C" w:rsidP="007B46F5">
      <w:pPr>
        <w:pStyle w:val="SDText"/>
        <w:numPr>
          <w:ilvl w:val="0"/>
          <w:numId w:val="16"/>
        </w:numPr>
        <w:ind w:firstLine="135"/>
        <w:jc w:val="both"/>
        <w:rPr>
          <w:lang w:eastAsia="ru-RU"/>
        </w:rPr>
      </w:pPr>
      <w:r w:rsidRPr="009E6200">
        <w:rPr>
          <w:lang w:eastAsia="ru-RU"/>
        </w:rPr>
        <w:t>Авастин</w:t>
      </w:r>
      <w:r w:rsidR="00121FA5" w:rsidRPr="009E6200">
        <w:rPr>
          <w:vertAlign w:val="superscript"/>
          <w:lang w:eastAsia="ru-RU"/>
        </w:rPr>
        <w:t>®</w:t>
      </w:r>
      <w:r w:rsidRPr="009E6200">
        <w:rPr>
          <w:lang w:eastAsia="ru-RU"/>
        </w:rPr>
        <w:t xml:space="preserve"> в дозе 15 мг/кг один раз в 3 недели в виде внутривенной инфузии.</w:t>
      </w:r>
    </w:p>
    <w:p w14:paraId="7CA984DF" w14:textId="77777777" w:rsidR="005A189B" w:rsidRPr="009E6200" w:rsidRDefault="005A189B" w:rsidP="007B46F5">
      <w:pPr>
        <w:ind w:firstLine="432"/>
        <w:jc w:val="both"/>
        <w:rPr>
          <w:lang w:eastAsia="ru-RU"/>
        </w:rPr>
      </w:pPr>
      <w:r w:rsidRPr="009E6200">
        <w:rPr>
          <w:lang w:eastAsia="ru-RU"/>
        </w:rPr>
        <w:t xml:space="preserve">Лечение исследуемым препаратом/препаратом сравнения будет продолжено до прогрессирования заболевания (в соответствии с критериями </w:t>
      </w:r>
      <w:r w:rsidRPr="009E6200">
        <w:t xml:space="preserve">ответа солидных опухолей  [response evaluation criteria in solid tumors, </w:t>
      </w:r>
      <w:r w:rsidRPr="009E6200">
        <w:rPr>
          <w:lang w:eastAsia="ru-RU"/>
        </w:rPr>
        <w:t xml:space="preserve"> </w:t>
      </w:r>
      <w:r w:rsidR="00492F0B" w:rsidRPr="009E6200">
        <w:rPr>
          <w:lang w:val="en-US" w:eastAsia="ru-RU"/>
        </w:rPr>
        <w:t>RECIST</w:t>
      </w:r>
      <w:r w:rsidR="00492F0B" w:rsidRPr="009E6200">
        <w:rPr>
          <w:lang w:eastAsia="ru-RU"/>
        </w:rPr>
        <w:t xml:space="preserve"> версии 1.1] и/или развития неприемлемой токсичности и/или решения исследователя о необходимости выведения пациента из исследования в интересах пациента и/или отзыва</w:t>
      </w:r>
      <w:r w:rsidRPr="009E6200">
        <w:rPr>
          <w:lang w:eastAsia="ru-RU"/>
        </w:rPr>
        <w:t xml:space="preserve"> информированного согласия или смерти пациента, в зависимости от того, что произойдет раньше.</w:t>
      </w:r>
    </w:p>
    <w:p w14:paraId="0E5B4FEF" w14:textId="2C1AA6A7" w:rsidR="007C5E0C" w:rsidRDefault="007C5E0C" w:rsidP="007B46F5">
      <w:pPr>
        <w:pStyle w:val="SDText"/>
        <w:ind w:firstLine="432"/>
        <w:jc w:val="both"/>
        <w:rPr>
          <w:lang w:eastAsia="ru-RU"/>
        </w:rPr>
      </w:pPr>
      <w:r w:rsidRPr="009E6200">
        <w:rPr>
          <w:lang w:eastAsia="ru-RU"/>
        </w:rPr>
        <w:t>В обеих группах лечение исследуемым препаратом или препаратом сравнения будет начато параллельно с химиотерапией, включающей:</w:t>
      </w:r>
    </w:p>
    <w:p w14:paraId="0FF3E87F" w14:textId="77777777" w:rsidR="00D34ED2" w:rsidRPr="009E6200" w:rsidRDefault="00D34ED2" w:rsidP="007B46F5">
      <w:pPr>
        <w:pStyle w:val="SDText"/>
        <w:numPr>
          <w:ilvl w:val="0"/>
          <w:numId w:val="17"/>
        </w:numPr>
        <w:ind w:left="567" w:hanging="289"/>
        <w:jc w:val="both"/>
        <w:rPr>
          <w:lang w:eastAsia="ru-RU"/>
        </w:rPr>
      </w:pPr>
      <w:r w:rsidRPr="009E6200">
        <w:rPr>
          <w:lang w:eastAsia="ru-RU"/>
        </w:rPr>
        <w:t>Паклитаксел в дозе 175 мг/м</w:t>
      </w:r>
      <w:r w:rsidRPr="009E6200">
        <w:rPr>
          <w:vertAlign w:val="superscript"/>
          <w:lang w:eastAsia="ru-RU"/>
        </w:rPr>
        <w:t>2</w:t>
      </w:r>
      <w:r w:rsidRPr="009E6200">
        <w:rPr>
          <w:lang w:eastAsia="ru-RU"/>
        </w:rPr>
        <w:t xml:space="preserve"> в виде внутривенной инфузии продолжительностью 3 ч в день 1 каждого 21-дневного цикла (от 4 до 6 циклов). Допускается снижение дозы с учетом выраженности токсических проявлений в соответствии с инструкцией по медицинскому применению;</w:t>
      </w:r>
    </w:p>
    <w:p w14:paraId="251094D0" w14:textId="77777777" w:rsidR="00D34ED2" w:rsidRPr="009E6200" w:rsidRDefault="00D34ED2" w:rsidP="007B46F5">
      <w:pPr>
        <w:pStyle w:val="SDText"/>
        <w:numPr>
          <w:ilvl w:val="0"/>
          <w:numId w:val="17"/>
        </w:numPr>
        <w:ind w:left="567" w:hanging="289"/>
        <w:jc w:val="both"/>
        <w:rPr>
          <w:lang w:eastAsia="ru-RU"/>
        </w:rPr>
      </w:pPr>
      <w:r w:rsidRPr="009E6200">
        <w:rPr>
          <w:lang w:eastAsia="ru-RU"/>
        </w:rPr>
        <w:t>Карбоплатин AUC 6 мг/мл/мин в/в инфузия продолжительностью 15–30 мин сразу после завершения инфузии паклитаксела (от 4 до 6 циклов). Допускается снижение дозы с учетом выраженности токсических проявлений в соответствии с инструкцией по медицинскому применению.</w:t>
      </w:r>
    </w:p>
    <w:p w14:paraId="705CF620" w14:textId="77777777" w:rsidR="00BB6320" w:rsidRDefault="00BB6320" w:rsidP="007B46F5">
      <w:pPr>
        <w:pStyle w:val="SDText"/>
        <w:jc w:val="both"/>
        <w:rPr>
          <w:lang w:eastAsia="ru-RU"/>
        </w:rPr>
      </w:pPr>
    </w:p>
    <w:p w14:paraId="5C249033" w14:textId="6F74D6AF" w:rsidR="001E651F" w:rsidRPr="009E6200" w:rsidRDefault="004D6E76" w:rsidP="007B46F5">
      <w:pPr>
        <w:pStyle w:val="SDText"/>
        <w:ind w:firstLine="567"/>
        <w:jc w:val="both"/>
        <w:rPr>
          <w:lang w:eastAsia="ru-RU"/>
        </w:rPr>
      </w:pPr>
      <w:r w:rsidRPr="009E6200">
        <w:rPr>
          <w:lang w:eastAsia="ru-RU"/>
        </w:rPr>
        <w:t>Использу</w:t>
      </w:r>
      <w:r w:rsidR="00AF1C09" w:rsidRPr="009E6200">
        <w:rPr>
          <w:lang w:eastAsia="ru-RU"/>
        </w:rPr>
        <w:t>ю</w:t>
      </w:r>
      <w:r w:rsidRPr="009E6200">
        <w:rPr>
          <w:lang w:eastAsia="ru-RU"/>
        </w:rPr>
        <w:t>тся режимы дозирования исследуемого препарата и препарата сравнения Авастин</w:t>
      </w:r>
      <w:r w:rsidR="00121FA5" w:rsidRPr="009E6200">
        <w:rPr>
          <w:vertAlign w:val="superscript"/>
          <w:lang w:eastAsia="ru-RU"/>
        </w:rPr>
        <w:t>®</w:t>
      </w:r>
      <w:r w:rsidRPr="009E6200">
        <w:rPr>
          <w:lang w:eastAsia="ru-RU"/>
        </w:rPr>
        <w:t>, указанны</w:t>
      </w:r>
      <w:r w:rsidR="001E651F" w:rsidRPr="009E6200">
        <w:rPr>
          <w:lang w:eastAsia="ru-RU"/>
        </w:rPr>
        <w:t>е</w:t>
      </w:r>
      <w:r w:rsidRPr="009E6200">
        <w:rPr>
          <w:lang w:eastAsia="ru-RU"/>
        </w:rPr>
        <w:t xml:space="preserve"> в</w:t>
      </w:r>
      <w:r w:rsidR="004A39DB" w:rsidRPr="009E6200">
        <w:rPr>
          <w:lang w:eastAsia="ru-RU"/>
        </w:rPr>
        <w:t xml:space="preserve"> актуальной</w:t>
      </w:r>
      <w:r w:rsidRPr="009E6200">
        <w:rPr>
          <w:lang w:eastAsia="ru-RU"/>
        </w:rPr>
        <w:t xml:space="preserve"> инструкции по </w:t>
      </w:r>
      <w:r w:rsidR="004A39DB" w:rsidRPr="009E6200">
        <w:rPr>
          <w:lang w:eastAsia="ru-RU"/>
        </w:rPr>
        <w:t xml:space="preserve">медицинскому </w:t>
      </w:r>
      <w:r w:rsidRPr="009E6200">
        <w:rPr>
          <w:lang w:eastAsia="ru-RU"/>
        </w:rPr>
        <w:t>применению препарата Авастин</w:t>
      </w:r>
      <w:r w:rsidR="00121FA5" w:rsidRPr="009E6200">
        <w:rPr>
          <w:vertAlign w:val="superscript"/>
          <w:lang w:eastAsia="ru-RU"/>
        </w:rPr>
        <w:t>®</w:t>
      </w:r>
      <w:r w:rsidRPr="009E6200">
        <w:rPr>
          <w:lang w:eastAsia="ru-RU"/>
        </w:rPr>
        <w:t xml:space="preserve"> при лечении больных </w:t>
      </w:r>
      <w:r w:rsidR="004A39DB" w:rsidRPr="009E6200">
        <w:rPr>
          <w:lang w:eastAsia="ru-RU"/>
        </w:rPr>
        <w:t xml:space="preserve">распространенным, неоперабельным, метастатическим или рецидивирующим </w:t>
      </w:r>
      <w:r w:rsidRPr="009E6200">
        <w:rPr>
          <w:lang w:eastAsia="ru-RU"/>
        </w:rPr>
        <w:t>не</w:t>
      </w:r>
      <w:r w:rsidR="004A39DB" w:rsidRPr="009E6200">
        <w:rPr>
          <w:lang w:eastAsia="ru-RU"/>
        </w:rPr>
        <w:t>плоскоклеточным НМРЛ в схемах на основе карбоплатина.</w:t>
      </w:r>
      <w:r w:rsidR="001E651F" w:rsidRPr="009E6200">
        <w:rPr>
          <w:lang w:eastAsia="ru-RU"/>
        </w:rPr>
        <w:t xml:space="preserve"> Дозы карбоплатина и паклитаксела соответствуют клиническим рекомендациям Министерства здравоохранения РФ по лечению рака легкого (ID: КР30, 2018 г) и режиму, указанному в клинических рекомендаци</w:t>
      </w:r>
      <w:r w:rsidR="00647FF0" w:rsidRPr="009E6200">
        <w:rPr>
          <w:lang w:eastAsia="ru-RU"/>
        </w:rPr>
        <w:t>ях</w:t>
      </w:r>
      <w:r w:rsidR="001E651F" w:rsidRPr="009E6200">
        <w:rPr>
          <w:lang w:eastAsia="ru-RU"/>
        </w:rPr>
        <w:t xml:space="preserve"> </w:t>
      </w:r>
      <w:r w:rsidR="00647FF0" w:rsidRPr="009E6200">
        <w:rPr>
          <w:lang w:eastAsia="ru-RU"/>
        </w:rPr>
        <w:t xml:space="preserve">Ассоциации онкологов России </w:t>
      </w:r>
      <w:r w:rsidR="001E651F" w:rsidRPr="009E6200">
        <w:rPr>
          <w:lang w:eastAsia="ru-RU"/>
        </w:rPr>
        <w:t xml:space="preserve">по диагностике и лечению больных раком легкого </w:t>
      </w:r>
      <w:r w:rsidR="00CF56F0" w:rsidRPr="009E6200">
        <w:rPr>
          <w:lang w:eastAsia="ru-RU"/>
        </w:rPr>
        <w:t>(2014 г).</w:t>
      </w:r>
    </w:p>
    <w:p w14:paraId="01BCDC88" w14:textId="7E9F0780" w:rsidR="00C42341" w:rsidRDefault="007C5E0C" w:rsidP="007B46F5">
      <w:pPr>
        <w:pStyle w:val="SDText"/>
        <w:ind w:firstLine="567"/>
        <w:jc w:val="both"/>
        <w:rPr>
          <w:lang w:eastAsia="ru-RU"/>
        </w:rPr>
      </w:pPr>
      <w:r w:rsidRPr="009E6200">
        <w:rPr>
          <w:lang w:eastAsia="ru-RU"/>
        </w:rPr>
        <w:t xml:space="preserve">В период химиотерапии </w:t>
      </w:r>
      <w:r w:rsidR="004D6E76" w:rsidRPr="009E6200">
        <w:rPr>
          <w:lang w:eastAsia="ru-RU"/>
        </w:rPr>
        <w:t xml:space="preserve">(паклитаксел + карбоплатин) </w:t>
      </w:r>
      <w:r w:rsidRPr="009E6200">
        <w:rPr>
          <w:lang w:eastAsia="ru-RU"/>
        </w:rPr>
        <w:t xml:space="preserve">исследуемый препарат или препарат сравнения будут вводиться в дни введения препаратов химиотерапии. Лечение исследуемым препаратом/препаратом сравнения будет продолжено до прогрессирования заболевания (в соответствии с критериями </w:t>
      </w:r>
      <w:r w:rsidRPr="009E6200">
        <w:rPr>
          <w:lang w:val="en-US" w:eastAsia="ru-RU"/>
        </w:rPr>
        <w:t>RECIST</w:t>
      </w:r>
      <w:r w:rsidRPr="009E6200">
        <w:rPr>
          <w:lang w:eastAsia="ru-RU"/>
        </w:rPr>
        <w:t xml:space="preserve"> версии 1.1)</w:t>
      </w:r>
      <w:r w:rsidR="005B63FA" w:rsidRPr="009E6200">
        <w:rPr>
          <w:lang w:eastAsia="ru-RU"/>
        </w:rPr>
        <w:t xml:space="preserve"> и/или</w:t>
      </w:r>
      <w:r w:rsidRPr="009E6200">
        <w:rPr>
          <w:lang w:eastAsia="ru-RU"/>
        </w:rPr>
        <w:t xml:space="preserve"> развития неприемлемой </w:t>
      </w:r>
      <w:r w:rsidR="004D6E76" w:rsidRPr="009E6200">
        <w:rPr>
          <w:lang w:eastAsia="ru-RU"/>
        </w:rPr>
        <w:t xml:space="preserve">(непереносимой) </w:t>
      </w:r>
      <w:r w:rsidRPr="009E6200">
        <w:rPr>
          <w:lang w:eastAsia="ru-RU"/>
        </w:rPr>
        <w:t>токсичности</w:t>
      </w:r>
      <w:r w:rsidR="005B63FA" w:rsidRPr="009E6200">
        <w:rPr>
          <w:lang w:eastAsia="ru-RU"/>
        </w:rPr>
        <w:t xml:space="preserve"> и/или</w:t>
      </w:r>
      <w:r w:rsidRPr="009E6200">
        <w:rPr>
          <w:lang w:eastAsia="ru-RU"/>
        </w:rPr>
        <w:t xml:space="preserve"> решения исследователя о необходимости выведения пациента из исследования в интересах пациента</w:t>
      </w:r>
      <w:r w:rsidR="005B63FA" w:rsidRPr="009E6200">
        <w:rPr>
          <w:lang w:eastAsia="ru-RU"/>
        </w:rPr>
        <w:t xml:space="preserve"> и/или </w:t>
      </w:r>
      <w:r w:rsidRPr="009E6200">
        <w:rPr>
          <w:lang w:eastAsia="ru-RU"/>
        </w:rPr>
        <w:t>отзыва информированного согласия или смерти пациента, в зависимости от того, что произойдет раньше.</w:t>
      </w:r>
    </w:p>
    <w:p w14:paraId="35EFA6D2" w14:textId="7BF2E2E8" w:rsidR="00D34ED2" w:rsidRPr="009E6200" w:rsidRDefault="00D34ED2" w:rsidP="007B46F5">
      <w:pPr>
        <w:pStyle w:val="SDText"/>
        <w:ind w:firstLine="567"/>
        <w:jc w:val="both"/>
        <w:rPr>
          <w:lang w:eastAsia="ru-RU"/>
        </w:rPr>
      </w:pPr>
      <w:r>
        <w:rPr>
          <w:rFonts w:cs="Times New Roman"/>
          <w:szCs w:val="24"/>
        </w:rPr>
        <w:t>Доза препарата RPH-001 или Авастин</w:t>
      </w:r>
      <w:r w:rsidRPr="004C5C7C">
        <w:rPr>
          <w:rFonts w:cs="Times New Roman"/>
          <w:szCs w:val="24"/>
        </w:rPr>
        <w:t xml:space="preserve"> для пациента </w:t>
      </w:r>
      <w:r>
        <w:rPr>
          <w:rFonts w:cs="Times New Roman"/>
          <w:szCs w:val="24"/>
        </w:rPr>
        <w:t>назначается из расчета 15 мг/кг (при изменении веса пациента на 10% доза препарта RPH-001 или Авастин</w:t>
      </w:r>
      <w:r w:rsidRPr="004C5C7C">
        <w:rPr>
          <w:rFonts w:cs="Times New Roman"/>
          <w:szCs w:val="24"/>
        </w:rPr>
        <w:t xml:space="preserve"> должна быть рассчитана </w:t>
      </w:r>
      <w:r>
        <w:rPr>
          <w:rFonts w:cs="Times New Roman"/>
          <w:szCs w:val="24"/>
        </w:rPr>
        <w:t>заново, при изменении веса пациента менее чем на 10% отсутствие перерасчета дозы препарата не будет считаться отклонением от протокола).</w:t>
      </w:r>
    </w:p>
    <w:p w14:paraId="45650561" w14:textId="3E94D33F" w:rsidR="006868D1" w:rsidRPr="009E6200" w:rsidRDefault="006868D1" w:rsidP="007B46F5">
      <w:pPr>
        <w:pStyle w:val="SDText"/>
        <w:jc w:val="both"/>
        <w:rPr>
          <w:lang w:eastAsia="ru-RU"/>
        </w:rPr>
      </w:pPr>
      <w:r w:rsidRPr="009E6200">
        <w:rPr>
          <w:lang w:eastAsia="ru-RU"/>
        </w:rPr>
        <w:t>Корректировка дозы исследуемого препарата и препарата сравнения не предполагается.</w:t>
      </w:r>
      <w:r w:rsidR="008234C5" w:rsidRPr="009E6200">
        <w:rPr>
          <w:lang w:eastAsia="ru-RU"/>
        </w:rPr>
        <w:t xml:space="preserve"> При развитии </w:t>
      </w:r>
      <w:r w:rsidR="00AB210B" w:rsidRPr="009E6200">
        <w:rPr>
          <w:lang w:eastAsia="ru-RU"/>
        </w:rPr>
        <w:t>неприемлемой токсичности</w:t>
      </w:r>
      <w:r w:rsidR="008234C5" w:rsidRPr="009E6200">
        <w:rPr>
          <w:lang w:eastAsia="ru-RU"/>
        </w:rPr>
        <w:t xml:space="preserve"> препарат отменяется, пациент </w:t>
      </w:r>
      <w:r w:rsidR="00EF06A8" w:rsidRPr="009E6200">
        <w:rPr>
          <w:lang w:eastAsia="ru-RU"/>
        </w:rPr>
        <w:t>прекращает терапию в рамках</w:t>
      </w:r>
      <w:r w:rsidR="008234C5" w:rsidRPr="009E6200">
        <w:rPr>
          <w:lang w:eastAsia="ru-RU"/>
        </w:rPr>
        <w:t xml:space="preserve"> исследования </w:t>
      </w:r>
      <w:r w:rsidR="00735CB4" w:rsidRPr="009E6200">
        <w:rPr>
          <w:lang w:eastAsia="ru-RU"/>
        </w:rPr>
        <w:t xml:space="preserve">(Раздел </w:t>
      </w:r>
      <w:r w:rsidR="00735CB4" w:rsidRPr="009E6200">
        <w:rPr>
          <w:lang w:eastAsia="ru-RU"/>
        </w:rPr>
        <w:fldChar w:fldCharType="begin"/>
      </w:r>
      <w:r w:rsidR="00735CB4" w:rsidRPr="009E6200">
        <w:rPr>
          <w:lang w:eastAsia="ru-RU"/>
        </w:rPr>
        <w:instrText xml:space="preserve"> REF _Ref12619602 \n \h </w:instrText>
      </w:r>
      <w:r w:rsidR="009E6200">
        <w:rPr>
          <w:lang w:eastAsia="ru-RU"/>
        </w:rPr>
        <w:instrText xml:space="preserve"> \* MERGEFORMAT </w:instrText>
      </w:r>
      <w:r w:rsidR="00735CB4" w:rsidRPr="009E6200">
        <w:rPr>
          <w:lang w:eastAsia="ru-RU"/>
        </w:rPr>
      </w:r>
      <w:r w:rsidR="00735CB4" w:rsidRPr="009E6200">
        <w:rPr>
          <w:lang w:eastAsia="ru-RU"/>
        </w:rPr>
        <w:fldChar w:fldCharType="separate"/>
      </w:r>
      <w:r w:rsidR="005A436A">
        <w:rPr>
          <w:lang w:eastAsia="ru-RU"/>
        </w:rPr>
        <w:t>6.1</w:t>
      </w:r>
      <w:r w:rsidR="00735CB4" w:rsidRPr="009E6200">
        <w:rPr>
          <w:lang w:eastAsia="ru-RU"/>
        </w:rPr>
        <w:fldChar w:fldCharType="end"/>
      </w:r>
      <w:r w:rsidR="00735CB4" w:rsidRPr="009E6200">
        <w:rPr>
          <w:lang w:eastAsia="ru-RU"/>
        </w:rPr>
        <w:t>)</w:t>
      </w:r>
      <w:r w:rsidR="008234C5" w:rsidRPr="009E6200">
        <w:rPr>
          <w:lang w:eastAsia="ru-RU"/>
        </w:rPr>
        <w:t>.</w:t>
      </w:r>
    </w:p>
    <w:p w14:paraId="4F8C2804" w14:textId="00B75334" w:rsidR="006868D1" w:rsidRDefault="006868D1" w:rsidP="007B46F5">
      <w:pPr>
        <w:pStyle w:val="SDText"/>
        <w:ind w:firstLine="709"/>
        <w:jc w:val="both"/>
        <w:rPr>
          <w:lang w:eastAsia="ru-RU"/>
        </w:rPr>
      </w:pPr>
      <w:r w:rsidRPr="009E6200">
        <w:rPr>
          <w:lang w:eastAsia="ru-RU"/>
        </w:rPr>
        <w:t xml:space="preserve">Возможна коррекция дозы паклитаксела и карбоплатина при возникновении токсичности 3-4 степени по </w:t>
      </w:r>
      <w:r w:rsidR="008234C5" w:rsidRPr="009E6200">
        <w:rPr>
          <w:lang w:eastAsia="ru-RU"/>
        </w:rPr>
        <w:t>CTCAE (</w:t>
      </w:r>
      <w:r w:rsidR="005D3C9B" w:rsidRPr="009E6200">
        <w:rPr>
          <w:lang w:eastAsia="ru-RU"/>
        </w:rPr>
        <w:t>версия 5.0</w:t>
      </w:r>
      <w:r w:rsidR="008234C5" w:rsidRPr="009E6200">
        <w:rPr>
          <w:lang w:eastAsia="ru-RU"/>
        </w:rPr>
        <w:t>) в соответствии с указаниями, приведенными в Раздел</w:t>
      </w:r>
      <w:r w:rsidR="00AB210B" w:rsidRPr="009E6200">
        <w:rPr>
          <w:lang w:eastAsia="ru-RU"/>
        </w:rPr>
        <w:t xml:space="preserve">ах </w:t>
      </w:r>
      <w:r w:rsidR="00AB210B" w:rsidRPr="009E6200">
        <w:rPr>
          <w:lang w:eastAsia="ru-RU"/>
        </w:rPr>
        <w:fldChar w:fldCharType="begin"/>
      </w:r>
      <w:r w:rsidR="00AB210B" w:rsidRPr="009E6200">
        <w:rPr>
          <w:lang w:eastAsia="ru-RU"/>
        </w:rPr>
        <w:instrText xml:space="preserve"> REF _Ref12617243 \n \h </w:instrText>
      </w:r>
      <w:r w:rsidR="009E6200">
        <w:rPr>
          <w:lang w:eastAsia="ru-RU"/>
        </w:rPr>
        <w:instrText xml:space="preserve"> \* MERGEFORMAT </w:instrText>
      </w:r>
      <w:r w:rsidR="00AB210B" w:rsidRPr="009E6200">
        <w:rPr>
          <w:lang w:eastAsia="ru-RU"/>
        </w:rPr>
      </w:r>
      <w:r w:rsidR="00AB210B" w:rsidRPr="009E6200">
        <w:rPr>
          <w:lang w:eastAsia="ru-RU"/>
        </w:rPr>
        <w:fldChar w:fldCharType="separate"/>
      </w:r>
      <w:r w:rsidR="005A436A">
        <w:rPr>
          <w:lang w:eastAsia="ru-RU"/>
        </w:rPr>
        <w:t>6.2.4.1</w:t>
      </w:r>
      <w:r w:rsidR="00AB210B" w:rsidRPr="009E6200">
        <w:rPr>
          <w:lang w:eastAsia="ru-RU"/>
        </w:rPr>
        <w:fldChar w:fldCharType="end"/>
      </w:r>
      <w:r w:rsidR="00AB210B" w:rsidRPr="009E6200">
        <w:rPr>
          <w:lang w:eastAsia="ru-RU"/>
        </w:rPr>
        <w:t xml:space="preserve"> и </w:t>
      </w:r>
      <w:r w:rsidR="00AB210B" w:rsidRPr="009E6200">
        <w:rPr>
          <w:lang w:eastAsia="ru-RU"/>
        </w:rPr>
        <w:fldChar w:fldCharType="begin"/>
      </w:r>
      <w:r w:rsidR="00AB210B" w:rsidRPr="009E6200">
        <w:rPr>
          <w:lang w:eastAsia="ru-RU"/>
        </w:rPr>
        <w:instrText xml:space="preserve"> REF _Ref12617244 \n \h </w:instrText>
      </w:r>
      <w:r w:rsidR="009E6200">
        <w:rPr>
          <w:lang w:eastAsia="ru-RU"/>
        </w:rPr>
        <w:instrText xml:space="preserve"> \* MERGEFORMAT </w:instrText>
      </w:r>
      <w:r w:rsidR="00AB210B" w:rsidRPr="009E6200">
        <w:rPr>
          <w:lang w:eastAsia="ru-RU"/>
        </w:rPr>
      </w:r>
      <w:r w:rsidR="00AB210B" w:rsidRPr="009E6200">
        <w:rPr>
          <w:lang w:eastAsia="ru-RU"/>
        </w:rPr>
        <w:fldChar w:fldCharType="separate"/>
      </w:r>
      <w:r w:rsidR="005A436A">
        <w:rPr>
          <w:lang w:eastAsia="ru-RU"/>
        </w:rPr>
        <w:t>6.2.4.2</w:t>
      </w:r>
      <w:r w:rsidR="00AB210B" w:rsidRPr="009E6200">
        <w:rPr>
          <w:lang w:eastAsia="ru-RU"/>
        </w:rPr>
        <w:fldChar w:fldCharType="end"/>
      </w:r>
      <w:r w:rsidR="00AB210B" w:rsidRPr="009E6200">
        <w:rPr>
          <w:lang w:eastAsia="ru-RU"/>
        </w:rPr>
        <w:t>). Повышение дозы после предшествующего снижения не допускается. В рамках данного исследования допускается не более 2 эпизодов снижения дозы</w:t>
      </w:r>
      <w:r w:rsidR="00AA63D8" w:rsidRPr="009E6200">
        <w:rPr>
          <w:lang w:eastAsia="ru-RU"/>
        </w:rPr>
        <w:t xml:space="preserve"> препаратов химиотерапии (паклитаксела, карбоплатина - обоих препаратов одновременно или любого из них по отдельности)</w:t>
      </w:r>
      <w:r w:rsidR="00AB210B" w:rsidRPr="009E6200">
        <w:rPr>
          <w:lang w:eastAsia="ru-RU"/>
        </w:rPr>
        <w:t>, при необходимости дальнейшего снижения дозы пациент выбывает из исследования.</w:t>
      </w:r>
    </w:p>
    <w:p w14:paraId="13FF9329" w14:textId="77777777" w:rsidR="00BB6320" w:rsidRDefault="00BB6320" w:rsidP="007B46F5">
      <w:pPr>
        <w:pStyle w:val="SDText"/>
        <w:ind w:firstLine="709"/>
        <w:jc w:val="both"/>
        <w:rPr>
          <w:lang w:eastAsia="ru-RU"/>
        </w:rPr>
      </w:pPr>
    </w:p>
    <w:p w14:paraId="5EC98D59" w14:textId="710BAA59" w:rsidR="00121EB9" w:rsidRDefault="00121EB9" w:rsidP="007B46F5">
      <w:pPr>
        <w:pStyle w:val="Heading2"/>
      </w:pPr>
      <w:bookmarkStart w:id="103" w:name="_Toc85296831"/>
      <w:bookmarkStart w:id="104" w:name="_Toc120865233"/>
      <w:r>
        <w:t xml:space="preserve">Обоснование терапии пациентов с </w:t>
      </w:r>
      <w:r w:rsidRPr="001D206A">
        <w:t>COVID-19</w:t>
      </w:r>
      <w:bookmarkEnd w:id="103"/>
      <w:bookmarkEnd w:id="104"/>
    </w:p>
    <w:p w14:paraId="6792FC36" w14:textId="77777777" w:rsidR="00BB6320" w:rsidRPr="00BB6320" w:rsidRDefault="00BB6320" w:rsidP="007B46F5">
      <w:pPr>
        <w:pStyle w:val="SDText"/>
        <w:rPr>
          <w:lang w:eastAsia="ru-RU"/>
        </w:rPr>
      </w:pPr>
    </w:p>
    <w:p w14:paraId="75408677" w14:textId="77777777" w:rsidR="00121EB9" w:rsidRDefault="00121EB9" w:rsidP="007B46F5">
      <w:pPr>
        <w:pStyle w:val="SDText"/>
        <w:ind w:firstLine="709"/>
        <w:jc w:val="both"/>
        <w:rPr>
          <w:lang w:eastAsia="ja-JP"/>
        </w:rPr>
      </w:pPr>
      <w:r>
        <w:rPr>
          <w:lang w:eastAsia="ru-RU"/>
        </w:rPr>
        <w:t xml:space="preserve">В связи с пандемией </w:t>
      </w:r>
      <w:r>
        <w:rPr>
          <w:lang w:val="en-US" w:eastAsia="ru-RU"/>
        </w:rPr>
        <w:t>COVID</w:t>
      </w:r>
      <w:r>
        <w:rPr>
          <w:lang w:eastAsia="ru-RU"/>
        </w:rPr>
        <w:t xml:space="preserve">-19 возникают риски заражения пациентов вирусом </w:t>
      </w:r>
      <w:r>
        <w:rPr>
          <w:lang w:val="en-US" w:eastAsia="ru-RU"/>
        </w:rPr>
        <w:t>SARS</w:t>
      </w:r>
      <w:r w:rsidRPr="00A4061D">
        <w:rPr>
          <w:lang w:eastAsia="ru-RU"/>
        </w:rPr>
        <w:t>-</w:t>
      </w:r>
      <w:r>
        <w:rPr>
          <w:lang w:val="en-US" w:eastAsia="ru-RU"/>
        </w:rPr>
        <w:t>Cov</w:t>
      </w:r>
      <w:r w:rsidRPr="00A4061D">
        <w:rPr>
          <w:lang w:eastAsia="ru-RU"/>
        </w:rPr>
        <w:t>-2</w:t>
      </w:r>
      <w:r>
        <w:rPr>
          <w:lang w:eastAsia="ja-JP"/>
        </w:rPr>
        <w:t xml:space="preserve">. Поскольку многие процедуры исследования производятся амбулаторно, обеспечить строгий карантин пациентам не представляется возможности. В связи с этим будут введены специальные меры по ведению пациентов с подтвержденным </w:t>
      </w:r>
      <w:r>
        <w:rPr>
          <w:lang w:val="en-US" w:eastAsia="ja-JP"/>
        </w:rPr>
        <w:t>COVID</w:t>
      </w:r>
      <w:r w:rsidRPr="001D206A">
        <w:rPr>
          <w:lang w:eastAsia="ja-JP"/>
        </w:rPr>
        <w:t>-19</w:t>
      </w:r>
      <w:r>
        <w:rPr>
          <w:lang w:eastAsia="ja-JP"/>
        </w:rPr>
        <w:t>.</w:t>
      </w:r>
    </w:p>
    <w:p w14:paraId="47737C17" w14:textId="6D0C47FC" w:rsidR="00121EB9" w:rsidRDefault="00121EB9" w:rsidP="007B46F5">
      <w:pPr>
        <w:pStyle w:val="SDText"/>
        <w:ind w:firstLine="709"/>
        <w:jc w:val="both"/>
        <w:rPr>
          <w:rFonts w:cs="Times New Roman"/>
        </w:rPr>
      </w:pPr>
      <w:r>
        <w:rPr>
          <w:rFonts w:cs="Times New Roman"/>
          <w:lang w:eastAsia="ja-JP"/>
        </w:rPr>
        <w:t xml:space="preserve">Новая коронавирусная инфекция ассоцирована с повышенным риском тромботических явлений, вызванных коагулопатией. Синдром диссеминированного внутрисосудистого свертывания (ДВС-синдром) встречается лишь у 0,6 % выживших и у 71,4 % умерших от </w:t>
      </w:r>
      <w:r>
        <w:rPr>
          <w:rFonts w:cs="Times New Roman"/>
          <w:lang w:val="en-US" w:eastAsia="ja-JP"/>
        </w:rPr>
        <w:t>COVID</w:t>
      </w:r>
      <w:r w:rsidRPr="00A962B5">
        <w:rPr>
          <w:rFonts w:cs="Times New Roman"/>
          <w:lang w:eastAsia="ja-JP"/>
        </w:rPr>
        <w:t>-19 больных.</w:t>
      </w:r>
      <w:r>
        <w:rPr>
          <w:rFonts w:cs="Times New Roman"/>
          <w:lang w:eastAsia="ja-JP"/>
        </w:rPr>
        <w:t xml:space="preserve"> В соответствии с Временными методическими рекомендациями Минздрава России «П</w:t>
      </w:r>
      <w:r w:rsidRPr="00A962B5">
        <w:rPr>
          <w:rFonts w:cs="Times New Roman"/>
          <w:lang w:eastAsia="ja-JP"/>
        </w:rPr>
        <w:t>рофилактика, диагностика</w:t>
      </w:r>
      <w:r>
        <w:rPr>
          <w:rFonts w:cs="Times New Roman"/>
          <w:lang w:eastAsia="ja-JP"/>
        </w:rPr>
        <w:t xml:space="preserve"> </w:t>
      </w:r>
      <w:r w:rsidRPr="00A962B5">
        <w:rPr>
          <w:rFonts w:cs="Times New Roman"/>
          <w:lang w:eastAsia="ja-JP"/>
        </w:rPr>
        <w:t>и лечение новой коронавирусной инфекции (COVID-19)</w:t>
      </w:r>
      <w:r>
        <w:rPr>
          <w:rFonts w:cs="Times New Roman"/>
          <w:lang w:eastAsia="ja-JP"/>
        </w:rPr>
        <w:t xml:space="preserve">» (Версия 11 от 07.05.2021) для предупреждения развития ДВС-синдрома рекомендуется назначать антикоагулянты больным с </w:t>
      </w:r>
      <w:r>
        <w:rPr>
          <w:rFonts w:cs="Times New Roman"/>
          <w:lang w:val="en-US" w:eastAsia="ja-JP"/>
        </w:rPr>
        <w:t>COVID</w:t>
      </w:r>
      <w:r w:rsidRPr="001D206A">
        <w:rPr>
          <w:rFonts w:cs="Times New Roman"/>
          <w:lang w:eastAsia="ja-JP"/>
        </w:rPr>
        <w:t xml:space="preserve">-19 </w:t>
      </w:r>
      <w:r>
        <w:rPr>
          <w:rFonts w:cs="Times New Roman"/>
          <w:lang w:eastAsia="ja-JP"/>
        </w:rPr>
        <w:t xml:space="preserve">среднетяжелого течения </w:t>
      </w:r>
      <w:r w:rsidRPr="001D206A">
        <w:rPr>
          <w:rFonts w:cs="Times New Roman"/>
          <w:lang w:eastAsia="ja-JP"/>
        </w:rPr>
        <w:t>[17]</w:t>
      </w:r>
      <w:r>
        <w:rPr>
          <w:rFonts w:cs="Times New Roman"/>
          <w:lang w:eastAsia="ja-JP"/>
        </w:rPr>
        <w:t xml:space="preserve">. Однако сопутствующая терапия антикоагулянтами была запрещена версией 2 протокола </w:t>
      </w:r>
      <w:r w:rsidRPr="009E6200">
        <w:rPr>
          <w:rFonts w:cs="Times New Roman"/>
        </w:rPr>
        <w:fldChar w:fldCharType="begin"/>
      </w:r>
      <w:r w:rsidRPr="009E6200">
        <w:rPr>
          <w:rFonts w:cs="Times New Roman"/>
        </w:rPr>
        <w:instrText xml:space="preserve"> STYLEREF  ProtID  \* MERGEFORMAT </w:instrText>
      </w:r>
      <w:r w:rsidRPr="009E6200">
        <w:rPr>
          <w:rFonts w:cs="Times New Roman"/>
        </w:rPr>
        <w:fldChar w:fldCharType="separate"/>
      </w:r>
      <w:r w:rsidR="005A436A">
        <w:rPr>
          <w:rFonts w:cs="Times New Roman"/>
          <w:noProof/>
        </w:rPr>
        <w:t>CL01011070</w:t>
      </w:r>
      <w:r w:rsidRPr="009E6200">
        <w:rPr>
          <w:rFonts w:cs="Times New Roman"/>
        </w:rPr>
        <w:fldChar w:fldCharType="end"/>
      </w:r>
      <w:r>
        <w:rPr>
          <w:rFonts w:cs="Times New Roman"/>
        </w:rPr>
        <w:t>, поскольку бевацизумаб способен повышать риски кровотечений у пациентов.</w:t>
      </w:r>
    </w:p>
    <w:p w14:paraId="346C57BF" w14:textId="77777777" w:rsidR="00121EB9" w:rsidRPr="001D206A" w:rsidRDefault="00121EB9" w:rsidP="007B46F5">
      <w:pPr>
        <w:pStyle w:val="SDText"/>
        <w:ind w:firstLine="709"/>
        <w:jc w:val="both"/>
        <w:rPr>
          <w:rFonts w:cs="Times New Roman"/>
        </w:rPr>
      </w:pPr>
      <w:r>
        <w:rPr>
          <w:rFonts w:cs="Times New Roman"/>
        </w:rPr>
        <w:t xml:space="preserve">В версии 3 протокола допускается проведение терапии антикоагулянтами пациентов с </w:t>
      </w:r>
      <w:r>
        <w:rPr>
          <w:rFonts w:cs="Times New Roman"/>
          <w:lang w:val="en-US"/>
        </w:rPr>
        <w:t>COVID</w:t>
      </w:r>
      <w:r w:rsidRPr="001D206A">
        <w:rPr>
          <w:rFonts w:cs="Times New Roman"/>
        </w:rPr>
        <w:t>-19</w:t>
      </w:r>
      <w:r>
        <w:rPr>
          <w:rFonts w:cs="Times New Roman"/>
        </w:rPr>
        <w:t xml:space="preserve"> без отмены или приостановки терапии бевацизумабом. Увеличение интервала между введениями бевацизумаба за счет отмены препарата в период лечения коронавирусной инфекции может привести к ухудшению результатов анти-</w:t>
      </w:r>
      <w:r>
        <w:rPr>
          <w:rFonts w:cs="Times New Roman"/>
          <w:lang w:val="en-US"/>
        </w:rPr>
        <w:t>VEGF</w:t>
      </w:r>
      <w:r>
        <w:rPr>
          <w:rFonts w:cs="Times New Roman"/>
        </w:rPr>
        <w:t xml:space="preserve"> терапии.</w:t>
      </w:r>
    </w:p>
    <w:p w14:paraId="3B6F089D" w14:textId="77777777" w:rsidR="00121EB9" w:rsidRDefault="00121EB9" w:rsidP="007B46F5">
      <w:pPr>
        <w:pStyle w:val="SDText"/>
        <w:jc w:val="both"/>
        <w:rPr>
          <w:color w:val="000000"/>
          <w:shd w:val="clear" w:color="auto" w:fill="FFFFFF"/>
        </w:rPr>
      </w:pPr>
      <w:r>
        <w:rPr>
          <w:lang w:eastAsia="ru-RU"/>
        </w:rPr>
        <w:t xml:space="preserve">Ряд исследований подтверждает безопасность применения антикоагулянтов совместно с терапией бевацизумабом. Так, </w:t>
      </w:r>
      <w:r w:rsidRPr="00BF1BE4">
        <w:rPr>
          <w:lang w:eastAsia="ru-RU"/>
        </w:rPr>
        <w:t>N</w:t>
      </w:r>
      <w:r>
        <w:rPr>
          <w:lang w:eastAsia="ru-RU"/>
        </w:rPr>
        <w:t>.</w:t>
      </w:r>
      <w:r w:rsidRPr="00BF1BE4">
        <w:rPr>
          <w:lang w:eastAsia="ru-RU"/>
        </w:rPr>
        <w:t xml:space="preserve"> B</w:t>
      </w:r>
      <w:r>
        <w:rPr>
          <w:lang w:eastAsia="ru-RU"/>
        </w:rPr>
        <w:t>.</w:t>
      </w:r>
      <w:r w:rsidRPr="00BF1BE4">
        <w:rPr>
          <w:lang w:eastAsia="ru-RU"/>
        </w:rPr>
        <w:t xml:space="preserve"> Leighl</w:t>
      </w:r>
      <w:r w:rsidRPr="001D206A">
        <w:rPr>
          <w:lang w:eastAsia="ru-RU"/>
        </w:rPr>
        <w:t xml:space="preserve"> </w:t>
      </w:r>
      <w:r>
        <w:rPr>
          <w:lang w:eastAsia="ru-RU"/>
        </w:rPr>
        <w:t>и соавторы</w:t>
      </w:r>
      <w:r w:rsidRPr="001D206A">
        <w:rPr>
          <w:lang w:eastAsia="ru-RU"/>
        </w:rPr>
        <w:t xml:space="preserve"> </w:t>
      </w:r>
      <w:r w:rsidRPr="002507A1">
        <w:rPr>
          <w:lang w:eastAsia="ru-RU"/>
        </w:rPr>
        <w:t>[18]</w:t>
      </w:r>
      <w:r>
        <w:rPr>
          <w:lang w:eastAsia="ru-RU"/>
        </w:rPr>
        <w:t xml:space="preserve"> проанализировали результаты 3-х исследований с участием пациентов с метастатическим раком прямой кишки (исследования 1 и 2), и немелкоклеточным раком легких (исследование 3). </w:t>
      </w:r>
      <w:r>
        <w:rPr>
          <w:color w:val="000000"/>
          <w:shd w:val="clear" w:color="auto" w:fill="FFFFFF"/>
        </w:rPr>
        <w:t xml:space="preserve">Все 3 исследования представляли собой слепые исследования III фазы. Среди обязательных критериев включения был прием пациентами антикоагулянтов. Пациентам, проходящим протокол лечения основного (онкологического) заболевания, у которых развивались тромботические явления, требующие назначения терапии антикоагулянтами, было разрешено продолжать прием бевацизумаба или плацебо при определенных условиях. </w:t>
      </w:r>
      <w:r>
        <w:rPr>
          <w:lang w:eastAsia="ru-RU"/>
        </w:rPr>
        <w:t xml:space="preserve">В общей сложности 194 пациента принимали бевацизумаб параллельно с антикоагулянтами, 125 пациентов контрольных групп получали плацебо вместе с антикоагулянтами. </w:t>
      </w:r>
      <w:r>
        <w:rPr>
          <w:color w:val="000000"/>
          <w:shd w:val="clear" w:color="auto" w:fill="FFFFFF"/>
        </w:rPr>
        <w:t>Нежелательные явления у пациентов, получавших бевацизумаб и антикоагулянты одновременно, оценивались с использованием шкалы NCI-CTCAE.</w:t>
      </w:r>
    </w:p>
    <w:p w14:paraId="2DAA3ACA" w14:textId="77777777" w:rsidR="00121EB9" w:rsidRDefault="00121EB9" w:rsidP="007B46F5">
      <w:pPr>
        <w:pStyle w:val="SDText"/>
        <w:ind w:firstLine="709"/>
        <w:jc w:val="both"/>
        <w:rPr>
          <w:color w:val="000000"/>
          <w:shd w:val="clear" w:color="auto" w:fill="FFFFFF"/>
        </w:rPr>
      </w:pPr>
      <w:r>
        <w:rPr>
          <w:color w:val="000000"/>
          <w:shd w:val="clear" w:color="auto" w:fill="FFFFFF"/>
        </w:rPr>
        <w:t>В результате исследований было выявлено, что венозные тромботические события являются наиболее распространенной причиной начала применения антикоагулянтов во всех трех исследованиях. Частота тяжелых кровотечений у пациентов, получавших терапию антикоагулянтами в группах, получавших бевацизумаб, была сходна по частоте с группами плацебо, варьируясь от 0 до 8% или от 0 до 67 событий на 100 пациенто-лет. Ни в одной из популяций, получавших антикоагулянты, не сообщалось о тяжелом легочном кровотечении.</w:t>
      </w:r>
    </w:p>
    <w:p w14:paraId="769E235B" w14:textId="77777777" w:rsidR="00121EB9" w:rsidRPr="009868E0" w:rsidRDefault="00121EB9" w:rsidP="007B46F5">
      <w:pPr>
        <w:pStyle w:val="SDText"/>
        <w:ind w:firstLine="709"/>
        <w:jc w:val="both"/>
        <w:rPr>
          <w:color w:val="000000"/>
          <w:shd w:val="clear" w:color="auto" w:fill="FFFFFF"/>
        </w:rPr>
      </w:pPr>
      <w:r>
        <w:rPr>
          <w:color w:val="000000"/>
          <w:shd w:val="clear" w:color="auto" w:fill="FFFFFF"/>
        </w:rPr>
        <w:t xml:space="preserve">Безопасность параллельного применения бевацизумаба и антикоагулянтов также была подтверждена другими исследованиями. </w:t>
      </w:r>
      <w:r w:rsidRPr="0012345A">
        <w:t>J. Hambleton</w:t>
      </w:r>
      <w:r w:rsidRPr="001D206A">
        <w:t xml:space="preserve"> </w:t>
      </w:r>
      <w:r>
        <w:rPr>
          <w:color w:val="000000"/>
          <w:shd w:val="clear" w:color="auto" w:fill="FFFFFF"/>
        </w:rPr>
        <w:t xml:space="preserve">и соавт. </w:t>
      </w:r>
      <w:r w:rsidRPr="001D206A">
        <w:rPr>
          <w:color w:val="000000"/>
          <w:shd w:val="clear" w:color="auto" w:fill="FFFFFF"/>
        </w:rPr>
        <w:t xml:space="preserve">[19] </w:t>
      </w:r>
      <w:r>
        <w:rPr>
          <w:color w:val="000000"/>
          <w:shd w:val="clear" w:color="auto" w:fill="FFFFFF"/>
        </w:rPr>
        <w:t xml:space="preserve">провели исследование с участием пациентов с колоректальным раком, которые получали химиотерапию + плацебо (группа 1) или химиотерапию + бевацизумаб (группа 2). В анализ вошли пациенты, у которых наблюдались тромботические осложнения, требующие терапии антикоагулянтами. С этой целью у пациентов применялся варфарин. </w:t>
      </w:r>
      <w:r w:rsidRPr="0012345A">
        <w:rPr>
          <w:color w:val="000000"/>
          <w:shd w:val="clear" w:color="auto" w:fill="FFFFFF"/>
        </w:rPr>
        <w:t>Общая частота артериальных и венозных тромбоэмболических событий составила 16,2</w:t>
      </w:r>
      <w:r>
        <w:rPr>
          <w:color w:val="000000"/>
          <w:shd w:val="clear" w:color="auto" w:fill="FFFFFF"/>
        </w:rPr>
        <w:t xml:space="preserve"> </w:t>
      </w:r>
      <w:r w:rsidRPr="0012345A">
        <w:rPr>
          <w:color w:val="000000"/>
          <w:shd w:val="clear" w:color="auto" w:fill="FFFFFF"/>
        </w:rPr>
        <w:t>% в группе 1 и 19,4</w:t>
      </w:r>
      <w:r>
        <w:rPr>
          <w:color w:val="000000"/>
          <w:shd w:val="clear" w:color="auto" w:fill="FFFFFF"/>
        </w:rPr>
        <w:t xml:space="preserve"> </w:t>
      </w:r>
      <w:r w:rsidRPr="0012345A">
        <w:rPr>
          <w:color w:val="000000"/>
          <w:shd w:val="clear" w:color="auto" w:fill="FFFFFF"/>
        </w:rPr>
        <w:t xml:space="preserve">% в группе 2. Из </w:t>
      </w:r>
      <w:r>
        <w:rPr>
          <w:color w:val="000000"/>
          <w:shd w:val="clear" w:color="auto" w:fill="FFFFFF"/>
        </w:rPr>
        <w:t>всех</w:t>
      </w:r>
      <w:r w:rsidRPr="0012345A">
        <w:rPr>
          <w:color w:val="000000"/>
          <w:shd w:val="clear" w:color="auto" w:fill="FFFFFF"/>
        </w:rPr>
        <w:t xml:space="preserve"> пациентов с тромботическим событием, которые </w:t>
      </w:r>
      <w:r>
        <w:rPr>
          <w:color w:val="000000"/>
          <w:shd w:val="clear" w:color="auto" w:fill="FFFFFF"/>
        </w:rPr>
        <w:t xml:space="preserve">принимали антикоагулянты, </w:t>
      </w:r>
      <w:r w:rsidRPr="0012345A">
        <w:rPr>
          <w:color w:val="000000"/>
          <w:shd w:val="clear" w:color="auto" w:fill="FFFFFF"/>
        </w:rPr>
        <w:t xml:space="preserve">30 пациентов (54,5%) </w:t>
      </w:r>
      <w:r>
        <w:rPr>
          <w:color w:val="000000"/>
          <w:shd w:val="clear" w:color="auto" w:fill="FFFFFF"/>
        </w:rPr>
        <w:t>в контрольной группе</w:t>
      </w:r>
      <w:r w:rsidRPr="0012345A">
        <w:rPr>
          <w:color w:val="000000"/>
          <w:shd w:val="clear" w:color="auto" w:fill="FFFFFF"/>
        </w:rPr>
        <w:t xml:space="preserve"> и 53 пациента (82,8%) </w:t>
      </w:r>
      <w:r>
        <w:rPr>
          <w:color w:val="000000"/>
          <w:shd w:val="clear" w:color="auto" w:fill="FFFFFF"/>
        </w:rPr>
        <w:t>в исследуемой группе продолжали терапию бевацизумабом/плацебо. Среди этих пациентов</w:t>
      </w:r>
      <w:r w:rsidRPr="0012345A">
        <w:rPr>
          <w:color w:val="000000"/>
          <w:shd w:val="clear" w:color="auto" w:fill="FFFFFF"/>
        </w:rPr>
        <w:t xml:space="preserve"> </w:t>
      </w:r>
      <w:r>
        <w:rPr>
          <w:color w:val="000000"/>
          <w:shd w:val="clear" w:color="auto" w:fill="FFFFFF"/>
        </w:rPr>
        <w:t>кровотечения ¾ уровня наблюдались у 6,7 % и 3,8 % пациентов соответственно</w:t>
      </w:r>
      <w:r w:rsidRPr="0012345A">
        <w:rPr>
          <w:color w:val="000000"/>
          <w:shd w:val="clear" w:color="auto" w:fill="FFFFFF"/>
        </w:rPr>
        <w:t>.</w:t>
      </w:r>
      <w:r>
        <w:rPr>
          <w:color w:val="000000"/>
          <w:shd w:val="clear" w:color="auto" w:fill="FFFFFF"/>
        </w:rPr>
        <w:t xml:space="preserve"> Таким образом, результаты данного исследования показали, что п</w:t>
      </w:r>
      <w:r w:rsidRPr="00FB5B8A">
        <w:rPr>
          <w:color w:val="000000"/>
          <w:shd w:val="clear" w:color="auto" w:fill="FFFFFF"/>
        </w:rPr>
        <w:t>рименение сопутствующей полнодоз</w:t>
      </w:r>
      <w:r>
        <w:rPr>
          <w:color w:val="000000"/>
          <w:shd w:val="clear" w:color="auto" w:fill="FFFFFF"/>
        </w:rPr>
        <w:t>ной антикоагулянтной терапии с б</w:t>
      </w:r>
      <w:r w:rsidRPr="00FB5B8A">
        <w:rPr>
          <w:color w:val="000000"/>
          <w:shd w:val="clear" w:color="auto" w:fill="FFFFFF"/>
        </w:rPr>
        <w:t>евацизумабом в сочетании с химиотерапией, по-видимому, не повышает риск геморрагических осложнений у пациентов с метастатическим колоректальным раком.</w:t>
      </w:r>
    </w:p>
    <w:p w14:paraId="36AE2E7C" w14:textId="06551238" w:rsidR="00121EB9" w:rsidRDefault="00121EB9" w:rsidP="007B46F5">
      <w:pPr>
        <w:pStyle w:val="SDText"/>
        <w:ind w:firstLine="709"/>
        <w:jc w:val="both"/>
        <w:rPr>
          <w:lang w:eastAsia="ru-RU"/>
        </w:rPr>
      </w:pPr>
      <w:r>
        <w:rPr>
          <w:lang w:eastAsia="ru-RU"/>
        </w:rPr>
        <w:t xml:space="preserve">В соответствии с имеющимися данными, назначение антикоагулянтов параллельно с терапией бевацизумабом у пациентов с рисками развития тромботических событий во время лечения </w:t>
      </w:r>
      <w:r>
        <w:rPr>
          <w:lang w:val="en-US" w:eastAsia="ru-RU"/>
        </w:rPr>
        <w:t>COVID</w:t>
      </w:r>
      <w:r w:rsidRPr="001D206A">
        <w:rPr>
          <w:lang w:eastAsia="ru-RU"/>
        </w:rPr>
        <w:t>-19</w:t>
      </w:r>
      <w:r>
        <w:rPr>
          <w:lang w:eastAsia="ru-RU"/>
        </w:rPr>
        <w:t xml:space="preserve"> целесообразно и обосновано с точки зрения безопасности. </w:t>
      </w:r>
    </w:p>
    <w:p w14:paraId="08A8A9EA" w14:textId="77777777" w:rsidR="00BB6320" w:rsidRPr="009E6200" w:rsidRDefault="00BB6320" w:rsidP="007B46F5">
      <w:pPr>
        <w:pStyle w:val="SDText"/>
        <w:ind w:firstLine="709"/>
        <w:jc w:val="both"/>
        <w:rPr>
          <w:lang w:eastAsia="ru-RU"/>
        </w:rPr>
      </w:pPr>
    </w:p>
    <w:p w14:paraId="4EE800C3" w14:textId="1D0279B1" w:rsidR="00E64836" w:rsidRPr="009E6200" w:rsidRDefault="00B03DAD" w:rsidP="007B46F5">
      <w:pPr>
        <w:pStyle w:val="Heading2"/>
      </w:pPr>
      <w:bookmarkStart w:id="105" w:name="_Toc120865234"/>
      <w:r w:rsidRPr="009E6200">
        <w:t>Описание исследуемой популяции</w:t>
      </w:r>
      <w:bookmarkEnd w:id="105"/>
    </w:p>
    <w:p w14:paraId="26551394" w14:textId="77777777" w:rsidR="00BB6320" w:rsidRDefault="00BB6320" w:rsidP="007B46F5">
      <w:pPr>
        <w:jc w:val="both"/>
        <w:rPr>
          <w:lang w:eastAsia="ru-RU"/>
        </w:rPr>
      </w:pPr>
    </w:p>
    <w:p w14:paraId="3572147A" w14:textId="023DA0EF" w:rsidR="00C42341" w:rsidRDefault="007C5E0C" w:rsidP="007B46F5">
      <w:pPr>
        <w:ind w:firstLine="709"/>
        <w:jc w:val="both"/>
        <w:rPr>
          <w:lang w:eastAsia="ru-RU"/>
        </w:rPr>
      </w:pPr>
      <w:r w:rsidRPr="009E6200">
        <w:rPr>
          <w:lang w:eastAsia="ru-RU"/>
        </w:rPr>
        <w:t xml:space="preserve">В исследовании примут участие мужчины и женщины в возрасте </w:t>
      </w:r>
      <w:r w:rsidR="005A189B" w:rsidRPr="009E6200">
        <w:rPr>
          <w:lang w:eastAsia="ru-RU"/>
        </w:rPr>
        <w:t xml:space="preserve">18 лет и старше </w:t>
      </w:r>
      <w:r w:rsidRPr="009E6200">
        <w:rPr>
          <w:lang w:eastAsia="ru-RU"/>
        </w:rPr>
        <w:t>с впервые диагностированным или рецидивирующим неплоскоклеточным НМРЛ</w:t>
      </w:r>
      <w:r w:rsidR="00735CB4" w:rsidRPr="009E6200">
        <w:t xml:space="preserve"> </w:t>
      </w:r>
      <w:r w:rsidR="00735CB4" w:rsidRPr="009E6200">
        <w:rPr>
          <w:lang w:eastAsia="ru-RU"/>
        </w:rPr>
        <w:t>IIIB или IV стадии</w:t>
      </w:r>
      <w:r w:rsidRPr="009E6200">
        <w:rPr>
          <w:lang w:eastAsia="ru-RU"/>
        </w:rPr>
        <w:t>, подтвержденным гистологически или цитологически.</w:t>
      </w:r>
    </w:p>
    <w:p w14:paraId="11539C70" w14:textId="77777777" w:rsidR="00BB6320" w:rsidRPr="009E6200" w:rsidRDefault="00BB6320" w:rsidP="007B46F5">
      <w:pPr>
        <w:ind w:firstLine="709"/>
        <w:jc w:val="both"/>
        <w:rPr>
          <w:rFonts w:cs="Times New Roman"/>
          <w:szCs w:val="24"/>
        </w:rPr>
      </w:pPr>
    </w:p>
    <w:p w14:paraId="74886BC7" w14:textId="49781F62" w:rsidR="004D78BA" w:rsidRDefault="004D78BA" w:rsidP="007B46F5">
      <w:pPr>
        <w:pStyle w:val="Heading2"/>
      </w:pPr>
      <w:bookmarkStart w:id="106" w:name="_Toc463803750"/>
      <w:bookmarkStart w:id="107" w:name="_Toc464212837"/>
      <w:bookmarkStart w:id="108" w:name="_Toc120865235"/>
      <w:r w:rsidRPr="009E6200">
        <w:t xml:space="preserve">Обоснование </w:t>
      </w:r>
      <w:bookmarkEnd w:id="106"/>
      <w:bookmarkEnd w:id="107"/>
      <w:r w:rsidR="00B03DAD" w:rsidRPr="009E6200">
        <w:t>клинического исследования</w:t>
      </w:r>
      <w:bookmarkEnd w:id="108"/>
    </w:p>
    <w:p w14:paraId="2058C77F" w14:textId="77777777" w:rsidR="00BB6320" w:rsidRPr="00BB6320" w:rsidRDefault="00BB6320" w:rsidP="007B46F5">
      <w:pPr>
        <w:pStyle w:val="SDText"/>
        <w:rPr>
          <w:lang w:eastAsia="ru-RU"/>
        </w:rPr>
      </w:pPr>
    </w:p>
    <w:p w14:paraId="309B9ADE" w14:textId="77777777" w:rsidR="008F245B" w:rsidRPr="009E6200" w:rsidRDefault="008F245B" w:rsidP="007B46F5">
      <w:pPr>
        <w:pStyle w:val="SDText"/>
        <w:ind w:firstLine="709"/>
        <w:jc w:val="both"/>
        <w:rPr>
          <w:lang w:eastAsia="ru-RU"/>
        </w:rPr>
      </w:pPr>
      <w:r w:rsidRPr="009E6200">
        <w:rPr>
          <w:lang w:eastAsia="ru-RU"/>
        </w:rPr>
        <w:t xml:space="preserve">Человеческий VEGF является одним из основных регуляторов ангиогенеза при здоровых и патологических процессах, включая рост опухолей </w:t>
      </w:r>
      <w:r w:rsidR="00D21119" w:rsidRPr="009E6200">
        <w:rPr>
          <w:lang w:eastAsia="ru-RU"/>
        </w:rPr>
        <w:fldChar w:fldCharType="begin"/>
      </w:r>
      <w:r w:rsidR="00000D0F" w:rsidRPr="009E6200">
        <w:rPr>
          <w:lang w:eastAsia="ru-RU"/>
        </w:rPr>
        <w:instrText xml:space="preserve"> ADDIN ZOTERO_ITEM CSL_CITATION {"citationID":"9LEbCtOz","properties":{"formattedCitation":"[4,5]","plainCitation":"[4,5]","noteIndex":0},"citationItems":[{"id":35010,"uris":["http://zotero.org/groups/2341397/items/QRAWT7XK"],"uri":["http://zotero.org/groups/2341397/items/QRAWT7XK"],"itemData":{"id":35010,"type":"article-journal","title":"The Role of Vascular Endothelial Growth Factor in Angiogenesis","container-title":"Acta Haematologica","page":"148-156","volume":"106","issue":"4","source":"DOI.org (Crossref)","DOI":"10.1159/000046610","ISSN":"0001-5792, 1421-9662","journalAbbreviation":"Acta Haematol","language":"en","author":[{"family":"Ferrara","given":"Napoleone"},{"family":"Gerber","given":"Hans-Peter"}],"issued":{"date-parts":[["2001"]]}}},{"id":35009,"uris":["http://zotero.org/groups/2341397/items/6W66IYLP"],"uri":["http://zotero.org/groups/2341397/items/6W66IYLP"],"itemData":{"id":35009,"type":"article-journal","title":"Endothelial cells and angiogenic growth factors in cancer growth and metastasis. Introduction","container-title":"Cancer Metastasis Reviews","page":"171-174","volume":"9","issue":"3","source":"PubMed","ISSN":"0167-7659","note":"PMID: 1705485","journalAbbreviation":"Cancer Metastasis Rev.","language":"eng","author":[{"family":"Folkman","given":"J."}],"issued":{"date-parts":[["1990",11]]}}}],"schema":"https://github.com/citation-style-language/schema/raw/master/csl-citation.json"} </w:instrText>
      </w:r>
      <w:r w:rsidR="00D21119" w:rsidRPr="009E6200">
        <w:rPr>
          <w:lang w:eastAsia="ru-RU"/>
        </w:rPr>
        <w:fldChar w:fldCharType="separate"/>
      </w:r>
      <w:r w:rsidR="00000D0F" w:rsidRPr="009E6200">
        <w:rPr>
          <w:rFonts w:cs="Times New Roman"/>
        </w:rPr>
        <w:t>[4,5]</w:t>
      </w:r>
      <w:r w:rsidR="00D21119" w:rsidRPr="009E6200">
        <w:rPr>
          <w:lang w:eastAsia="ru-RU"/>
        </w:rPr>
        <w:fldChar w:fldCharType="end"/>
      </w:r>
      <w:r w:rsidR="00D21119" w:rsidRPr="009E6200">
        <w:rPr>
          <w:lang w:eastAsia="ru-RU"/>
        </w:rPr>
        <w:t>.</w:t>
      </w:r>
      <w:r w:rsidR="00D21119" w:rsidRPr="009E6200" w:rsidDel="00D21119">
        <w:rPr>
          <w:lang w:eastAsia="ru-RU"/>
        </w:rPr>
        <w:t xml:space="preserve"> </w:t>
      </w:r>
      <w:r w:rsidRPr="009E6200">
        <w:rPr>
          <w:lang w:eastAsia="ru-RU"/>
        </w:rPr>
        <w:t xml:space="preserve">В здоровых тканях экспрессия VEGF выражена очень слабо, в то время как в большинстве опухолей экспрессия VEGF повышена </w:t>
      </w:r>
      <w:r w:rsidR="00D21119" w:rsidRPr="009E6200">
        <w:rPr>
          <w:lang w:eastAsia="ru-RU"/>
        </w:rPr>
        <w:fldChar w:fldCharType="begin"/>
      </w:r>
      <w:r w:rsidR="00000D0F" w:rsidRPr="009E6200">
        <w:rPr>
          <w:lang w:eastAsia="ru-RU"/>
        </w:rPr>
        <w:instrText xml:space="preserve"> ADDIN ZOTERO_ITEM CSL_CITATION {"citationID":"MyjoceN5","properties":{"formattedCitation":"[6\\uc0\\u8211{}9]","plainCitation":"[6–9]","noteIndex":0},"citationItems":[{"id":35008,"uris":["http://zotero.org/groups/2341397/items/E8USFKS5"],"uri":["http://zotero.org/groups/2341397/items/E8USFKS5"],"itemData":{"id":35008,"type":"article-journal","title":"Expression of vascular permeability factor (vascular endothelial growth factor) by epidermal keratinocytes during wound healing","container-title":"The Journal of Experimental Medicine","page":"1375-1379","volume":"176","issue":"5","source":"PubMed","abstract":"Persistent microvascular hyperpermeability to plasma proteins even after the cessation of injury is a characteristic but poorly understood feature of normal wound healing. It results in extravasation of fibrinogen that clots to form fibrin, which serves as a provisional matrix and promotes angiogenesis and scar formation. We present evidence indicating that vascular permeability factor (VPF; also known as vascular endothelial growth factor) may be responsible for the hyperpermeable state, as well as the angiogenesis, that are characteristic of healing wounds. Hyperpermeable blood vessels were identified in healing split-thickness guinea pig and rat punch biopsy skin wounds by their capacity to extravasate circulating macromolecular tracers (colloidal carbon, fluoresceinated dextran). Vascular permeability was maximal at 2-3 d, but persisted as late as 7 d after wounding. Leaky vessels were found initially at the wound edges and later in the subepidermal granulation tissue as keratinocytes migrated to cover the denuded wound surface. Angiogenesis was also prominent within this 7-d interval. In situ hybridization revealed that greatly increased amounts of VPF mRNA were expressed by keratinocytes, initially those at the wound edge, and, at later intervals, keratinocytes that migrated to cover the wound surface; occasional mononuclear cells also expressed VPF mRNA. Secreted VPF was detected by immunofluoroassay of medium from cultured human keratinocytes. These data identify keratinocytes as an important source of VPF gene transcript and protein, correlate VPF expression with persistent vascular hyperpermeability and angiogenesis, and suggest that VPF is an important cytokine in wound healing.","DOI":"10.1084/jem.176.5.1375","ISSN":"0022-1007","note":"PMID: 1402682\nPMCID: PMC2119412","journalAbbreviation":"J. Exp. Med.","language":"eng","author":[{"family":"Brown","given":"L. F."},{"family":"Yeo","given":"K. T."},{"family":"Berse","given":"B."},{"family":"Yeo","given":"T. K."},{"family":"Senger","given":"D. R."},{"family":"Dvorak","given":"H. F."},{"family":"Water","given":"L.","non-dropping-particle":"van de"}],"issued":{"date-parts":[["1992",11,1]]}}},{"id":35007,"uris":["http://zotero.org/groups/2341397/items/7LEQ48Z7"],"uri":["http://zotero.org/groups/2341397/items/7LEQ48Z7"],"itemData":{"id":35007,"type":"article-journal","title":"Vascular permeability factor/vascular endothelial growth factor, microvascular hyperpermeability, and angiogenesis","container-title":"The American Journal of Pathology","page":"1029-1039","volume":"146","issue":"5","source":"PubMed","abstract":"VPF/VEGF is a multifunctional cytokine that contributes to angiogenesis by both direct and indirect mechanisms. On the one hand, VPF/VEGF stimulates the ECs lining nearby microvessels to proliferate, to migrate, and to alter their pattern of gene expression. On the other hand, VPF/VEGF renders these same microvascular ECs hyperpermeable so that they spill plasma proteins into the extravascular space, leading to the clotting of extravasated fibrinogen with deposition of a fibrin gel. Extravascular fibrin serves as a provisional matrix that favors and supports the ingrowth of new blood vessels and other mesenchymal cells that generate mature, vascularized stroma. These same principles apply in tumors, in several examples of non-neoplastic pathology, and in physiological processes that involve angiogenesis and new stroma generation. In all of these examples, microvascular hyperpermeability and the introduction of a provisional, plasma-derived matrix precede and accompany the onset of EC division and new blood vessel formation. It would seem, therefore, that tumors have \"borrowed\" fundamental mechanisms that developed in multicellular organisms for purposes of tissue defense, renewal, and repair. VPF/VEGF, therefore has taught us something new about angiogenesis; namely, that vascular hyperpermeability and consequent plasma protein extravasation are important, perhaps essential, elements in its generation. However, this finding raises a paradox. While VPF/VEGF induces vascular hyperpermeability, other potent angiogenic factors apparently do not, at least in subtoxic concentrations that are more than sufficient to induce angiogenesis. Nonetheless, wherever angiogenesis has been studied, the newly generated vessels have been found to be hyperpermeable. How, therefore, do angiogenic factors other than VPF/VEGF lead to the formation of new and leaky blood vessels? We do not as yet have a complete answer to this question. One possibility is that at least some angiogenic factors mediate their effect by inducing or stimulating the expression of VPF/VEGF. In fact, there is already one clear example of this. TGF-alpha is a potent angiogenic factor but does not itself increase microvascular permeability. However, TGF-alpha strikingly upregulates VPF/VEGF expression in cultured keratinocytes and is thought to be responsible, at least in part, for the overexpression of VPF/VEGF in psoriasis. Moreover, overexpression of TGF-alpha, along with that of the EGF receptor with which it interacts, is characteristic of many malignant tumors, raising the possibility that TGF-alpha acts to stimulate VPF/VEGF expression in other types of epithelial cells and in this manner induces angiogenesis.(ABSTRACT TRUNCATED AT 400 WORDS)","ISSN":"0002-9440","note":"PMID: 7538264\nPMCID: PMC1869291","journalAbbreviation":"Am. J. Pathol.","language":"eng","author":[{"family":"Dvorak","given":"H. F."},{"family":"Brown","given":"L. F."},{"family":"Detmar","given":"M."},{"family":"Dvorak","given":"A. M."}],"issued":{"date-parts":[["1995",5]]}}},{"id":35006,"uris":["http://zotero.org/groups/2341397/items/EU7C3I2C"],"uri":["http://zotero.org/groups/2341397/items/EU7C3I2C"],"itemData":{"id":35006,"type":"article-journal","title":"The biology of vascular endothelial growth factor","container-title":"Endocrine Reviews","page":"4-25","volume":"18","issue":"1","source":"PubMed","DOI":"10.1210/edrv.18.1.0287","ISSN":"0163-769X","note":"PMID: 9034784","journalAbbreviation":"Endocr. Rev.","language":"eng","author":[{"family":"Ferrara","given":"N."},{"family":"Davis-Smyth","given":"T."}],"issued":{"date-parts":[["1997",2]]}}},{"id":35005,"uris":["http://zotero.org/groups/2341397/items/ZXYDLXHH"],"uri":["http://zotero.org/groups/2341397/items/ZXYDLXHH"],"itemData":{"id":35005,"type":"article-journal","title":"In oesophageal squamous cell carcinoma vascular endothelial growth factor is associated with p53 mutation, advanced stage and poor prognosis","container-title":"British Journal of Cancer","page":"1704-1709","volume":"77","issue":"10","source":"PubMed","abstract":"Vascular endothelial growth factor (VEGF) affects malignant tumours by promoting angiogenesis. The tumour-suppressor gene p53 has been thought to regulate VEGF. We investigated the effect of VEGF on oesophageal carcinoma and the connection between VEGF and p53. One hundred and nine resected oesophageal squamous cell carcinomas were examined. VEGF expression was analysed by immunohistochemical staining. Sixty-five tumours (59.6%, 65 out of 109) were classified as VEGF positive. A significant correlation was found between the VEGF expression and both the depth of invasion (P = 0.0001) and lymph node metastasis (P &lt; 0.0001). With regard to p53, we compared the expression of VEGF with the mutation of p53, examined using polymerase chain reaction-single-strand conformation polymorphism (PCR-SSCP) and direct sequencing in tumour samples obtained from 36 patients who we have reported previously. The VEGF expression was significantly correlated to p53 mutation (P = 0.0291). To evaluate the angiogenesis, microvascular density (MVD) was counted, and endothelial cells were stained immunohistochemically using anti-CD34 monoclonal antibody against 29 cases with invasion limited to the submucosal layer. The average MVD had a tendency to correlate to VEGF expression (P = 0.1626). The prognoses of patients with VEGF-positive primary tumours were significantly worse than for those with VEGF-negative primary tumours (P = 0.0077). We have assumed that VEGF contributes to aggressive characteristics in oesophageal carcinomas and that VEGF expression might be affected by p53 status.","DOI":"10.1038/bjc.1998.281","ISSN":"0007-0920","note":"PMID: 9635853\nPMCID: PMC2150063","journalAbbreviation":"Br. J. Cancer","language":"eng","author":[{"family":"Uchida","given":"S."},{"family":"Shimada","given":"Y."},{"family":"Watanabe","given":"G."},{"family":"Tanaka","given":"H."},{"family":"Shibagaki","given":"I."},{"family":"Miyahara","given":"T."},{"family":"Ishigami","given":"S."},{"family":"Imamura","given":"M."}],"issued":{"date-parts":[["1998",5]]}}}],"schema":"https://github.com/citation-style-language/schema/raw/master/csl-citation.json"} </w:instrText>
      </w:r>
      <w:r w:rsidR="00D21119" w:rsidRPr="009E6200">
        <w:rPr>
          <w:lang w:eastAsia="ru-RU"/>
        </w:rPr>
        <w:fldChar w:fldCharType="separate"/>
      </w:r>
      <w:r w:rsidR="00000D0F" w:rsidRPr="009E6200">
        <w:rPr>
          <w:rFonts w:cs="Times New Roman"/>
          <w:szCs w:val="24"/>
        </w:rPr>
        <w:t>[6–9]</w:t>
      </w:r>
      <w:r w:rsidR="00D21119" w:rsidRPr="009E6200">
        <w:rPr>
          <w:lang w:eastAsia="ru-RU"/>
        </w:rPr>
        <w:fldChar w:fldCharType="end"/>
      </w:r>
      <w:r w:rsidRPr="009E6200">
        <w:rPr>
          <w:lang w:eastAsia="ru-RU"/>
        </w:rPr>
        <w:t xml:space="preserve"> и коррелирует с прогрессированием опухолей и выживаемостью больных при различных формах рака</w:t>
      </w:r>
      <w:r w:rsidR="00D21119" w:rsidRPr="009E6200">
        <w:rPr>
          <w:lang w:eastAsia="ru-RU"/>
        </w:rPr>
        <w:t xml:space="preserve"> </w:t>
      </w:r>
      <w:r w:rsidR="00D21119" w:rsidRPr="009E6200">
        <w:rPr>
          <w:lang w:eastAsia="ru-RU"/>
        </w:rPr>
        <w:fldChar w:fldCharType="begin"/>
      </w:r>
      <w:r w:rsidR="00000D0F" w:rsidRPr="009E6200">
        <w:rPr>
          <w:lang w:eastAsia="ru-RU"/>
        </w:rPr>
        <w:instrText xml:space="preserve"> ADDIN ZOTERO_ITEM CSL_CITATION {"citationID":"AX6E8ybj","properties":{"formattedCitation":"[10\\uc0\\u8211{}14]","plainCitation":"[10–14]","noteIndex":0},"citationItems":[{"id":35004,"uris":["http://zotero.org/groups/2341397/items/NBRF42YY"],"uri":["http://zotero.org/groups/2341397/items/NBRF42YY"],"itemData":{"id":35004,"type":"article-journal","title":"Prognostic significance of the expression of vascular endothelial growth factor (VEGF) and VEGF-C in gastric carcinoma","container-title":"Journal of Surgical Oncology","page":"132-137","volume":"78","issue":"2","source":"PubMed","abstract":"BACKGROUND AND OBJECTIVES: Angiogenic factors play a major role in tumor growth and metastasis. The purpose of this study was to clarify the prognostic significance of the expression of vascular endothelial growth factor (VEGF) and VEGF-C in gastric carcinoma.\nMETHODS: Formalin-fixed and paraffin embedded sections of tumor tissue were obtained from 76 patients who underwent curative gastrectomy for gastric carcinoma. Immunohistochemical staining for VEGF and VEGF-C was performed.\nRESULTS: VEGF and VEGF-C were positively expressed in 39 and 45% of the patients, respectively. No correlation existed between VEGF and VEGF-C expressions. VEGF expression was significantly correlated with venous invasion. VEGF-C expression was significantly correlated with lymphatic and venous invasion. Patients with positive staining for VEGF showed a significantly lower survival rate than VEGF negative patients. After subdivision, according to the combination of VEGF and VEGF-C expression, VEGF-C expression had a significant unfavorable impact on prognosis among patients with negative staining for VEGF. The expression of VEGF and/or VEGF-C was independent prognostic determinant by the multivariate survival analysis.\nCONCLUSIONS: The positive expression for VEGF and/or VEGF-C was an important prognostic determinant after curative gastrectomy for gastric carcinoma. VEGF-C may stimulate the tumor progression in the absence of VEGF.","ISSN":"0022-4790","note":"PMID: 11579392","journalAbbreviation":"J Surg Oncol","language":"eng","author":[{"family":"Ichikura","given":"T."},{"family":"Tomimatsu","given":"S."},{"family":"Ohkura","given":"E."},{"family":"Mochizuki","given":"H."}],"issued":{"date-parts":[["2001",10]]}}},{"id":35003,"uris":["http://zotero.org/groups/2341397/items/PGQ2SH4A"],"uri":["http://zotero.org/groups/2341397/items/PGQ2SH4A"],"itemData":{"id":35003,"type":"article-journal","title":"Circulating VEGF levels in the serum of gastric cancer patients: correlation with pathological variables, patient survival, and tumor surgery","container-title":"Annals of Surgery","page":"37-42","volume":"236","issue":"1","source":"PubMed","abstract":"OBJECTIVE: To evaluate the clinical usefulness of serum vascular endothelial growth factor (VEGF) levels in gastric cancer patients.\nSUMMARY BACKGROUND DATA: Vascular endothelial growth factor plays an important role in the formation of new blood vessels involved in the growth and metastatic spread of solid tumors, but there is limited information regarding the clinical significance of serum VEGF levels in cancer patients.\nMETHODS: Serum VEGF concentrations were measured by an enzyme linked immunosorbent assay in 61 healthy controls and in 58 gastric cancer patients before surgery, and then again at 7 and 30 days after surgery. The association between preoperative serum VEGF levels, clinicopathological features and patient survival, and their changes following surgery were evaluated.\nRESULTS: Serum VEGF levels in gastric cancer patients were significantly higher than those in controls. There was a significant association between serum VEGF levels and disease stage, as well as invasion depth of the tumor and the presence of distant metastases. Serum VEGF levels decreased significantly after radical resection of the primary tumor and increased in patients with unresectable tumors. Multivariate regression analysis showed that serum VEGF level is an independent prognostic factor for survival.\nCONCLUSIONS: Serum VEGF levels in gastric patients are significantly higher compared with normal controls and correlate with local tumor extent, disease stage, and the presence of distant metastases. Preoperative serum VEGF concentration decreases significantly after radical resection of the primary tumor and is an independent prognostic factor for patient survival suggesting that determination of serum VEGF levels may be clinically useful.","DOI":"10.1097/00000658-200207000-00007","ISSN":"0003-4932","note":"PMID: 12131083\nPMCID: PMC1422546","title-short":"Circulating VEGF levels in the serum of gastric cancer patients","journalAbbreviation":"Ann. Surg.","language":"eng","author":[{"family":"Karayiannakis","given":"Anastasios J."},{"family":"Syrigos","given":"Konstantinos N."},{"family":"Polychronidis","given":"Alexandros"},{"family":"Zbar","given":"Andrew"},{"family":"Kouraklis","given":"Gregory"},{"family":"Simopoulos","given":"Constantinos"},{"family":"Karatzas","given":"Gabriel"}],"issued":{"date-parts":[["2002",7]]}}},{"id":35002,"uris":["http://zotero.org/groups/2341397/items/PSWZ3LI5"],"uri":["http://zotero.org/groups/2341397/items/PSWZ3LI5"],"itemData":{"id":35002,"type":"article-journal","title":"Prognostic significance of expression of thymidine phosphorylase and vascular endothelial growth factor in human gastric carcinoma","container-title":"Journal of Surgical Oncology","page":"31-36","volume":"76","issue":"1","source":"PubMed","abstract":"BACKGROUND AND OBJECTIVES: Both thymidine phosphorylase (dThdPase) and vascular endothelial growth factor (VEGF) are well-characterized inducers of angiogenesis. The purpose of this study was to examine the expression of these antigens and their prognostic significance in gastric carcinoma.\nMETHODS: Medical records of 102 patients with stage II tumor were retrospectively reviewed. Primary tumors were studied by immunohistochemical staining for dThdPase and VEGF.\nRESULTS: Positive dThdPase expression was observed in 52 (51%) tumors and positive VEGF expression in 53 (52%) tumors. There was a significant correlation between the positive expression of VEGF and lymphatic invasion. The patients with dThdPase-positive carcinoma showed a significantly worse prognosis than those with dThdPase-negative carcinoma in stage II. Moreover, the frequency of hepatic recurrence was significantly higher in the patients with dThdPase-positive and VEGF-positive tumors than in those with dThdPase-negative and VEGF-negative tumors.\nCONCLUSIONS: Combination analysis of dThdPase and VEGF expression in gastric carcinoma appears to be well-characterized inductors of prognosis and metastasis.","ISSN":"0022-4790","note":"PMID: 11223822","journalAbbreviation":"J Surg Oncol","language":"eng","author":[{"family":"Kimura","given":"H."},{"family":"Konishi","given":"K."},{"family":"Nukui","given":"T."},{"family":"Kaji","given":"M."},{"family":"Maeda","given":"K."},{"family":"Yabushita","given":"K."},{"family":"Tsuji","given":"M."},{"family":"Miwa","given":"A."}],"issued":{"date-parts":[["2001",1]]}}},{"id":35001,"uris":["http://zotero.org/groups/2341397/items/6GVYW45C"],"uri":["http://zotero.org/groups/2341397/items/6GVYW45C"],"itemData":{"id":35001,"type":"article-journal","title":"Prognostic value of vascular endothelial growth factor expression in gastric carcinoma","container-title":"Cancer","page":"858-863","volume":"77","issue":"5","source":"PubMed","abstract":"BACKGROUND: Many studies have shown that angiogenesis plays an important role in the growth, progression, and metastasis of solid tumors. Recently, several angiogenic factors have been identified. Vascular endothelial growth factor (VEGF) is thought to be one such angiogenic factor and is also thought to be a selective mitogen for endothelial cells. We investigated the correlation between the expression of VEGF and the progression of gastric carcinoma.\nMETHODS: One hundred twenty-nine specimens resected from patients with gastric carcinoma were investigated by staining with a polyclonal antibody against VEGF. Correlations between the expression of VEGF, microvessel density, and various clincopathologic factors were studied.\nRESULTS: Microvessel density, determined by immunostaining for Factor VIII related antigen, was significantly higher in VEGF-positive tumors than in VEGF-negative tumors. VEGF positivity was correlated with vessel involvement, lymph node metastasis, and liver metastasis. Moreover, patients with VEGF-positive tumors had a significantly poorer prognosis than those with VEGF-negative tumors. Multivariate analysis indicated that the expression of VEGF is an independent prognostic factor in patients with gastric cancer. According to the mode of recurrence, the frequency of hepatic metastases was significantly increased among patients with VEGF-positive tumors.\nCONCLUSIONS: The expression of VEGF may be a good prognostic indicator for patients with gastric carcinoma and may also be useful as a predictor of the mode of recurrence in patients with gastric carcinoma.","ISSN":"0008-543X","note":"PMID: 8608475","journalAbbreviation":"Cancer","language":"eng","author":[{"family":"Maeda","given":"K."},{"family":"Chung","given":"Y. S."},{"family":"Ogawa","given":"Y."},{"family":"Takatsuka","given":"S."},{"family":"Kang","given":"S. M."},{"family":"Ogawa","given":"M."},{"family":"Sawada","given":"T."},{"family":"Sowa","given":"M."}],"issued":{"date-parts":[["1996",3,1]]}}},{"id":35000,"uris":["http://zotero.org/groups/2341397/items/39Q5FYBB"],"uri":["http://zotero.org/groups/2341397/items/39Q5FYBB"],"itemData":{"id":35000,"type":"article-journal","title":"Clinical significance of serum vascular endothelial growth factor in esophageal squamous cell carcinoma","container-title":"Cancer","page":"663-669","volume":"92","issue":"3","source":"PubMed","abstract":"BACKGROUND: Vascular endothelial growth factor (VEGF) is a potent inducer of angiogenesis in malignant tumors. An increased in the serum VEGF concentration (S-VEGF) has been found in patients with various solid tumors and appears to be correlated with tumor burden. The objective of the current study was to determine the correlation between pretreatment S-VEGF and clinicopathologic features in patients with esophageal squamous cell carcinoma.\nMETHODS: Pretreatment S-VEGF was measured by enzyme-linked immunoadsorbent assay in 24 healthy controls and 96 patients with esophageal squamous cell carcinoma (82 patients with primary tumors and 14 with recurrent tumors). Chemoradiotherapy was performed in 35 patients followed by response evaluation.\nRESULTS: S-VEGF was found to be significantly elevated in patients with primary esophageal carcinoma (P = 0.0011). Significant differences were observed when S-VEGF was categorized by tumor size (P = 0.0002), tumor depth (P = 0.0082), lymph node metastasis (P = 0.0002), distant metastasis (P = 0.028), and International Union Against Cancer TNM stage (P &lt; 0.0001). The patients who achieved a partial or complete response to chemoradiotherapy showed significantly less S-VEGF than those patients who were nonresponders (P = 0.018). A high (&gt; 451 pg/mL) S-VEGF level was associated with poor survival (P &lt; 0.001). Multivariate analysis found S-VEGF to be a significant and independent prognostic factor (P &lt; 0.001).\nCONCLUSIONS: In the current study, a high S-VEGF was found to be associated with tumor progression, poor treatment response, and poor survival in patients with squamous cell carcinoma of the esophagus.","ISSN":"0008-543X","note":"PMID: 11505413","journalAbbreviation":"Cancer","language":"eng","author":[{"family":"Shimada","given":"H."},{"family":"Takeda","given":"A."},{"family":"Nabeya","given":"Y."},{"family":"Okazumi","given":"S. I."},{"family":"Matsubara","given":"H."},{"family":"Funami","given":"Y."},{"family":"Hayashi","given":"H."},{"family":"Gunji","given":"Y."},{"family":"Kobayashi","given":"S."},{"family":"Suzuki","given":"T."},{"family":"Ochiai","given":"T."}],"issued":{"date-parts":[["2001",8,1]]}}}],"schema":"https://github.com/citation-style-language/schema/raw/master/csl-citation.json"} </w:instrText>
      </w:r>
      <w:r w:rsidR="00D21119" w:rsidRPr="009E6200">
        <w:rPr>
          <w:lang w:eastAsia="ru-RU"/>
        </w:rPr>
        <w:fldChar w:fldCharType="separate"/>
      </w:r>
      <w:r w:rsidR="00000D0F" w:rsidRPr="009E6200">
        <w:rPr>
          <w:rFonts w:cs="Times New Roman"/>
          <w:szCs w:val="24"/>
        </w:rPr>
        <w:t>[10–14]</w:t>
      </w:r>
      <w:r w:rsidR="00D21119" w:rsidRPr="009E6200">
        <w:rPr>
          <w:lang w:eastAsia="ru-RU"/>
        </w:rPr>
        <w:fldChar w:fldCharType="end"/>
      </w:r>
      <w:r w:rsidRPr="009E6200">
        <w:rPr>
          <w:lang w:eastAsia="ru-RU"/>
        </w:rPr>
        <w:t>. Нейтрализация биологической активности VEGF приводит к подавлению васкуляризации и угнет</w:t>
      </w:r>
      <w:r w:rsidR="00D21119" w:rsidRPr="009E6200">
        <w:rPr>
          <w:lang w:eastAsia="ru-RU"/>
        </w:rPr>
        <w:t>ению роста опухоли.</w:t>
      </w:r>
    </w:p>
    <w:p w14:paraId="5C910DF0" w14:textId="77777777" w:rsidR="008F245B" w:rsidRPr="009E6200" w:rsidRDefault="008F245B" w:rsidP="007B46F5">
      <w:pPr>
        <w:pStyle w:val="SDText"/>
        <w:ind w:firstLine="709"/>
        <w:jc w:val="both"/>
        <w:rPr>
          <w:lang w:eastAsia="ru-RU"/>
        </w:rPr>
      </w:pPr>
      <w:r w:rsidRPr="009E6200">
        <w:rPr>
          <w:lang w:eastAsia="ru-RU"/>
        </w:rPr>
        <w:t>Компанией Дженентек Инк. совместно с компанией Ф. Хоффманн-Ля Рош Лтд. был создан препарат Авастин</w:t>
      </w:r>
      <w:r w:rsidR="00121FA5" w:rsidRPr="009E6200">
        <w:rPr>
          <w:vertAlign w:val="superscript"/>
          <w:lang w:eastAsia="ru-RU"/>
        </w:rPr>
        <w:t>®</w:t>
      </w:r>
      <w:r w:rsidRPr="009E6200">
        <w:rPr>
          <w:lang w:eastAsia="ru-RU"/>
        </w:rPr>
        <w:t xml:space="preserve"> (бевацизумаб), который является моноклональным антителом, специфически связывающимся с VEGF и нейтрализующим его. Эффективность и безопасность применения этого препарата у больных онкологическими заболеваниями была показана в крупных клинических исследованиях. Авастин</w:t>
      </w:r>
      <w:r w:rsidR="00121FA5" w:rsidRPr="009E6200">
        <w:rPr>
          <w:vertAlign w:val="superscript"/>
          <w:lang w:eastAsia="ru-RU"/>
        </w:rPr>
        <w:t>®</w:t>
      </w:r>
      <w:r w:rsidRPr="009E6200">
        <w:rPr>
          <w:lang w:eastAsia="ru-RU"/>
        </w:rPr>
        <w:t xml:space="preserve"> одобрен для терапии различных онкологических заболеваний во многих странах по всему миру, включая США, страны ЕС и Россию. В России препарат Авастин</w:t>
      </w:r>
      <w:r w:rsidR="00121FA5" w:rsidRPr="009E6200">
        <w:rPr>
          <w:vertAlign w:val="superscript"/>
          <w:lang w:eastAsia="ru-RU"/>
        </w:rPr>
        <w:t>®</w:t>
      </w:r>
      <w:r w:rsidRPr="009E6200">
        <w:rPr>
          <w:lang w:eastAsia="ru-RU"/>
        </w:rPr>
        <w:t xml:space="preserve"> одобрен для терапии метастатического колоректального рака, местно рецидивирующего или метастатического рака молочной железы, распространенного неоперабельного, метастатического или рецидивирующего неплоскоклеточного </w:t>
      </w:r>
      <w:r w:rsidR="009B6279" w:rsidRPr="009E6200">
        <w:rPr>
          <w:lang w:eastAsia="ru-RU"/>
        </w:rPr>
        <w:t>НМРЛ</w:t>
      </w:r>
      <w:r w:rsidRPr="009E6200">
        <w:rPr>
          <w:lang w:eastAsia="ru-RU"/>
        </w:rPr>
        <w:t xml:space="preserve">, распространенного и/или метастатического почечно-клеточного рака, глиобластомы, эпителиального рака яичника, маточной трубы и первичного рака брюшины. </w:t>
      </w:r>
    </w:p>
    <w:p w14:paraId="43D0A17B" w14:textId="77777777" w:rsidR="008F245B" w:rsidRPr="009E6200" w:rsidRDefault="008F245B" w:rsidP="007B46F5">
      <w:pPr>
        <w:pStyle w:val="SDText"/>
        <w:ind w:firstLine="709"/>
        <w:jc w:val="both"/>
        <w:rPr>
          <w:lang w:eastAsia="ru-RU"/>
        </w:rPr>
      </w:pPr>
      <w:r w:rsidRPr="009E6200">
        <w:rPr>
          <w:lang w:eastAsia="ru-RU"/>
        </w:rPr>
        <w:t>Компанией Р-Фарм был создан биоаналог препарата Авастин</w:t>
      </w:r>
      <w:r w:rsidR="00121FA5" w:rsidRPr="009E6200">
        <w:rPr>
          <w:vertAlign w:val="superscript"/>
          <w:lang w:eastAsia="ru-RU"/>
        </w:rPr>
        <w:t>®</w:t>
      </w:r>
      <w:r w:rsidRPr="009E6200">
        <w:rPr>
          <w:lang w:eastAsia="ru-RU"/>
        </w:rPr>
        <w:t>, препарат RPH-001, который по результатам клинического исследования оказался сопоставим с препаратом Авастин</w:t>
      </w:r>
      <w:r w:rsidR="00121FA5" w:rsidRPr="009E6200">
        <w:rPr>
          <w:vertAlign w:val="superscript"/>
          <w:lang w:eastAsia="ru-RU"/>
        </w:rPr>
        <w:t>®</w:t>
      </w:r>
      <w:r w:rsidRPr="009E6200">
        <w:rPr>
          <w:lang w:eastAsia="ru-RU"/>
        </w:rPr>
        <w:t xml:space="preserve"> по показателям фармакодинамики, эффективности и безопасности, но не был биоэквивалентен препарату </w:t>
      </w:r>
      <w:r w:rsidR="00D21119" w:rsidRPr="009E6200">
        <w:rPr>
          <w:lang w:eastAsia="ru-RU"/>
        </w:rPr>
        <w:t>Авастин</w:t>
      </w:r>
      <w:r w:rsidR="00121FA5" w:rsidRPr="009E6200">
        <w:rPr>
          <w:vertAlign w:val="superscript"/>
          <w:lang w:eastAsia="ru-RU"/>
        </w:rPr>
        <w:t>®</w:t>
      </w:r>
      <w:r w:rsidRPr="009E6200">
        <w:rPr>
          <w:lang w:eastAsia="ru-RU"/>
        </w:rPr>
        <w:t xml:space="preserve"> по фармакокинетическим показателям </w:t>
      </w:r>
      <w:r w:rsidR="00222B17" w:rsidRPr="009E6200">
        <w:fldChar w:fldCharType="begin" w:fldLock="1"/>
      </w:r>
      <w:r w:rsidR="005C3D92" w:rsidRPr="009E6200">
        <w:instrText xml:space="preserve"> ADDIN ZOTERO_ITEM CSL_CITATION {"citationID":"YzOytKEg","properties":{"formattedCitation":"[15]","plainCitation":"[15]","noteIndex":0},"citationItems":[{"id":"fGhGzCjK/pZTWOshp","uris":["http://www.mendeley.com/documents/?uuid=04f7f64a-26dc-48b0-8b67-e0b558d7c730"],"uri":["http://www.mendeley.com/documents/?uuid=04f7f64a-26dc-48b0-8b67-e0b558d7c730"],"itemData":{"id":"ITEM-1","issued":{"date-parts":[["2015"]]},"publisher-place":"Москва","title":"Отчет о многоцентровом, открытом, рандомизированном исследовании фармакокинетической эквивалентности препаратов RPH-001 и Авастин®, а также фармакодинамики, эффективности и безопасности препарата RPH-001 у пациентов с метастатическим раком прямой и ободоч","type":"report"}}],"schema":"https://github.com/citation-style-language/schema/raw/master/csl-citation.json"} </w:instrText>
      </w:r>
      <w:r w:rsidR="00222B17" w:rsidRPr="009E6200">
        <w:fldChar w:fldCharType="separate"/>
      </w:r>
      <w:r w:rsidR="005C3D92" w:rsidRPr="009E6200">
        <w:rPr>
          <w:rFonts w:cs="Times New Roman"/>
        </w:rPr>
        <w:t>[15]</w:t>
      </w:r>
      <w:r w:rsidR="00222B17" w:rsidRPr="009E6200">
        <w:fldChar w:fldCharType="end"/>
      </w:r>
      <w:r w:rsidRPr="009E6200">
        <w:rPr>
          <w:lang w:eastAsia="ru-RU"/>
        </w:rPr>
        <w:t>. В связи с этим была проведена посттрансляционная модификация препарата RPH-001, а именно гликомодификация RPH-001, направленная на сближение гликопрофиля RPH-001 и Авастина</w:t>
      </w:r>
      <w:r w:rsidR="00121FA5" w:rsidRPr="009E6200">
        <w:rPr>
          <w:vertAlign w:val="superscript"/>
          <w:lang w:eastAsia="ru-RU"/>
        </w:rPr>
        <w:t>®</w:t>
      </w:r>
      <w:r w:rsidRPr="009E6200">
        <w:rPr>
          <w:lang w:eastAsia="ru-RU"/>
        </w:rPr>
        <w:t xml:space="preserve">, с целью достижения биоэквивалентности препаратов RPH-001 и </w:t>
      </w:r>
      <w:r w:rsidR="00D21119" w:rsidRPr="009E6200">
        <w:rPr>
          <w:lang w:eastAsia="ru-RU"/>
        </w:rPr>
        <w:t>Авастин</w:t>
      </w:r>
      <w:r w:rsidR="00121FA5" w:rsidRPr="009E6200">
        <w:rPr>
          <w:vertAlign w:val="superscript"/>
          <w:lang w:eastAsia="ru-RU"/>
        </w:rPr>
        <w:t>®</w:t>
      </w:r>
      <w:r w:rsidRPr="009E6200">
        <w:rPr>
          <w:lang w:eastAsia="ru-RU"/>
        </w:rPr>
        <w:t xml:space="preserve"> по ф</w:t>
      </w:r>
      <w:r w:rsidR="00B50FF4" w:rsidRPr="009E6200">
        <w:rPr>
          <w:lang w:eastAsia="ru-RU"/>
        </w:rPr>
        <w:t>армакокинетическим показателям.</w:t>
      </w:r>
    </w:p>
    <w:p w14:paraId="35CFB7BD" w14:textId="77777777" w:rsidR="008F245B" w:rsidRPr="009E6200" w:rsidRDefault="008F245B" w:rsidP="007B46F5">
      <w:pPr>
        <w:pStyle w:val="SDText"/>
        <w:ind w:firstLine="709"/>
        <w:jc w:val="both"/>
        <w:rPr>
          <w:lang w:eastAsia="ru-RU"/>
        </w:rPr>
      </w:pPr>
      <w:r w:rsidRPr="009E6200">
        <w:rPr>
          <w:lang w:eastAsia="ru-RU"/>
        </w:rPr>
        <w:t>С целью подтвердить сходство фармакокинетических свойств и безопасности однократных доз препаратов RPH-001 с посттрансляционной модификацией и Авастин</w:t>
      </w:r>
      <w:r w:rsidR="00121FA5" w:rsidRPr="009E6200">
        <w:rPr>
          <w:vertAlign w:val="superscript"/>
          <w:lang w:eastAsia="ru-RU"/>
        </w:rPr>
        <w:t>®</w:t>
      </w:r>
      <w:r w:rsidRPr="009E6200">
        <w:rPr>
          <w:lang w:eastAsia="ru-RU"/>
        </w:rPr>
        <w:t xml:space="preserve"> у здоровых мужчин-добровольцев в двойном слепом рандомизированном сравнительном, в параллельных группах, клиническом исследовании фармакокинетики, безопасности и переносимости препаратов RPH-001 (АО «Р-Фарм», Россия) и Авастин</w:t>
      </w:r>
      <w:r w:rsidR="00121FA5" w:rsidRPr="009E6200">
        <w:rPr>
          <w:vertAlign w:val="superscript"/>
          <w:lang w:eastAsia="ru-RU"/>
        </w:rPr>
        <w:t>®</w:t>
      </w:r>
      <w:r w:rsidRPr="009E6200">
        <w:rPr>
          <w:lang w:eastAsia="ru-RU"/>
        </w:rPr>
        <w:t xml:space="preserve"> (Ф. Хоффманн-Ля Рош Лтд., Швейцария) после однократного </w:t>
      </w:r>
      <w:r w:rsidR="00D21119" w:rsidRPr="009E6200">
        <w:rPr>
          <w:lang w:eastAsia="ru-RU"/>
        </w:rPr>
        <w:t>внутривенного</w:t>
      </w:r>
      <w:r w:rsidRPr="009E6200">
        <w:rPr>
          <w:lang w:eastAsia="ru-RU"/>
        </w:rPr>
        <w:t xml:space="preserve"> введения дозы 5 мг/кг </w:t>
      </w:r>
      <w:r w:rsidR="00B50FF4" w:rsidRPr="009E6200">
        <w:rPr>
          <w:lang w:eastAsia="ru-RU"/>
        </w:rPr>
        <w:t>у здоровых добровольцев.</w:t>
      </w:r>
    </w:p>
    <w:p w14:paraId="7CC88F25" w14:textId="4F0F19CD" w:rsidR="00C42341" w:rsidRDefault="002C2B6E" w:rsidP="007B46F5">
      <w:pPr>
        <w:pStyle w:val="SDText"/>
        <w:ind w:firstLine="709"/>
        <w:jc w:val="both"/>
        <w:rPr>
          <w:lang w:eastAsia="ru-RU"/>
        </w:rPr>
      </w:pPr>
      <w:r w:rsidRPr="009E6200">
        <w:rPr>
          <w:lang w:val="en-US"/>
        </w:rPr>
        <w:t>C</w:t>
      </w:r>
      <w:r w:rsidRPr="009E6200">
        <w:t>ходство фармакокинетических свойств и безопасности однократных доз препаратов RPH-001 с посттрансляционной модификацией и Авастин</w:t>
      </w:r>
      <w:r w:rsidR="00121FA5" w:rsidRPr="009E6200">
        <w:rPr>
          <w:vertAlign w:val="superscript"/>
          <w:lang w:eastAsia="ru-RU"/>
        </w:rPr>
        <w:t>®</w:t>
      </w:r>
      <w:r w:rsidRPr="009E6200">
        <w:t xml:space="preserve"> у здоровых мужчин-добровольцев было подтверждено в двойном слепом рандомизированном сравнительном, в параллельных группах, клиническом исследовании </w:t>
      </w:r>
      <w:r w:rsidRPr="009E6200">
        <w:rPr>
          <w:rFonts w:eastAsia="Calibri"/>
          <w:lang w:eastAsia="de-DE"/>
        </w:rPr>
        <w:t>фармакокинетики, безопасности</w:t>
      </w:r>
      <w:r w:rsidRPr="009E6200">
        <w:rPr>
          <w:rFonts w:ascii="Calibri Light" w:eastAsia="Calibri" w:hAnsi="Calibri Light"/>
          <w:lang w:eastAsia="de-DE"/>
        </w:rPr>
        <w:t xml:space="preserve"> </w:t>
      </w:r>
      <w:r w:rsidRPr="009E6200">
        <w:t>и переносимости</w:t>
      </w:r>
      <w:r w:rsidRPr="009E6200">
        <w:rPr>
          <w:rFonts w:ascii="Calibri Light" w:eastAsia="Calibri" w:hAnsi="Calibri Light"/>
          <w:lang w:eastAsia="de-DE"/>
        </w:rPr>
        <w:t xml:space="preserve"> </w:t>
      </w:r>
      <w:r w:rsidRPr="009E6200">
        <w:t xml:space="preserve"> препаратов RPH-001 (АО «Р-Фарм», Россия) и Авастин</w:t>
      </w:r>
      <w:r w:rsidR="00121FA5" w:rsidRPr="009E6200">
        <w:rPr>
          <w:vertAlign w:val="superscript"/>
          <w:lang w:eastAsia="ru-RU"/>
        </w:rPr>
        <w:t>®</w:t>
      </w:r>
      <w:r w:rsidRPr="009E6200">
        <w:t xml:space="preserve"> (Ф. Хоффманн-Ля Рош Лтд., Швейцария) после однократного в/в  введения дозы 5 мг/кг  у здоровых добровольцев</w:t>
      </w:r>
      <w:r w:rsidR="008F245B" w:rsidRPr="009E6200">
        <w:rPr>
          <w:lang w:eastAsia="ru-RU"/>
        </w:rPr>
        <w:t>.</w:t>
      </w:r>
    </w:p>
    <w:p w14:paraId="115D9EA0" w14:textId="77777777" w:rsidR="00BB6320" w:rsidRPr="009E6200" w:rsidRDefault="00BB6320" w:rsidP="007B46F5">
      <w:pPr>
        <w:pStyle w:val="SDText"/>
        <w:ind w:firstLine="709"/>
        <w:jc w:val="both"/>
        <w:rPr>
          <w:lang w:eastAsia="ru-RU"/>
        </w:rPr>
      </w:pPr>
    </w:p>
    <w:p w14:paraId="35287534" w14:textId="0303403D" w:rsidR="0075760D" w:rsidRPr="009E6200" w:rsidRDefault="00894BCC" w:rsidP="007B46F5">
      <w:pPr>
        <w:pStyle w:val="Heading2"/>
      </w:pPr>
      <w:bookmarkStart w:id="109" w:name="_Toc120865236"/>
      <w:r w:rsidRPr="009E6200">
        <w:t>Нормативно-правовая база для проведения клинического исследования</w:t>
      </w:r>
      <w:bookmarkEnd w:id="109"/>
    </w:p>
    <w:p w14:paraId="1E73CC0A" w14:textId="77777777" w:rsidR="00BB6320" w:rsidRDefault="00BB6320" w:rsidP="007B46F5">
      <w:pPr>
        <w:pStyle w:val="SDText"/>
        <w:jc w:val="both"/>
        <w:rPr>
          <w:lang w:eastAsia="ru-RU"/>
        </w:rPr>
      </w:pPr>
    </w:p>
    <w:p w14:paraId="6C2521FB" w14:textId="6C1113E3" w:rsidR="00814476" w:rsidRPr="009E6200" w:rsidRDefault="00814476" w:rsidP="007B46F5">
      <w:pPr>
        <w:pStyle w:val="SDText"/>
        <w:ind w:firstLine="709"/>
        <w:jc w:val="both"/>
        <w:rPr>
          <w:lang w:eastAsia="ru-RU"/>
        </w:rPr>
      </w:pPr>
      <w:r w:rsidRPr="009E6200">
        <w:rPr>
          <w:lang w:eastAsia="ru-RU"/>
        </w:rPr>
        <w:t>Настоящий документ является протоколом клинического исследования, проведение которого планируется в соответствии с принципами Хельсинкской Декларации Всемирной Медицинской Ассоциации (ВМА) (принята на 18 Ассамблее ВМА в Хельсинки в июне 1964 г., последняя редакция утверждена на 64 Ассамблее в г. Форталеза в октябре 2013 г.), трехсторонним соглашением по Надлежащей Клинической Практике (</w:t>
      </w:r>
      <w:r w:rsidRPr="009E6200">
        <w:rPr>
          <w:lang w:val="en-US" w:eastAsia="ru-RU"/>
        </w:rPr>
        <w:t>G</w:t>
      </w:r>
      <w:r w:rsidRPr="009E6200">
        <w:rPr>
          <w:lang w:eastAsia="ru-RU"/>
        </w:rPr>
        <w:t xml:space="preserve">ood </w:t>
      </w:r>
      <w:r w:rsidRPr="009E6200">
        <w:rPr>
          <w:lang w:val="en-US" w:eastAsia="ru-RU"/>
        </w:rPr>
        <w:t>C</w:t>
      </w:r>
      <w:r w:rsidRPr="009E6200">
        <w:rPr>
          <w:lang w:eastAsia="ru-RU"/>
        </w:rPr>
        <w:t xml:space="preserve">linical </w:t>
      </w:r>
      <w:r w:rsidRPr="009E6200">
        <w:rPr>
          <w:lang w:val="en-US" w:eastAsia="ru-RU"/>
        </w:rPr>
        <w:t>P</w:t>
      </w:r>
      <w:r w:rsidRPr="009E6200">
        <w:rPr>
          <w:lang w:eastAsia="ru-RU"/>
        </w:rPr>
        <w:t>ractice, GCP), принятым международн</w:t>
      </w:r>
      <w:r w:rsidR="00D64D1A">
        <w:rPr>
          <w:lang w:eastAsia="ru-RU"/>
        </w:rPr>
        <w:t>ым</w:t>
      </w:r>
      <w:r w:rsidRPr="009E6200">
        <w:rPr>
          <w:lang w:eastAsia="ru-RU"/>
        </w:rPr>
        <w:t xml:space="preserve"> </w:t>
      </w:r>
      <w:r w:rsidR="00D64D1A">
        <w:rPr>
          <w:lang w:eastAsia="ru-RU"/>
        </w:rPr>
        <w:t>советом</w:t>
      </w:r>
      <w:r w:rsidR="00D64D1A" w:rsidRPr="009E6200">
        <w:rPr>
          <w:lang w:eastAsia="ru-RU"/>
        </w:rPr>
        <w:t xml:space="preserve"> </w:t>
      </w:r>
      <w:r w:rsidRPr="009E6200">
        <w:rPr>
          <w:lang w:eastAsia="ru-RU"/>
        </w:rPr>
        <w:t>по гармонизации (</w:t>
      </w:r>
      <w:r w:rsidR="00D64D1A" w:rsidRPr="00D64D1A">
        <w:rPr>
          <w:lang w:eastAsia="ru-RU"/>
        </w:rPr>
        <w:t>International Council for Harmonisation</w:t>
      </w:r>
      <w:r w:rsidRPr="009E6200">
        <w:rPr>
          <w:lang w:eastAsia="ru-RU"/>
        </w:rPr>
        <w:t xml:space="preserve">, </w:t>
      </w:r>
      <w:r w:rsidRPr="009E6200">
        <w:rPr>
          <w:lang w:val="en-US" w:eastAsia="ru-RU"/>
        </w:rPr>
        <w:t>ICH</w:t>
      </w:r>
      <w:r w:rsidRPr="009E6200">
        <w:rPr>
          <w:lang w:eastAsia="ru-RU"/>
        </w:rPr>
        <w:t xml:space="preserve"> </w:t>
      </w:r>
      <w:r w:rsidR="00144AF1">
        <w:rPr>
          <w:lang w:val="en-US" w:eastAsia="ru-RU"/>
        </w:rPr>
        <w:t>GCP</w:t>
      </w:r>
      <w:r w:rsidR="00144AF1" w:rsidRPr="00004968">
        <w:rPr>
          <w:lang w:eastAsia="ru-RU"/>
        </w:rPr>
        <w:t xml:space="preserve"> </w:t>
      </w:r>
      <w:r w:rsidRPr="009E6200">
        <w:rPr>
          <w:lang w:eastAsia="ru-RU"/>
        </w:rPr>
        <w:t>E6(R2) от 09.11.2016 г.) и регламентируется действующим законодательством ЕАЭС и РФ:</w:t>
      </w:r>
    </w:p>
    <w:p w14:paraId="67958F12" w14:textId="77777777" w:rsidR="00814476" w:rsidRPr="009E6200" w:rsidRDefault="00814476" w:rsidP="007B46F5">
      <w:pPr>
        <w:pStyle w:val="SDText"/>
        <w:numPr>
          <w:ilvl w:val="0"/>
          <w:numId w:val="3"/>
        </w:numPr>
        <w:ind w:left="567" w:hanging="283"/>
        <w:jc w:val="both"/>
        <w:rPr>
          <w:lang w:eastAsia="ru-RU"/>
        </w:rPr>
      </w:pPr>
      <w:r w:rsidRPr="009E6200">
        <w:rPr>
          <w:lang w:eastAsia="ru-RU"/>
        </w:rPr>
        <w:t>Правилами регистрации и экспертизы лекарственных средств для медицинского применения (утверждены Решением Совета Евразийской экономической комиссии от 3 ноября 2016 г. № 78);</w:t>
      </w:r>
    </w:p>
    <w:p w14:paraId="6F9E8D2A" w14:textId="77777777" w:rsidR="00814476" w:rsidRPr="009E6200" w:rsidRDefault="00814476" w:rsidP="007B46F5">
      <w:pPr>
        <w:pStyle w:val="SDText"/>
        <w:numPr>
          <w:ilvl w:val="0"/>
          <w:numId w:val="3"/>
        </w:numPr>
        <w:ind w:left="567" w:hanging="283"/>
        <w:jc w:val="both"/>
        <w:rPr>
          <w:lang w:eastAsia="ru-RU"/>
        </w:rPr>
      </w:pPr>
      <w:r w:rsidRPr="009E6200">
        <w:rPr>
          <w:lang w:eastAsia="ru-RU"/>
        </w:rPr>
        <w:t>Правилами надлежащей клинической практики ЕАЭС (утверждены Решением Совета Евразийской экономической комиссии от 3 ноября 2016 г. № 79);</w:t>
      </w:r>
    </w:p>
    <w:p w14:paraId="309A661E" w14:textId="77777777" w:rsidR="00CF038A" w:rsidRPr="009E6200" w:rsidRDefault="00605CDC" w:rsidP="007B46F5">
      <w:pPr>
        <w:pStyle w:val="SDText"/>
        <w:numPr>
          <w:ilvl w:val="0"/>
          <w:numId w:val="3"/>
        </w:numPr>
        <w:ind w:left="567" w:hanging="283"/>
        <w:jc w:val="both"/>
        <w:rPr>
          <w:lang w:eastAsia="ru-RU"/>
        </w:rPr>
      </w:pPr>
      <w:r w:rsidRPr="009E6200">
        <w:rPr>
          <w:lang w:eastAsia="ru-RU"/>
        </w:rPr>
        <w:t>Правилами проведения исследований биологических лекарственных средств ЕАЭС (утверждены Решением Совета Евразийской экономической комиссии от 03 ноября 2016 года № 89);</w:t>
      </w:r>
    </w:p>
    <w:p w14:paraId="2E4C4911" w14:textId="77777777" w:rsidR="00814476" w:rsidRPr="009E6200" w:rsidRDefault="00814476" w:rsidP="007B46F5">
      <w:pPr>
        <w:pStyle w:val="SDText"/>
        <w:numPr>
          <w:ilvl w:val="0"/>
          <w:numId w:val="3"/>
        </w:numPr>
        <w:ind w:left="567" w:hanging="283"/>
        <w:jc w:val="both"/>
        <w:rPr>
          <w:lang w:eastAsia="ru-RU"/>
        </w:rPr>
      </w:pPr>
      <w:r w:rsidRPr="009E6200">
        <w:rPr>
          <w:lang w:eastAsia="ru-RU"/>
        </w:rPr>
        <w:t>Федеральным законом от 12.04.2010 г. № 61-ФЗ «Об обращении лекарственных средств» (в действующей редакции);</w:t>
      </w:r>
    </w:p>
    <w:p w14:paraId="3F9BE58C" w14:textId="77777777" w:rsidR="00814476" w:rsidRPr="009E6200" w:rsidRDefault="00814476" w:rsidP="007B46F5">
      <w:pPr>
        <w:pStyle w:val="SDText"/>
        <w:numPr>
          <w:ilvl w:val="0"/>
          <w:numId w:val="3"/>
        </w:numPr>
        <w:ind w:left="567" w:hanging="283"/>
        <w:jc w:val="both"/>
        <w:rPr>
          <w:lang w:eastAsia="ru-RU"/>
        </w:rPr>
      </w:pPr>
      <w:r w:rsidRPr="009E6200">
        <w:rPr>
          <w:lang w:eastAsia="ru-RU"/>
        </w:rPr>
        <w:t>Федеральным законом от 27.07.2006 г. № 152-ФЗ «О персональных данных» (в действующей редакции);</w:t>
      </w:r>
    </w:p>
    <w:p w14:paraId="5AC1F390" w14:textId="77777777" w:rsidR="00814476" w:rsidRPr="009E6200" w:rsidRDefault="00814476" w:rsidP="007B46F5">
      <w:pPr>
        <w:pStyle w:val="SDText"/>
        <w:numPr>
          <w:ilvl w:val="0"/>
          <w:numId w:val="3"/>
        </w:numPr>
        <w:ind w:left="567" w:hanging="283"/>
        <w:jc w:val="both"/>
        <w:rPr>
          <w:lang w:eastAsia="ru-RU"/>
        </w:rPr>
      </w:pPr>
      <w:r w:rsidRPr="009E6200">
        <w:rPr>
          <w:lang w:eastAsia="ru-RU"/>
        </w:rPr>
        <w:t>Приказом Минздрава РФ от 1 апреля 2016 г. № 200н «Об утверждении Правил надлежащей клинической практики»;</w:t>
      </w:r>
    </w:p>
    <w:p w14:paraId="5DA9D4FF" w14:textId="77777777" w:rsidR="00814476" w:rsidRPr="009E6200" w:rsidRDefault="00814476" w:rsidP="007B46F5">
      <w:pPr>
        <w:pStyle w:val="SDText"/>
        <w:numPr>
          <w:ilvl w:val="0"/>
          <w:numId w:val="3"/>
        </w:numPr>
        <w:ind w:left="567" w:hanging="283"/>
        <w:jc w:val="both"/>
        <w:rPr>
          <w:lang w:eastAsia="ru-RU"/>
        </w:rPr>
      </w:pPr>
      <w:r w:rsidRPr="009E6200">
        <w:rPr>
          <w:lang w:eastAsia="ru-RU"/>
        </w:rPr>
        <w:t>Национальным стандартом РФ ГОСТ Р52379-2005 «Надлежащая клиническая практика»;</w:t>
      </w:r>
    </w:p>
    <w:p w14:paraId="575D13E0" w14:textId="77777777" w:rsidR="00814476" w:rsidRPr="009E6200" w:rsidRDefault="00814476" w:rsidP="007B46F5">
      <w:pPr>
        <w:pStyle w:val="SDText"/>
        <w:numPr>
          <w:ilvl w:val="0"/>
          <w:numId w:val="3"/>
        </w:numPr>
        <w:ind w:left="567" w:hanging="283"/>
        <w:jc w:val="both"/>
        <w:rPr>
          <w:lang w:eastAsia="ru-RU"/>
        </w:rPr>
      </w:pPr>
      <w:r w:rsidRPr="009E6200">
        <w:rPr>
          <w:lang w:eastAsia="ru-RU"/>
        </w:rPr>
        <w:t>Постановлением Правительства РФ № 714 от 13.09.2010 г. (в действующей редакции) «Об утверждении типовых правил обязательного страхования жизни и здоровья пациента, участвующего в клинических исследованиях лекарственного препарата»;</w:t>
      </w:r>
    </w:p>
    <w:p w14:paraId="28D05F07" w14:textId="77777777" w:rsidR="00814476" w:rsidRPr="009E6200" w:rsidRDefault="00814476" w:rsidP="007B46F5">
      <w:pPr>
        <w:pStyle w:val="SDText"/>
        <w:numPr>
          <w:ilvl w:val="0"/>
          <w:numId w:val="3"/>
        </w:numPr>
        <w:ind w:left="567" w:hanging="283"/>
        <w:jc w:val="both"/>
        <w:rPr>
          <w:lang w:eastAsia="ru-RU"/>
        </w:rPr>
      </w:pPr>
      <w:r w:rsidRPr="009E6200">
        <w:rPr>
          <w:lang w:eastAsia="ru-RU"/>
        </w:rPr>
        <w:t>Приказом Минздрава РФ от 29 ноября 2012 г. № 986н «Об утверждении Положения о Совете по этике»;</w:t>
      </w:r>
    </w:p>
    <w:p w14:paraId="4129705C" w14:textId="4B9C5C68" w:rsidR="00814476" w:rsidRDefault="00814476" w:rsidP="007B46F5">
      <w:pPr>
        <w:pStyle w:val="SDText"/>
        <w:numPr>
          <w:ilvl w:val="0"/>
          <w:numId w:val="3"/>
        </w:numPr>
        <w:ind w:left="567" w:hanging="283"/>
        <w:jc w:val="both"/>
        <w:rPr>
          <w:lang w:eastAsia="ru-RU"/>
        </w:rPr>
      </w:pPr>
      <w:r w:rsidRPr="009E6200">
        <w:rPr>
          <w:lang w:eastAsia="ru-RU"/>
        </w:rPr>
        <w:t>Приказом МЗ РФ от 7 мая 2018 г. № 202н «Об утверждении Порядка размещения информации о составе Совета по этике, планах его работы и текущей деятельности на официальном сайте МЗ РФ в информационно-телекоммуникационной сети "Интернет"».</w:t>
      </w:r>
    </w:p>
    <w:p w14:paraId="3B4B6AB3" w14:textId="44E67AF0" w:rsidR="008D5EC6" w:rsidRPr="00BB6320" w:rsidRDefault="008D5EC6" w:rsidP="007B46F5">
      <w:pPr>
        <w:jc w:val="both"/>
        <w:rPr>
          <w:rFonts w:eastAsiaTheme="majorEastAsia" w:cstheme="majorBidi"/>
          <w:b/>
          <w:szCs w:val="24"/>
        </w:rPr>
      </w:pPr>
      <w:bookmarkStart w:id="110" w:name="_Ref458690731"/>
      <w:bookmarkEnd w:id="49"/>
    </w:p>
    <w:p w14:paraId="4018D628" w14:textId="77777777" w:rsidR="00992857" w:rsidRDefault="00992857" w:rsidP="007B46F5">
      <w:pPr>
        <w:pStyle w:val="Heading1"/>
        <w:spacing w:before="0" w:after="0" w:line="240" w:lineRule="auto"/>
        <w:jc w:val="both"/>
        <w:rPr>
          <w:color w:val="auto"/>
          <w:sz w:val="28"/>
          <w:szCs w:val="28"/>
        </w:rPr>
        <w:sectPr w:rsidR="00992857" w:rsidSect="00513782">
          <w:footerReference w:type="default" r:id="rId20"/>
          <w:pgSz w:w="11906" w:h="16838"/>
          <w:pgMar w:top="1134" w:right="850" w:bottom="1134" w:left="1701" w:header="708" w:footer="708" w:gutter="0"/>
          <w:cols w:space="708"/>
          <w:docGrid w:linePitch="360"/>
        </w:sectPr>
      </w:pPr>
    </w:p>
    <w:p w14:paraId="57492713" w14:textId="12938317" w:rsidR="00EF25E9" w:rsidRPr="00992857" w:rsidRDefault="00B03DAD" w:rsidP="007B46F5">
      <w:pPr>
        <w:pStyle w:val="Heading1"/>
        <w:spacing w:before="0" w:after="0" w:line="240" w:lineRule="auto"/>
        <w:jc w:val="both"/>
        <w:rPr>
          <w:color w:val="auto"/>
          <w:sz w:val="28"/>
          <w:szCs w:val="28"/>
        </w:rPr>
      </w:pPr>
      <w:bookmarkStart w:id="111" w:name="_Toc120865237"/>
      <w:r w:rsidRPr="00992857">
        <w:rPr>
          <w:color w:val="auto"/>
          <w:sz w:val="28"/>
          <w:szCs w:val="28"/>
        </w:rPr>
        <w:t>Цели и задачи клинического исследования</w:t>
      </w:r>
      <w:bookmarkEnd w:id="111"/>
    </w:p>
    <w:p w14:paraId="2C6CD9C6" w14:textId="77777777" w:rsidR="008D5EC6" w:rsidRPr="009E6200" w:rsidRDefault="008D5EC6" w:rsidP="007B46F5">
      <w:pPr>
        <w:pStyle w:val="SDText"/>
        <w:jc w:val="both"/>
        <w:rPr>
          <w:b/>
        </w:rPr>
      </w:pPr>
    </w:p>
    <w:p w14:paraId="66EB3A8C" w14:textId="77777777" w:rsidR="001F6468" w:rsidRPr="009E6200" w:rsidRDefault="00586AE4" w:rsidP="007B46F5">
      <w:pPr>
        <w:pStyle w:val="SDText"/>
        <w:jc w:val="both"/>
      </w:pPr>
      <w:r w:rsidRPr="009E6200">
        <w:rPr>
          <w:b/>
        </w:rPr>
        <w:t>Цель исследования</w:t>
      </w:r>
      <w:r w:rsidRPr="009E6200">
        <w:t>:</w:t>
      </w:r>
    </w:p>
    <w:p w14:paraId="693200D9" w14:textId="77777777" w:rsidR="008D5EC6" w:rsidRPr="009E6200" w:rsidRDefault="008D5EC6" w:rsidP="007B46F5">
      <w:pPr>
        <w:pStyle w:val="SDText"/>
        <w:jc w:val="both"/>
      </w:pPr>
    </w:p>
    <w:p w14:paraId="3E576591" w14:textId="24B849C4" w:rsidR="001364C7" w:rsidRPr="009E6200" w:rsidRDefault="001F6468" w:rsidP="007B46F5">
      <w:pPr>
        <w:pStyle w:val="SDText"/>
        <w:ind w:firstLine="709"/>
        <w:jc w:val="both"/>
      </w:pPr>
      <w:r w:rsidRPr="009E6200">
        <w:fldChar w:fldCharType="begin"/>
      </w:r>
      <w:r w:rsidRPr="009E6200">
        <w:instrText xml:space="preserve"> REF OLE_LINK_Celi \h </w:instrText>
      </w:r>
      <w:r w:rsidR="009E6200">
        <w:instrText xml:space="preserve"> \* MERGEFORMAT </w:instrText>
      </w:r>
      <w:r w:rsidRPr="009E6200">
        <w:fldChar w:fldCharType="separate"/>
      </w:r>
      <w:sdt>
        <w:sdtPr>
          <w:rPr>
            <w:lang w:eastAsia="ru-RU"/>
          </w:rPr>
          <w:alias w:val="Цель исследования"/>
          <w:tag w:val="Цель исследования"/>
          <w:id w:val="-1779323756"/>
          <w:placeholder>
            <w:docPart w:val="DEAB425185044F7DA70EB1C1FCDC50D3"/>
          </w:placeholder>
        </w:sdtPr>
        <w:sdtEndPr/>
        <w:sdtContent>
          <w:sdt>
            <w:sdtPr>
              <w:rPr>
                <w:lang w:eastAsia="ru-RU"/>
              </w:rPr>
              <w:alias w:val="Цель исследования"/>
              <w:tag w:val="Цель исследования"/>
              <w:id w:val="50198908"/>
              <w:placeholder>
                <w:docPart w:val="274D9268D5D34B52ADD036FB6FBEB8DF"/>
              </w:placeholder>
            </w:sdtPr>
            <w:sdtEndPr/>
            <w:sdtContent>
              <w:sdt>
                <w:sdtPr>
                  <w:rPr>
                    <w:lang w:eastAsia="ru-RU"/>
                  </w:rPr>
                  <w:alias w:val="Цель исследования"/>
                  <w:tag w:val="Цель исследования"/>
                  <w:id w:val="-2005188196"/>
                  <w:placeholder>
                    <w:docPart w:val="0A731B5D98BD4E1491678898789791D7"/>
                  </w:placeholder>
                </w:sdtPr>
                <w:sdtEndPr/>
                <w:sdtContent>
                  <w:r w:rsidR="005A436A" w:rsidRPr="009E6200">
                    <w:rPr>
                      <w:lang w:eastAsia="ru-RU"/>
                    </w:rPr>
                    <w:t xml:space="preserve">Оценка эффективности и безопасности препарата </w:t>
                  </w:r>
                  <w:r w:rsidR="005A436A" w:rsidRPr="009E6200">
                    <w:t>RPH-001</w:t>
                  </w:r>
                  <w:r w:rsidR="005A436A" w:rsidRPr="009E6200">
                    <w:rPr>
                      <w:lang w:eastAsia="ru-RU"/>
                    </w:rPr>
                    <w:t xml:space="preserve"> в комбинации с карбоплатином и паклитакселом</w:t>
                  </w:r>
                  <w:r w:rsidR="005A436A" w:rsidRPr="009E6200">
                    <w:t xml:space="preserve"> </w:t>
                  </w:r>
                  <w:r w:rsidR="005A436A" w:rsidRPr="009E6200">
                    <w:rPr>
                      <w:lang w:eastAsia="ru-RU"/>
                    </w:rPr>
                    <w:t>в сравнени</w:t>
                  </w:r>
                  <w:r w:rsidR="0024542E">
                    <w:rPr>
                      <w:lang w:eastAsia="ru-RU"/>
                    </w:rPr>
                    <w:t>и с Авастин</w:t>
                  </w:r>
                  <w:r w:rsidR="005A436A" w:rsidRPr="009E6200">
                    <w:rPr>
                      <w:vertAlign w:val="superscript"/>
                      <w:lang w:eastAsia="ru-RU"/>
                    </w:rPr>
                    <w:t>®</w:t>
                  </w:r>
                  <w:r w:rsidR="005A436A" w:rsidRPr="009E6200">
                    <w:rPr>
                      <w:lang w:eastAsia="ru-RU"/>
                    </w:rPr>
                    <w:t xml:space="preserve"> в комбинации с карбоплатином и паклитакселом у пациентов с неплоскоклеточным немелкоклеточным раком легкого (НМРЛ) </w:t>
                  </w:r>
                </w:sdtContent>
              </w:sdt>
            </w:sdtContent>
          </w:sdt>
          <w:r w:rsidR="005A436A" w:rsidRPr="009E6200">
            <w:t xml:space="preserve"> </w:t>
          </w:r>
          <w:r w:rsidR="005A436A" w:rsidRPr="009E6200">
            <w:rPr>
              <w:lang w:eastAsia="ru-RU"/>
            </w:rPr>
            <w:t>стадии IIIB/IV</w:t>
          </w:r>
        </w:sdtContent>
      </w:sdt>
      <w:r w:rsidRPr="009E6200">
        <w:fldChar w:fldCharType="end"/>
      </w:r>
    </w:p>
    <w:p w14:paraId="39E03242" w14:textId="77777777" w:rsidR="008D5EC6" w:rsidRPr="009E6200" w:rsidRDefault="008D5EC6" w:rsidP="007B46F5">
      <w:pPr>
        <w:pStyle w:val="SDText"/>
        <w:jc w:val="both"/>
        <w:rPr>
          <w:b/>
        </w:rPr>
      </w:pPr>
    </w:p>
    <w:p w14:paraId="68F4EBDC" w14:textId="77777777" w:rsidR="007C5E0C" w:rsidRPr="009E6200" w:rsidRDefault="00586AE4" w:rsidP="007B46F5">
      <w:pPr>
        <w:pStyle w:val="SDText"/>
        <w:jc w:val="both"/>
        <w:rPr>
          <w:b/>
        </w:rPr>
      </w:pPr>
      <w:r w:rsidRPr="009E6200">
        <w:rPr>
          <w:b/>
        </w:rPr>
        <w:t>Задачи исследования:</w:t>
      </w:r>
    </w:p>
    <w:p w14:paraId="04A5385B" w14:textId="77777777" w:rsidR="005A436A" w:rsidRDefault="001F6468" w:rsidP="007B46F5">
      <w:pPr>
        <w:pStyle w:val="SDText"/>
        <w:jc w:val="both"/>
      </w:pPr>
      <w:r w:rsidRPr="009E6200">
        <w:fldChar w:fldCharType="begin"/>
      </w:r>
      <w:r w:rsidRPr="009E6200">
        <w:instrText xml:space="preserve"> REF OLE_LINK_Zadachi \h </w:instrText>
      </w:r>
      <w:r w:rsidR="009E6200">
        <w:instrText xml:space="preserve"> \* MERGEFORMAT </w:instrText>
      </w:r>
      <w:r w:rsidRPr="009E6200">
        <w:fldChar w:fldCharType="separate"/>
      </w:r>
    </w:p>
    <w:sdt>
      <w:sdtPr>
        <w:rPr>
          <w:lang w:eastAsia="ru-RU"/>
        </w:rPr>
        <w:alias w:val="Задачи исследования"/>
        <w:tag w:val="Задачи исследования"/>
        <w:id w:val="-1778551358"/>
        <w:placeholder>
          <w:docPart w:val="60414C76FF7448D7A5FD691C62E97D2B"/>
        </w:placeholder>
      </w:sdtPr>
      <w:sdtEndPr/>
      <w:sdtContent>
        <w:p w14:paraId="6F9B519F" w14:textId="0210C2AA" w:rsidR="005A436A" w:rsidRPr="009E6200" w:rsidRDefault="005A436A" w:rsidP="007B46F5">
          <w:pPr>
            <w:pStyle w:val="SDText"/>
            <w:ind w:left="284" w:hanging="284"/>
            <w:jc w:val="both"/>
            <w:rPr>
              <w:lang w:eastAsia="ru-RU"/>
            </w:rPr>
          </w:pPr>
          <w:r w:rsidRPr="005A436A">
            <w:rPr>
              <w:noProof/>
            </w:rPr>
            <w:t>1</w:t>
          </w:r>
          <w:r w:rsidRPr="009E6200">
            <w:rPr>
              <w:noProof/>
            </w:rPr>
            <w:t>.</w:t>
          </w:r>
          <w:r w:rsidRPr="009E6200">
            <w:t xml:space="preserve"> </w:t>
          </w:r>
          <w:r w:rsidRPr="009E6200">
            <w:rPr>
              <w:rFonts w:eastAsia="Times New Roman"/>
              <w:szCs w:val="20"/>
              <w:lang w:eastAsia="ru-RU"/>
            </w:rPr>
            <w:t>Оценка эффективности препарата RPH-001 в комбинации с карбоплатином и пакл</w:t>
          </w:r>
          <w:r w:rsidR="0024542E">
            <w:rPr>
              <w:rFonts w:eastAsia="Times New Roman"/>
              <w:szCs w:val="20"/>
              <w:lang w:eastAsia="ru-RU"/>
            </w:rPr>
            <w:t>итакселом в сравнении с Авастин</w:t>
          </w:r>
          <w:r w:rsidRPr="009E6200">
            <w:rPr>
              <w:rFonts w:eastAsia="Times New Roman"/>
              <w:szCs w:val="20"/>
              <w:vertAlign w:val="superscript"/>
              <w:lang w:eastAsia="ru-RU"/>
            </w:rPr>
            <w:t>®</w:t>
          </w:r>
          <w:r w:rsidRPr="009E6200">
            <w:rPr>
              <w:rFonts w:eastAsia="Times New Roman"/>
              <w:szCs w:val="20"/>
              <w:lang w:eastAsia="ru-RU"/>
            </w:rPr>
            <w:t xml:space="preserve"> в комбинации с карбоплатином и паклитакселом у пациентов с неплоскоклеточным </w:t>
          </w:r>
          <w:r w:rsidRPr="009E6200">
            <w:rPr>
              <w:lang w:eastAsia="ru-RU"/>
            </w:rPr>
            <w:t>немелкоклеточным раком легкого (НМРЛ)  стадии IIIB/IV;</w:t>
          </w:r>
        </w:p>
        <w:p w14:paraId="64747DA5" w14:textId="538E213B" w:rsidR="005A436A" w:rsidRDefault="005A436A" w:rsidP="007B46F5">
          <w:pPr>
            <w:pStyle w:val="SDText"/>
            <w:ind w:left="284" w:hanging="284"/>
            <w:jc w:val="both"/>
            <w:rPr>
              <w:lang w:eastAsia="ru-RU"/>
            </w:rPr>
          </w:pPr>
          <w:r w:rsidRPr="005A436A">
            <w:rPr>
              <w:noProof/>
            </w:rPr>
            <w:t>2</w:t>
          </w:r>
          <w:r w:rsidRPr="009E6200">
            <w:rPr>
              <w:noProof/>
            </w:rPr>
            <w:t>.</w:t>
          </w:r>
          <w:r w:rsidRPr="009E6200">
            <w:t xml:space="preserve"> </w:t>
          </w:r>
          <w:r w:rsidRPr="009E6200">
            <w:rPr>
              <w:lang w:eastAsia="ru-RU"/>
            </w:rPr>
            <w:t>Оценка безопасности препарата RPH-001 в комбинации с карбоплатином и пакли</w:t>
          </w:r>
          <w:r w:rsidR="0024542E">
            <w:rPr>
              <w:lang w:eastAsia="ru-RU"/>
            </w:rPr>
            <w:t>такселом в сравнении с Авастин</w:t>
          </w:r>
          <w:r w:rsidRPr="009E6200">
            <w:rPr>
              <w:vertAlign w:val="superscript"/>
              <w:lang w:eastAsia="ru-RU"/>
            </w:rPr>
            <w:t>®</w:t>
          </w:r>
          <w:r w:rsidRPr="009E6200">
            <w:rPr>
              <w:lang w:eastAsia="ru-RU"/>
            </w:rPr>
            <w:t xml:space="preserve"> в комбинации с карбоплатином и паклитакселом у пациентов с неплоскоклеточным немелкоклеточным раком легкого (НМРЛ)  стадии IIIB/IV</w:t>
          </w:r>
          <w:r>
            <w:rPr>
              <w:b/>
              <w:lang w:eastAsia="ru-RU"/>
            </w:rPr>
            <w:t>.</w:t>
          </w:r>
        </w:p>
      </w:sdtContent>
    </w:sdt>
    <w:p w14:paraId="3A181541" w14:textId="28BFE302" w:rsidR="00586AE4" w:rsidRPr="009E6200" w:rsidRDefault="001F6468" w:rsidP="007B46F5">
      <w:pPr>
        <w:pStyle w:val="SDText"/>
        <w:jc w:val="both"/>
      </w:pPr>
      <w:r w:rsidRPr="009E6200">
        <w:rPr>
          <w:b/>
        </w:rPr>
        <w:fldChar w:fldCharType="end"/>
      </w:r>
    </w:p>
    <w:p w14:paraId="48F42A71" w14:textId="77777777" w:rsidR="00E55988" w:rsidRPr="009E6200" w:rsidRDefault="00E55988" w:rsidP="007B46F5">
      <w:pPr>
        <w:jc w:val="both"/>
        <w:rPr>
          <w:rFonts w:eastAsiaTheme="majorEastAsia" w:cstheme="majorBidi"/>
          <w:b/>
          <w:sz w:val="32"/>
          <w:szCs w:val="32"/>
        </w:rPr>
      </w:pPr>
      <w:r w:rsidRPr="009E6200">
        <w:br w:type="page"/>
      </w:r>
    </w:p>
    <w:p w14:paraId="5A0D03FF" w14:textId="05357424" w:rsidR="00586AE4" w:rsidRPr="00992857" w:rsidRDefault="00B03DAD" w:rsidP="007B46F5">
      <w:pPr>
        <w:pStyle w:val="Heading1"/>
        <w:spacing w:before="0" w:after="0" w:line="240" w:lineRule="auto"/>
        <w:jc w:val="both"/>
        <w:rPr>
          <w:color w:val="auto"/>
          <w:sz w:val="28"/>
          <w:szCs w:val="28"/>
        </w:rPr>
      </w:pPr>
      <w:bookmarkStart w:id="112" w:name="_Toc120865238"/>
      <w:r w:rsidRPr="00992857">
        <w:rPr>
          <w:color w:val="auto"/>
          <w:sz w:val="28"/>
          <w:szCs w:val="28"/>
        </w:rPr>
        <w:t>Описание общего плана (дизайна) клинического исследования</w:t>
      </w:r>
      <w:bookmarkEnd w:id="112"/>
    </w:p>
    <w:p w14:paraId="6EB54E62" w14:textId="77777777" w:rsidR="00BB6320" w:rsidRPr="00BB6320" w:rsidRDefault="00BB6320" w:rsidP="007B46F5"/>
    <w:p w14:paraId="405F2A66" w14:textId="0213B652" w:rsidR="00B03DAD" w:rsidRDefault="00B03DAD" w:rsidP="007B46F5">
      <w:pPr>
        <w:pStyle w:val="Heading2"/>
      </w:pPr>
      <w:bookmarkStart w:id="113" w:name="_Toc120865239"/>
      <w:r w:rsidRPr="009E6200">
        <w:t>Основные и дополнительные исследуемые параметры</w:t>
      </w:r>
      <w:bookmarkEnd w:id="113"/>
    </w:p>
    <w:p w14:paraId="494625C1" w14:textId="77777777" w:rsidR="00BB6320" w:rsidRPr="00BB6320" w:rsidRDefault="00BB6320" w:rsidP="007B46F5">
      <w:pPr>
        <w:pStyle w:val="SDText"/>
        <w:rPr>
          <w:lang w:eastAsia="ru-RU"/>
        </w:rPr>
      </w:pPr>
    </w:p>
    <w:p w14:paraId="23EC2946" w14:textId="77777777" w:rsidR="00BB6320" w:rsidRDefault="001F6468" w:rsidP="007B46F5">
      <w:pPr>
        <w:jc w:val="both"/>
        <w:rPr>
          <w:b/>
          <w:i/>
          <w:lang w:eastAsia="ru-RU" w:bidi="ru-RU"/>
        </w:rPr>
      </w:pPr>
      <w:r w:rsidRPr="009E6200">
        <w:rPr>
          <w:b/>
          <w:i/>
          <w:lang w:eastAsia="ru-RU" w:bidi="ru-RU"/>
        </w:rPr>
        <w:t>Основные параметры эффективности:</w:t>
      </w:r>
    </w:p>
    <w:p w14:paraId="246BCD06" w14:textId="12C17D2F" w:rsidR="005A436A" w:rsidRDefault="003D5061" w:rsidP="007B46F5">
      <w:pPr>
        <w:jc w:val="both"/>
        <w:rPr>
          <w:lang w:eastAsia="ru-RU" w:bidi="ru-RU"/>
        </w:rPr>
      </w:pPr>
      <w:r w:rsidRPr="009E6200">
        <w:rPr>
          <w:lang w:eastAsia="ru-RU" w:bidi="ru-RU"/>
        </w:rPr>
        <w:fldChar w:fldCharType="begin"/>
      </w:r>
      <w:r w:rsidRPr="009E6200">
        <w:rPr>
          <w:lang w:eastAsia="ru-RU" w:bidi="ru-RU"/>
        </w:rPr>
        <w:instrText xml:space="preserve"> REF OLE_LINK_Parametru_effectivnosti \h </w:instrText>
      </w:r>
      <w:r w:rsidR="009E6200">
        <w:rPr>
          <w:lang w:eastAsia="ru-RU" w:bidi="ru-RU"/>
        </w:rPr>
        <w:instrText xml:space="preserve"> \* MERGEFORMAT </w:instrText>
      </w:r>
      <w:r w:rsidRPr="009E6200">
        <w:rPr>
          <w:lang w:eastAsia="ru-RU" w:bidi="ru-RU"/>
        </w:rPr>
      </w:r>
      <w:r w:rsidRPr="009E6200">
        <w:rPr>
          <w:lang w:eastAsia="ru-RU" w:bidi="ru-RU"/>
        </w:rPr>
        <w:fldChar w:fldCharType="separate"/>
      </w:r>
    </w:p>
    <w:sdt>
      <w:sdtPr>
        <w:rPr>
          <w:lang w:eastAsia="ru-RU" w:bidi="ru-RU"/>
        </w:rPr>
        <w:alias w:val="Параметры эффективности"/>
        <w:tag w:val="Параметры эффективности"/>
        <w:id w:val="-686060752"/>
        <w:placeholder>
          <w:docPart w:val="86257A7B376F49EBB0BFB6B58408C479"/>
        </w:placeholder>
      </w:sdtPr>
      <w:sdtEndPr/>
      <w:sdtContent>
        <w:p w14:paraId="2AF9836B" w14:textId="1D2D4E28" w:rsidR="005A436A" w:rsidRDefault="005A436A" w:rsidP="007B46F5">
          <w:pPr>
            <w:jc w:val="both"/>
            <w:rPr>
              <w:b/>
              <w:bCs/>
              <w:lang w:eastAsia="ru-RU" w:bidi="ru-RU"/>
            </w:rPr>
          </w:pPr>
          <w:r w:rsidRPr="009E6200">
            <w:rPr>
              <w:b/>
              <w:bCs/>
              <w:lang w:eastAsia="ru-RU" w:bidi="ru-RU"/>
            </w:rPr>
            <w:t>Первичная конечная точка:</w:t>
          </w:r>
        </w:p>
        <w:p w14:paraId="6E5B3217" w14:textId="77777777" w:rsidR="005A436A" w:rsidRPr="009E6200" w:rsidRDefault="005A436A" w:rsidP="007B46F5">
          <w:pPr>
            <w:jc w:val="both"/>
            <w:rPr>
              <w:b/>
              <w:bCs/>
              <w:lang w:eastAsia="ru-RU" w:bidi="ru-RU"/>
            </w:rPr>
          </w:pPr>
          <w:r w:rsidRPr="009E6200">
            <w:rPr>
              <w:lang w:eastAsia="ru-RU" w:bidi="ru-RU"/>
            </w:rPr>
            <w:t>Частота объективного ответа (определяемое как достижение полного или частичного ответа по критериям RECIST 1.1) через 6 месяцев, выраженная в виде относительного риска (частота объективного ответа в группе исследуемого препарата, поделенная на частоту объективного ответа в группе препарата сравнения)</w:t>
          </w:r>
          <w:r w:rsidRPr="005A436A">
            <w:rPr>
              <w:b/>
              <w:bCs/>
              <w:lang w:eastAsia="ru-RU" w:bidi="ru-RU"/>
            </w:rPr>
            <w:t>.</w:t>
          </w:r>
        </w:p>
        <w:p w14:paraId="20E92EC3" w14:textId="77777777" w:rsidR="00992857" w:rsidRDefault="00992857" w:rsidP="007B46F5">
          <w:pPr>
            <w:jc w:val="both"/>
            <w:rPr>
              <w:b/>
              <w:bCs/>
              <w:lang w:eastAsia="ru-RU" w:bidi="ru-RU"/>
            </w:rPr>
          </w:pPr>
          <w:r>
            <w:rPr>
              <w:b/>
              <w:bCs/>
              <w:lang w:eastAsia="ru-RU" w:bidi="ru-RU"/>
            </w:rPr>
            <w:t xml:space="preserve"> </w:t>
          </w:r>
        </w:p>
        <w:p w14:paraId="3B9D8541" w14:textId="06F93169" w:rsidR="005A436A" w:rsidRPr="009E6200" w:rsidRDefault="005A436A" w:rsidP="007B46F5">
          <w:pPr>
            <w:jc w:val="both"/>
            <w:rPr>
              <w:b/>
              <w:bCs/>
              <w:lang w:eastAsia="ru-RU" w:bidi="ru-RU"/>
            </w:rPr>
          </w:pPr>
          <w:r w:rsidRPr="009E6200">
            <w:rPr>
              <w:b/>
              <w:bCs/>
              <w:lang w:eastAsia="ru-RU" w:bidi="ru-RU"/>
            </w:rPr>
            <w:t>Основные вторичные конечные точки:</w:t>
          </w:r>
        </w:p>
        <w:p w14:paraId="250DF3D8" w14:textId="03231E16" w:rsidR="005A436A" w:rsidRPr="009E6200" w:rsidRDefault="005A436A" w:rsidP="007B46F5">
          <w:pPr>
            <w:ind w:left="444" w:hanging="444"/>
            <w:jc w:val="both"/>
            <w:rPr>
              <w:lang w:eastAsia="ru-RU" w:bidi="ru-RU"/>
            </w:rPr>
          </w:pPr>
          <w:r w:rsidRPr="009E6200">
            <w:rPr>
              <w:lang w:eastAsia="ru-RU" w:bidi="ru-RU"/>
            </w:rPr>
            <w:t>1.</w:t>
          </w:r>
          <w:r w:rsidRPr="009E6200">
            <w:rPr>
              <w:lang w:eastAsia="ru-RU" w:bidi="ru-RU"/>
            </w:rPr>
            <w:tab/>
            <w:t xml:space="preserve">Частота объективного ответа (определяемое как достижение полного или частичного ответа по критериям </w:t>
          </w:r>
          <w:r w:rsidRPr="009E6200">
            <w:rPr>
              <w:lang w:val="en-US" w:eastAsia="ru-RU" w:bidi="ru-RU"/>
            </w:rPr>
            <w:t>RECIST</w:t>
          </w:r>
          <w:r w:rsidRPr="009E6200">
            <w:rPr>
              <w:lang w:eastAsia="ru-RU" w:bidi="ru-RU"/>
            </w:rPr>
            <w:t xml:space="preserve"> 1.1) через 6 месяцев, выраженная в виде разницы рисков (частота объективного ответа в груп</w:t>
          </w:r>
          <w:r w:rsidR="00992857">
            <w:rPr>
              <w:lang w:eastAsia="ru-RU" w:bidi="ru-RU"/>
            </w:rPr>
            <w:t>пе исследуемого препарата минус</w:t>
          </w:r>
          <w:r w:rsidRPr="009E6200">
            <w:rPr>
              <w:lang w:eastAsia="ru-RU" w:bidi="ru-RU"/>
            </w:rPr>
            <w:t xml:space="preserve"> частота объективного ответа в группе препарата сравнения);</w:t>
          </w:r>
        </w:p>
        <w:p w14:paraId="23506828" w14:textId="77777777" w:rsidR="005A436A" w:rsidRPr="009E6200" w:rsidRDefault="005A436A" w:rsidP="007B46F5">
          <w:pPr>
            <w:ind w:left="444" w:hanging="444"/>
            <w:jc w:val="both"/>
            <w:rPr>
              <w:lang w:eastAsia="ru-RU" w:bidi="ru-RU"/>
            </w:rPr>
          </w:pPr>
          <w:r w:rsidRPr="009E6200">
            <w:rPr>
              <w:lang w:eastAsia="ru-RU" w:bidi="ru-RU"/>
            </w:rPr>
            <w:t>2.</w:t>
          </w:r>
          <w:r w:rsidRPr="009E6200">
            <w:rPr>
              <w:lang w:eastAsia="ru-RU" w:bidi="ru-RU"/>
            </w:rPr>
            <w:tab/>
            <w:t>Общая выживаемость в течение 6 месяцев от начала лечения в каждой из групп;</w:t>
          </w:r>
        </w:p>
        <w:p w14:paraId="5EB89355" w14:textId="77777777" w:rsidR="005A436A" w:rsidRPr="009E6200" w:rsidRDefault="005A436A" w:rsidP="007B46F5">
          <w:pPr>
            <w:ind w:left="444" w:hanging="444"/>
            <w:jc w:val="both"/>
            <w:rPr>
              <w:lang w:eastAsia="ru-RU" w:bidi="ru-RU"/>
            </w:rPr>
          </w:pPr>
          <w:r w:rsidRPr="009E6200">
            <w:rPr>
              <w:lang w:eastAsia="ru-RU" w:bidi="ru-RU"/>
            </w:rPr>
            <w:t>3.</w:t>
          </w:r>
          <w:r w:rsidRPr="009E6200">
            <w:rPr>
              <w:lang w:eastAsia="ru-RU" w:bidi="ru-RU"/>
            </w:rPr>
            <w:tab/>
            <w:t>Выживаемость без прогрессирования в течение 6 месяцев от начала лечения в каждой из групп.</w:t>
          </w:r>
        </w:p>
        <w:p w14:paraId="69F904AF" w14:textId="77777777" w:rsidR="005A436A" w:rsidRPr="009E6200" w:rsidRDefault="005A436A" w:rsidP="007B46F5">
          <w:pPr>
            <w:ind w:left="444" w:hanging="444"/>
            <w:jc w:val="both"/>
            <w:rPr>
              <w:lang w:eastAsia="ru-RU" w:bidi="ru-RU"/>
            </w:rPr>
          </w:pPr>
        </w:p>
        <w:p w14:paraId="1135A17E" w14:textId="77777777" w:rsidR="005A436A" w:rsidRPr="009E6200" w:rsidRDefault="005A436A" w:rsidP="007B46F5">
          <w:pPr>
            <w:jc w:val="both"/>
            <w:rPr>
              <w:b/>
              <w:bCs/>
              <w:lang w:eastAsia="ru-RU" w:bidi="ru-RU"/>
            </w:rPr>
          </w:pPr>
          <w:r w:rsidRPr="009E6200">
            <w:rPr>
              <w:b/>
              <w:bCs/>
              <w:lang w:eastAsia="ru-RU" w:bidi="ru-RU"/>
            </w:rPr>
            <w:t>Дополнительные вторичные конечные точки:</w:t>
          </w:r>
        </w:p>
        <w:p w14:paraId="5181122C" w14:textId="77777777" w:rsidR="005A436A" w:rsidRPr="009E6200" w:rsidRDefault="005A436A" w:rsidP="007B46F5">
          <w:pPr>
            <w:ind w:left="444" w:hanging="444"/>
            <w:jc w:val="both"/>
            <w:rPr>
              <w:lang w:eastAsia="ru-RU" w:bidi="ru-RU"/>
            </w:rPr>
          </w:pPr>
          <w:r w:rsidRPr="009E6200">
            <w:rPr>
              <w:lang w:eastAsia="ru-RU" w:bidi="ru-RU"/>
            </w:rPr>
            <w:t>1.</w:t>
          </w:r>
          <w:r w:rsidRPr="009E6200">
            <w:rPr>
              <w:lang w:eastAsia="ru-RU" w:bidi="ru-RU"/>
            </w:rPr>
            <w:tab/>
            <w:t xml:space="preserve">Частота объективного ответа (определяемое как достижение полного или частичного ответа по критериям </w:t>
          </w:r>
          <w:r w:rsidRPr="009E6200">
            <w:rPr>
              <w:lang w:val="en-US" w:eastAsia="ru-RU" w:bidi="ru-RU"/>
            </w:rPr>
            <w:t>RECIST</w:t>
          </w:r>
          <w:r w:rsidRPr="009E6200">
            <w:rPr>
              <w:lang w:eastAsia="ru-RU" w:bidi="ru-RU"/>
            </w:rPr>
            <w:t xml:space="preserve"> 1.1) через 12 месяцев от начала лечения, выраженная в виде относительного риска (частота объективного ответа в группе исследуемого препарата, поделенная на частоту объективного ответа в группе препарата сравнения);</w:t>
          </w:r>
        </w:p>
        <w:p w14:paraId="5FA3130D" w14:textId="77777777" w:rsidR="005A436A" w:rsidRPr="009E6200" w:rsidRDefault="005A436A" w:rsidP="007B46F5">
          <w:pPr>
            <w:ind w:left="444" w:hanging="444"/>
            <w:jc w:val="both"/>
            <w:rPr>
              <w:lang w:eastAsia="ru-RU" w:bidi="ru-RU"/>
            </w:rPr>
          </w:pPr>
          <w:r w:rsidRPr="009E6200">
            <w:rPr>
              <w:lang w:eastAsia="ru-RU" w:bidi="ru-RU"/>
            </w:rPr>
            <w:t>2.</w:t>
          </w:r>
          <w:r w:rsidRPr="009E6200">
            <w:rPr>
              <w:lang w:eastAsia="ru-RU" w:bidi="ru-RU"/>
            </w:rPr>
            <w:tab/>
            <w:t xml:space="preserve">Частота объективного ответа (определяемое как достижение полного или частичного ответа по критериям </w:t>
          </w:r>
          <w:r w:rsidRPr="009E6200">
            <w:rPr>
              <w:lang w:val="en-US" w:eastAsia="ru-RU" w:bidi="ru-RU"/>
            </w:rPr>
            <w:t>RECIST</w:t>
          </w:r>
          <w:r w:rsidRPr="009E6200">
            <w:rPr>
              <w:lang w:eastAsia="ru-RU" w:bidi="ru-RU"/>
            </w:rPr>
            <w:t xml:space="preserve"> 1.1) через 12 месяцев от начала лечения, выраженная в виде разницы рисков (частота объективного ответа в груп</w:t>
          </w:r>
          <w:r>
            <w:rPr>
              <w:lang w:eastAsia="ru-RU" w:bidi="ru-RU"/>
            </w:rPr>
            <w:t>пе исследуемого препарата минус</w:t>
          </w:r>
          <w:r w:rsidRPr="009E6200">
            <w:rPr>
              <w:lang w:eastAsia="ru-RU" w:bidi="ru-RU"/>
            </w:rPr>
            <w:t xml:space="preserve"> частота объективного ответа в группе препарата сравнения);</w:t>
          </w:r>
        </w:p>
        <w:p w14:paraId="0E1EB73D" w14:textId="77777777" w:rsidR="005A436A" w:rsidRPr="009E6200" w:rsidRDefault="005A436A" w:rsidP="007B46F5">
          <w:pPr>
            <w:ind w:left="444" w:hanging="444"/>
            <w:jc w:val="both"/>
            <w:rPr>
              <w:lang w:eastAsia="ru-RU" w:bidi="ru-RU"/>
            </w:rPr>
          </w:pPr>
          <w:r w:rsidRPr="009E6200">
            <w:rPr>
              <w:lang w:eastAsia="ru-RU" w:bidi="ru-RU"/>
            </w:rPr>
            <w:t>3.</w:t>
          </w:r>
          <w:r w:rsidRPr="009E6200">
            <w:rPr>
              <w:lang w:eastAsia="ru-RU" w:bidi="ru-RU"/>
            </w:rPr>
            <w:tab/>
            <w:t>Общая выживаемость в течение 12 месяцев от начала лечения в каждой из групп;</w:t>
          </w:r>
        </w:p>
        <w:p w14:paraId="30BB1B4D" w14:textId="22895E8B" w:rsidR="005A436A" w:rsidRDefault="005A436A" w:rsidP="00992857">
          <w:pPr>
            <w:ind w:left="444" w:hanging="444"/>
            <w:jc w:val="both"/>
            <w:rPr>
              <w:lang w:eastAsia="ru-RU" w:bidi="ru-RU"/>
            </w:rPr>
          </w:pPr>
          <w:r w:rsidRPr="009E6200">
            <w:rPr>
              <w:lang w:eastAsia="ru-RU" w:bidi="ru-RU"/>
            </w:rPr>
            <w:t>4.</w:t>
          </w:r>
          <w:r w:rsidRPr="009E6200">
            <w:rPr>
              <w:lang w:eastAsia="ru-RU" w:bidi="ru-RU"/>
            </w:rPr>
            <w:tab/>
            <w:t>Выживаемость без прогрессирования в течение 12 месяцев от на</w:t>
          </w:r>
          <w:r w:rsidR="00992857">
            <w:rPr>
              <w:lang w:eastAsia="ru-RU" w:bidi="ru-RU"/>
            </w:rPr>
            <w:t>чала лечения в каждой из групп.</w:t>
          </w:r>
        </w:p>
      </w:sdtContent>
    </w:sdt>
    <w:p w14:paraId="67EBD901" w14:textId="77777777" w:rsidR="00BB6320" w:rsidRDefault="003D5061" w:rsidP="007B46F5">
      <w:pPr>
        <w:jc w:val="both"/>
        <w:rPr>
          <w:lang w:eastAsia="ru-RU" w:bidi="ru-RU"/>
        </w:rPr>
      </w:pPr>
      <w:r w:rsidRPr="009E6200">
        <w:rPr>
          <w:lang w:eastAsia="ru-RU" w:bidi="ru-RU"/>
        </w:rPr>
        <w:fldChar w:fldCharType="end"/>
      </w:r>
    </w:p>
    <w:p w14:paraId="180957E6" w14:textId="77777777" w:rsidR="005D6588" w:rsidRDefault="005D6588" w:rsidP="005D6588">
      <w:pPr>
        <w:jc w:val="both"/>
        <w:rPr>
          <w:b/>
          <w:i/>
          <w:lang w:eastAsia="ru-RU" w:bidi="ru-RU"/>
        </w:rPr>
      </w:pPr>
      <w:r>
        <w:rPr>
          <w:b/>
          <w:i/>
          <w:lang w:eastAsia="ru-RU" w:bidi="ru-RU"/>
        </w:rPr>
        <w:t>Основные параметры безопасности:</w:t>
      </w:r>
    </w:p>
    <w:p w14:paraId="397DD039" w14:textId="77777777" w:rsidR="005D6588" w:rsidRDefault="005D6588" w:rsidP="005D6588">
      <w:pPr>
        <w:jc w:val="both"/>
        <w:rPr>
          <w:b/>
          <w:i/>
          <w:lang w:eastAsia="ru-RU" w:bidi="ru-RU"/>
        </w:rPr>
      </w:pPr>
    </w:p>
    <w:p w14:paraId="2AA9E0FE" w14:textId="77777777" w:rsidR="005D6588" w:rsidRDefault="005D6588" w:rsidP="005D6588">
      <w:pPr>
        <w:ind w:left="14" w:firstLine="4"/>
        <w:jc w:val="both"/>
        <w:rPr>
          <w:i/>
          <w:lang w:eastAsia="ru-RU" w:bidi="ru-RU"/>
        </w:rPr>
      </w:pPr>
      <w:r>
        <w:rPr>
          <w:i/>
          <w:lang w:eastAsia="ru-RU" w:bidi="ru-RU"/>
        </w:rPr>
        <w:t>Точки будут оцениваться отдельно в группах терапии в основной и продленной части исследования:</w:t>
      </w:r>
    </w:p>
    <w:p w14:paraId="52293249" w14:textId="77777777" w:rsidR="005D6588" w:rsidRDefault="005D6588" w:rsidP="005D6588">
      <w:pPr>
        <w:ind w:left="581" w:hanging="567"/>
        <w:jc w:val="both"/>
      </w:pPr>
      <w:r>
        <w:fldChar w:fldCharType="begin"/>
      </w:r>
      <w:r>
        <w:instrText xml:space="preserve"> </w:instrText>
      </w:r>
      <w:r>
        <w:rPr>
          <w:lang w:val="en-US"/>
        </w:rPr>
        <w:instrText>SEQ</w:instrText>
      </w:r>
      <w:r w:rsidRPr="005D6588">
        <w:instrText xml:space="preserve"> </w:instrText>
      </w:r>
      <w:r>
        <w:rPr>
          <w:lang w:val="en-US"/>
        </w:rPr>
        <w:instrText>Parametry</w:instrText>
      </w:r>
      <w:r>
        <w:instrText>_</w:instrText>
      </w:r>
      <w:r>
        <w:rPr>
          <w:lang w:val="en-US"/>
        </w:rPr>
        <w:instrText>bezopasnosti</w:instrText>
      </w:r>
      <w:r>
        <w:instrText xml:space="preserve"> \* </w:instrText>
      </w:r>
      <w:r>
        <w:rPr>
          <w:lang w:val="en-US"/>
        </w:rPr>
        <w:instrText>MERGEFORMAT</w:instrText>
      </w:r>
      <w:r w:rsidRPr="005D6588">
        <w:instrText xml:space="preserve"> </w:instrText>
      </w:r>
      <w:r>
        <w:fldChar w:fldCharType="separate"/>
      </w:r>
      <w:r>
        <w:rPr>
          <w:noProof/>
        </w:rPr>
        <w:t>1</w:t>
      </w:r>
      <w:r>
        <w:fldChar w:fldCharType="end"/>
      </w:r>
      <w:r>
        <w:t>.</w:t>
      </w:r>
      <w:r>
        <w:tab/>
        <w:t>Доля пациентов (%) с развитием НЯ любой степени тяжести;</w:t>
      </w:r>
    </w:p>
    <w:p w14:paraId="117AF556" w14:textId="77777777" w:rsidR="005D6588" w:rsidRDefault="005D6588" w:rsidP="005D6588">
      <w:pPr>
        <w:ind w:left="581" w:hanging="567"/>
        <w:jc w:val="both"/>
      </w:pPr>
      <w:r>
        <w:t>2. Доля пациентов (%) с развитием НР любой степени тяжести;</w:t>
      </w:r>
    </w:p>
    <w:p w14:paraId="35229D6A" w14:textId="77777777" w:rsidR="005D6588" w:rsidRDefault="005D6588" w:rsidP="005D6588">
      <w:pPr>
        <w:ind w:left="581" w:hanging="567"/>
        <w:jc w:val="both"/>
      </w:pPr>
      <w:r>
        <w:t>3. Доля пациентов с развитием СНЯ/СНР;</w:t>
      </w:r>
    </w:p>
    <w:p w14:paraId="0BFDB5B1" w14:textId="77777777" w:rsidR="005D6588" w:rsidRDefault="005D6588" w:rsidP="005D6588">
      <w:pPr>
        <w:ind w:left="581" w:hanging="567"/>
        <w:jc w:val="both"/>
      </w:pPr>
      <w:r>
        <w:t>4. Доля пациентов (%) с развитием НЯ 3-4 степени тяжести;</w:t>
      </w:r>
    </w:p>
    <w:p w14:paraId="1F2FF409" w14:textId="77777777" w:rsidR="005D6588" w:rsidRDefault="005D6588" w:rsidP="005D6588">
      <w:pPr>
        <w:ind w:left="581" w:hanging="567"/>
        <w:jc w:val="both"/>
      </w:pPr>
      <w:r>
        <w:t>5. Доля пациентов (%) с развитием НР 3-4 степени тяжести;</w:t>
      </w:r>
    </w:p>
    <w:p w14:paraId="0DB1C19C" w14:textId="77777777" w:rsidR="005D6588" w:rsidRDefault="005D6588" w:rsidP="005D6588">
      <w:pPr>
        <w:ind w:left="581" w:hanging="567"/>
        <w:jc w:val="both"/>
      </w:pPr>
      <w:r>
        <w:t>6. Доля пациентов, которым потребовалась отмена терапии по причине развития НР/СНР;</w:t>
      </w:r>
    </w:p>
    <w:p w14:paraId="775D23F5" w14:textId="77777777" w:rsidR="005D6588" w:rsidRDefault="005D6588" w:rsidP="005D6588">
      <w:pPr>
        <w:ind w:left="581" w:hanging="567"/>
        <w:jc w:val="both"/>
      </w:pPr>
      <w:r>
        <w:t>7. Доля пациентов (%), у которых сформировались связывающие (САТ) и нейтрализующие (НАТ) антитела к бевацизумабу.</w:t>
      </w:r>
    </w:p>
    <w:p w14:paraId="4B39673D" w14:textId="77777777" w:rsidR="005D6588" w:rsidRDefault="005D6588" w:rsidP="005D6588">
      <w:pPr>
        <w:jc w:val="both"/>
        <w:rPr>
          <w:b/>
          <w:i/>
          <w:lang w:eastAsia="ru-RU" w:bidi="ru-RU"/>
        </w:rPr>
      </w:pPr>
    </w:p>
    <w:p w14:paraId="743A651A" w14:textId="77777777" w:rsidR="005D6588" w:rsidRDefault="005D6588" w:rsidP="005D6588">
      <w:pPr>
        <w:jc w:val="both"/>
        <w:rPr>
          <w:b/>
          <w:i/>
          <w:lang w:eastAsia="ru-RU" w:bidi="ru-RU"/>
        </w:rPr>
      </w:pPr>
      <w:r>
        <w:rPr>
          <w:b/>
          <w:i/>
          <w:lang w:eastAsia="ru-RU" w:bidi="ru-RU"/>
        </w:rPr>
        <w:t>Дополнительные параметры безопасности:</w:t>
      </w:r>
    </w:p>
    <w:p w14:paraId="7F457D65" w14:textId="77777777" w:rsidR="005D6588" w:rsidRDefault="005D6588" w:rsidP="005D6588">
      <w:pPr>
        <w:jc w:val="both"/>
        <w:rPr>
          <w:b/>
          <w:i/>
          <w:lang w:eastAsia="ru-RU" w:bidi="ru-RU"/>
        </w:rPr>
      </w:pPr>
    </w:p>
    <w:p w14:paraId="27E87BB6" w14:textId="77777777" w:rsidR="005D6588" w:rsidRDefault="005D6588" w:rsidP="005D6588">
      <w:pPr>
        <w:ind w:left="581" w:hanging="567"/>
        <w:jc w:val="both"/>
        <w:rPr>
          <w:lang w:eastAsia="ru-RU" w:bidi="ru-RU"/>
        </w:rPr>
      </w:pPr>
      <w:r>
        <w:t>8.</w:t>
      </w:r>
      <w:r>
        <w:tab/>
      </w:r>
      <w:r>
        <w:rPr>
          <w:lang w:eastAsia="ru-RU" w:bidi="ru-RU"/>
        </w:rPr>
        <w:t>Основные показатели жизнедеятельности (АД, ЧСС, ЧДД, температура тела) в основной части исследования в группах лечения;</w:t>
      </w:r>
    </w:p>
    <w:p w14:paraId="1CDEBDE0" w14:textId="77777777" w:rsidR="005D6588" w:rsidRDefault="005D6588" w:rsidP="005D6588">
      <w:pPr>
        <w:ind w:left="581" w:hanging="567"/>
        <w:jc w:val="both"/>
        <w:rPr>
          <w:lang w:eastAsia="ru-RU" w:bidi="ru-RU"/>
        </w:rPr>
      </w:pPr>
      <w:r>
        <w:t>9.</w:t>
      </w:r>
      <w:r>
        <w:tab/>
      </w:r>
      <w:r>
        <w:rPr>
          <w:lang w:eastAsia="ru-RU" w:bidi="ru-RU"/>
        </w:rPr>
        <w:t>Результаты лабораторных и функциональных исследований: общий анализ крови, биохимический анализ крови, общий анализ мочи, коагулограмма, электрокардиограмма в основной части исследования в группах лечения.</w:t>
      </w:r>
    </w:p>
    <w:p w14:paraId="27D63935" w14:textId="77777777" w:rsidR="00BB6320" w:rsidRPr="009E6200" w:rsidRDefault="00BB6320" w:rsidP="007B46F5">
      <w:pPr>
        <w:ind w:left="284" w:hanging="284"/>
        <w:jc w:val="both"/>
        <w:rPr>
          <w:rFonts w:cs="Times New Roman"/>
          <w:bCs/>
          <w:iCs/>
          <w:szCs w:val="24"/>
        </w:rPr>
      </w:pPr>
    </w:p>
    <w:p w14:paraId="4736B311" w14:textId="6A196924" w:rsidR="00FF77C0" w:rsidRDefault="00CD7FBE" w:rsidP="007B46F5">
      <w:pPr>
        <w:pStyle w:val="Heading2"/>
      </w:pPr>
      <w:bookmarkStart w:id="114" w:name="_Toc120865240"/>
      <w:r>
        <w:t>Дизайн исследования</w:t>
      </w:r>
      <w:bookmarkEnd w:id="114"/>
    </w:p>
    <w:p w14:paraId="6BE3784C" w14:textId="77777777" w:rsidR="00BB6320" w:rsidRPr="00BB6320" w:rsidRDefault="00BB6320" w:rsidP="007B46F5">
      <w:pPr>
        <w:pStyle w:val="SDText"/>
        <w:rPr>
          <w:lang w:eastAsia="ru-RU"/>
        </w:rPr>
      </w:pPr>
    </w:p>
    <w:p w14:paraId="4A4D4072" w14:textId="1999A247" w:rsidR="00E71B06" w:rsidRDefault="00EE238D" w:rsidP="007B46F5">
      <w:pPr>
        <w:pStyle w:val="Heading3"/>
        <w:spacing w:before="0" w:after="0" w:line="240" w:lineRule="auto"/>
        <w:ind w:left="709" w:hanging="709"/>
        <w:jc w:val="both"/>
        <w:rPr>
          <w:sz w:val="24"/>
        </w:rPr>
      </w:pPr>
      <w:bookmarkStart w:id="115" w:name="_Toc120865241"/>
      <w:r w:rsidRPr="00BB6320">
        <w:rPr>
          <w:sz w:val="24"/>
        </w:rPr>
        <w:t>Тип исследования</w:t>
      </w:r>
      <w:bookmarkEnd w:id="115"/>
    </w:p>
    <w:p w14:paraId="35F33744" w14:textId="77777777" w:rsidR="00BB6320" w:rsidRPr="00BB6320" w:rsidRDefault="00BB6320" w:rsidP="007B46F5">
      <w:pPr>
        <w:pStyle w:val="SDText"/>
        <w:rPr>
          <w:lang w:eastAsia="ru-RU"/>
        </w:rPr>
      </w:pPr>
    </w:p>
    <w:p w14:paraId="10AE2C56" w14:textId="77777777" w:rsidR="00882182" w:rsidRPr="009E6200" w:rsidRDefault="00882182" w:rsidP="007B46F5">
      <w:pPr>
        <w:pStyle w:val="SDText"/>
        <w:ind w:firstLine="709"/>
        <w:jc w:val="both"/>
      </w:pPr>
      <w:r w:rsidRPr="009E6200">
        <w:t>Запланировано</w:t>
      </w:r>
      <w:r w:rsidR="00B50FF4" w:rsidRPr="009E6200">
        <w:t xml:space="preserve"> проведение рандомизированного двойного слепого сравнительного </w:t>
      </w:r>
      <w:r w:rsidR="00C23AFE" w:rsidRPr="009E6200">
        <w:t xml:space="preserve">клинического </w:t>
      </w:r>
      <w:r w:rsidR="00B50FF4" w:rsidRPr="009E6200">
        <w:t>исследования в параллельных группах.</w:t>
      </w:r>
    </w:p>
    <w:p w14:paraId="04E78755" w14:textId="77777777" w:rsidR="00882182" w:rsidRPr="009E6200" w:rsidRDefault="00882182" w:rsidP="007B46F5">
      <w:pPr>
        <w:pStyle w:val="SDText"/>
        <w:ind w:firstLine="709"/>
        <w:jc w:val="both"/>
      </w:pPr>
      <w:r w:rsidRPr="009E6200">
        <w:t>Рандомизация – мера, направленная на минимизацию субъективности за счет случайного распределения пациента. Рандомизация исключит субъективный, в том числе неосознанный, отбор исследователем в одну из групп популяции пациентов, которая будет значительно отличаться от популяции, набранной во вторую.</w:t>
      </w:r>
      <w:r w:rsidR="00B50FF4" w:rsidRPr="009E6200">
        <w:t xml:space="preserve"> </w:t>
      </w:r>
      <w:r w:rsidR="00F77306" w:rsidRPr="009E6200">
        <w:t>Исследование будет проводиться по дизайну двойного слепого исследования: ни врач-исследователь, ни пациент не будут знать результаты рандомизации</w:t>
      </w:r>
      <w:r w:rsidR="00821438" w:rsidRPr="009E6200">
        <w:t>.</w:t>
      </w:r>
    </w:p>
    <w:p w14:paraId="413F822C" w14:textId="77777777" w:rsidR="00882182" w:rsidRPr="009E6200" w:rsidRDefault="00882182" w:rsidP="007B46F5">
      <w:pPr>
        <w:jc w:val="both"/>
      </w:pPr>
    </w:p>
    <w:p w14:paraId="3C71B7F6" w14:textId="7694D9DB" w:rsidR="00C354ED" w:rsidRPr="00BB6320" w:rsidRDefault="00BB6320" w:rsidP="007B46F5">
      <w:pPr>
        <w:pStyle w:val="Heading3"/>
        <w:spacing w:before="0" w:after="0" w:line="240" w:lineRule="auto"/>
        <w:ind w:left="709" w:hanging="709"/>
        <w:jc w:val="both"/>
        <w:rPr>
          <w:color w:val="auto"/>
          <w:sz w:val="24"/>
        </w:rPr>
      </w:pPr>
      <w:bookmarkStart w:id="116" w:name="_Toc120865242"/>
      <w:r w:rsidRPr="009E6200">
        <w:rPr>
          <w:noProof/>
        </w:rPr>
        <mc:AlternateContent>
          <mc:Choice Requires="wps">
            <w:drawing>
              <wp:anchor distT="0" distB="0" distL="114300" distR="114300" simplePos="0" relativeHeight="251636736" behindDoc="0" locked="0" layoutInCell="1" allowOverlap="1" wp14:anchorId="15D91EC3" wp14:editId="41CD8AB9">
                <wp:simplePos x="0" y="0"/>
                <wp:positionH relativeFrom="column">
                  <wp:posOffset>1146230</wp:posOffset>
                </wp:positionH>
                <wp:positionV relativeFrom="paragraph">
                  <wp:posOffset>556426</wp:posOffset>
                </wp:positionV>
                <wp:extent cx="1044575" cy="761365"/>
                <wp:effectExtent l="0" t="0" r="22225" b="19685"/>
                <wp:wrapNone/>
                <wp:docPr id="11" name="Скругленный прямоугольник 11"/>
                <wp:cNvGraphicFramePr/>
                <a:graphic xmlns:a="http://schemas.openxmlformats.org/drawingml/2006/main">
                  <a:graphicData uri="http://schemas.microsoft.com/office/word/2010/wordprocessingShape">
                    <wps:wsp>
                      <wps:cNvSpPr/>
                      <wps:spPr>
                        <a:xfrm>
                          <a:off x="0" y="0"/>
                          <a:ext cx="1044575" cy="76136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51FF942" w14:textId="77777777" w:rsidR="00AC6CAC" w:rsidRPr="00A42483" w:rsidRDefault="00AC6CAC" w:rsidP="0015485F">
                            <w:pPr>
                              <w:jc w:val="center"/>
                              <w:rPr>
                                <w:b/>
                                <w:sz w:val="20"/>
                              </w:rPr>
                            </w:pPr>
                            <w:r w:rsidRPr="00A42483">
                              <w:rPr>
                                <w:b/>
                                <w:sz w:val="20"/>
                              </w:rPr>
                              <w:t>Визит 1</w:t>
                            </w:r>
                          </w:p>
                          <w:p w14:paraId="06AA0FFA" w14:textId="77777777" w:rsidR="00AC6CAC" w:rsidRPr="00A42483" w:rsidRDefault="00AC6CAC" w:rsidP="0015485F">
                            <w:pPr>
                              <w:jc w:val="center"/>
                              <w:rPr>
                                <w:i/>
                                <w:sz w:val="20"/>
                              </w:rPr>
                            </w:pPr>
                            <w:r w:rsidRPr="00A42483">
                              <w:rPr>
                                <w:i/>
                                <w:sz w:val="20"/>
                              </w:rPr>
                              <w:t>День 1. Неделя 1</w:t>
                            </w:r>
                          </w:p>
                          <w:p w14:paraId="4533A9BC" w14:textId="77777777" w:rsidR="00AC6CAC" w:rsidRDefault="00AC6CAC" w:rsidP="0015485F">
                            <w:pPr>
                              <w:jc w:val="center"/>
                            </w:pPr>
                            <w:r>
                              <w:rPr>
                                <w:sz w:val="20"/>
                              </w:rPr>
                              <w:t>Рандомизация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D91EC3" id="Скругленный прямоугольник 11" o:spid="_x0000_s1026" style="position:absolute;left:0;text-align:left;margin-left:90.25pt;margin-top:43.8pt;width:82.25pt;height:59.9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" fillcolor="white [3201]" strokecolor="#5b9bd5 [3204]" strokeweight="1pt">
                <v:stroke joinstyle="miter"/>
                <v:textbox>
                  <w:txbxContent>
                    <w:p w14:paraId="151FF942" w14:textId="77777777" w:rsidR="00AC6CAC" w:rsidRPr="00A42483" w:rsidRDefault="00AC6CAC" w:rsidP="0015485F">
                      <w:pPr>
                        <w:jc w:val="center"/>
                        <w:rPr>
                          <w:b/>
                          <w:sz w:val="20"/>
                        </w:rPr>
                      </w:pPr>
                      <w:r w:rsidRPr="00A42483">
                        <w:rPr>
                          <w:b/>
                          <w:sz w:val="20"/>
                        </w:rPr>
                        <w:t>Визит 1</w:t>
                      </w:r>
                    </w:p>
                    <w:p w14:paraId="06AA0FFA" w14:textId="77777777" w:rsidR="00AC6CAC" w:rsidRPr="00A42483" w:rsidRDefault="00AC6CAC" w:rsidP="0015485F">
                      <w:pPr>
                        <w:jc w:val="center"/>
                        <w:rPr>
                          <w:i/>
                          <w:sz w:val="20"/>
                        </w:rPr>
                      </w:pPr>
                      <w:r w:rsidRPr="00A42483">
                        <w:rPr>
                          <w:i/>
                          <w:sz w:val="20"/>
                        </w:rPr>
                        <w:t>День 1. Неделя 1</w:t>
                      </w:r>
                    </w:p>
                    <w:p w14:paraId="4533A9BC" w14:textId="77777777" w:rsidR="00AC6CAC" w:rsidRDefault="00AC6CAC" w:rsidP="0015485F">
                      <w:pPr>
                        <w:jc w:val="center"/>
                      </w:pPr>
                      <w:r>
                        <w:rPr>
                          <w:sz w:val="20"/>
                        </w:rPr>
                        <w:t>Рандомизация</w:t>
                      </w:r>
                    </w:p>
                  </w:txbxContent>
                </v:textbox>
              </v:roundrect>
            </w:pict>
          </mc:Fallback>
        </mc:AlternateContent>
      </w:r>
      <w:r w:rsidR="00EE238D" w:rsidRPr="00BB6320">
        <w:rPr>
          <w:color w:val="auto"/>
          <w:sz w:val="24"/>
        </w:rPr>
        <w:t>Графическая схема исследования</w:t>
      </w:r>
      <w:bookmarkEnd w:id="116"/>
    </w:p>
    <w:p w14:paraId="71AB3A5F" w14:textId="69092199" w:rsidR="00882182" w:rsidRPr="009E6200" w:rsidRDefault="00BB6320" w:rsidP="007B46F5">
      <w:pPr>
        <w:jc w:val="both"/>
        <w:rPr>
          <w:lang w:eastAsia="ru-RU"/>
        </w:rPr>
      </w:pPr>
      <w:r w:rsidRPr="009E6200">
        <w:rPr>
          <w:noProof/>
          <w:lang w:eastAsia="ru-RU"/>
        </w:rPr>
        <mc:AlternateContent>
          <mc:Choice Requires="wps">
            <w:drawing>
              <wp:anchor distT="0" distB="0" distL="114300" distR="114300" simplePos="0" relativeHeight="251652096" behindDoc="0" locked="0" layoutInCell="1" allowOverlap="1" wp14:anchorId="1D18F2DC" wp14:editId="1CF74059">
                <wp:simplePos x="0" y="0"/>
                <wp:positionH relativeFrom="column">
                  <wp:posOffset>4308475</wp:posOffset>
                </wp:positionH>
                <wp:positionV relativeFrom="paragraph">
                  <wp:posOffset>36195</wp:posOffset>
                </wp:positionV>
                <wp:extent cx="1520190" cy="1148080"/>
                <wp:effectExtent l="0" t="0" r="22860" b="13970"/>
                <wp:wrapNone/>
                <wp:docPr id="15" name="Скругленный прямоугольник 15"/>
                <wp:cNvGraphicFramePr/>
                <a:graphic xmlns:a="http://schemas.openxmlformats.org/drawingml/2006/main">
                  <a:graphicData uri="http://schemas.microsoft.com/office/word/2010/wordprocessingShape">
                    <wps:wsp>
                      <wps:cNvSpPr/>
                      <wps:spPr>
                        <a:xfrm>
                          <a:off x="0" y="0"/>
                          <a:ext cx="1520190" cy="114808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2E1213F8" w14:textId="6CD4D90B" w:rsidR="00AC6CAC" w:rsidRPr="00A42483" w:rsidRDefault="00AC6CAC" w:rsidP="0015485F">
                            <w:pPr>
                              <w:jc w:val="center"/>
                              <w:rPr>
                                <w:b/>
                                <w:sz w:val="20"/>
                              </w:rPr>
                            </w:pPr>
                            <w:r w:rsidRPr="00A42483">
                              <w:rPr>
                                <w:b/>
                                <w:sz w:val="20"/>
                              </w:rPr>
                              <w:t>Визиты 2–</w:t>
                            </w:r>
                            <w:r>
                              <w:rPr>
                                <w:b/>
                                <w:sz w:val="20"/>
                              </w:rPr>
                              <w:t>9</w:t>
                            </w:r>
                          </w:p>
                          <w:p w14:paraId="0694EA90" w14:textId="3C9778CD" w:rsidR="00AC6CAC" w:rsidRPr="00A42483" w:rsidRDefault="00AC6CAC" w:rsidP="0015485F">
                            <w:pPr>
                              <w:jc w:val="center"/>
                              <w:rPr>
                                <w:i/>
                                <w:sz w:val="20"/>
                              </w:rPr>
                            </w:pPr>
                            <w:r w:rsidRPr="00A42483">
                              <w:rPr>
                                <w:i/>
                                <w:sz w:val="20"/>
                              </w:rPr>
                              <w:t>Недели 4–</w:t>
                            </w:r>
                            <w:r>
                              <w:rPr>
                                <w:i/>
                                <w:sz w:val="20"/>
                              </w:rPr>
                              <w:t>25</w:t>
                            </w:r>
                          </w:p>
                          <w:p w14:paraId="19F74525" w14:textId="77777777" w:rsidR="00AC6CAC" w:rsidRPr="0015485F" w:rsidRDefault="00AC6CAC" w:rsidP="0015485F">
                            <w:pPr>
                              <w:jc w:val="center"/>
                              <w:rPr>
                                <w:sz w:val="20"/>
                              </w:rPr>
                            </w:pPr>
                            <w:r>
                              <w:rPr>
                                <w:sz w:val="20"/>
                              </w:rPr>
                              <w:t>Проведение терапии. Оценка эффективности и безопасности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18F2DC" id="Скругленный прямоугольник 15" o:spid="_x0000_s1027" style="position:absolute;left:0;text-align:left;margin-left:339.25pt;margin-top:2.85pt;width:119.7pt;height:90.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" fillcolor="white [3201]" strokecolor="#5b9bd5 [3204]" strokeweight="1pt">
                <v:stroke joinstyle="miter"/>
                <v:textbox>
                  <w:txbxContent>
                    <w:p w14:paraId="2E1213F8" w14:textId="6CD4D90B" w:rsidR="00AC6CAC" w:rsidRPr="00A42483" w:rsidRDefault="00AC6CAC" w:rsidP="0015485F">
                      <w:pPr>
                        <w:jc w:val="center"/>
                        <w:rPr>
                          <w:b/>
                          <w:sz w:val="20"/>
                        </w:rPr>
                      </w:pPr>
                      <w:r w:rsidRPr="00A42483">
                        <w:rPr>
                          <w:b/>
                          <w:sz w:val="20"/>
                        </w:rPr>
                        <w:t>Визиты 2–</w:t>
                      </w:r>
                      <w:r>
                        <w:rPr>
                          <w:b/>
                          <w:sz w:val="20"/>
                        </w:rPr>
                        <w:t>9</w:t>
                      </w:r>
                    </w:p>
                    <w:p w14:paraId="0694EA90" w14:textId="3C9778CD" w:rsidR="00AC6CAC" w:rsidRPr="00A42483" w:rsidRDefault="00AC6CAC" w:rsidP="0015485F">
                      <w:pPr>
                        <w:jc w:val="center"/>
                        <w:rPr>
                          <w:i/>
                          <w:sz w:val="20"/>
                        </w:rPr>
                      </w:pPr>
                      <w:r w:rsidRPr="00A42483">
                        <w:rPr>
                          <w:i/>
                          <w:sz w:val="20"/>
                        </w:rPr>
                        <w:t>Недели 4–</w:t>
                      </w:r>
                      <w:r>
                        <w:rPr>
                          <w:i/>
                          <w:sz w:val="20"/>
                        </w:rPr>
                        <w:t>25</w:t>
                      </w:r>
                    </w:p>
                    <w:p w14:paraId="19F74525" w14:textId="77777777" w:rsidR="00AC6CAC" w:rsidRPr="0015485F" w:rsidRDefault="00AC6CAC" w:rsidP="0015485F">
                      <w:pPr>
                        <w:jc w:val="center"/>
                        <w:rPr>
                          <w:sz w:val="20"/>
                        </w:rPr>
                      </w:pPr>
                      <w:r>
                        <w:rPr>
                          <w:sz w:val="20"/>
                        </w:rPr>
                        <w:t>Проведение терапии. Оценка эффективности и безопасности</w:t>
                      </w:r>
                    </w:p>
                  </w:txbxContent>
                </v:textbox>
              </v:roundrect>
            </w:pict>
          </mc:Fallback>
        </mc:AlternateContent>
      </w:r>
      <w:r w:rsidR="00A42483" w:rsidRPr="009E6200">
        <w:rPr>
          <w:noProof/>
          <w:lang w:eastAsia="ru-RU"/>
        </w:rPr>
        <mc:AlternateContent>
          <mc:Choice Requires="wps">
            <w:drawing>
              <wp:anchor distT="0" distB="0" distL="114300" distR="114300" simplePos="0" relativeHeight="251641856" behindDoc="0" locked="0" layoutInCell="1" allowOverlap="1" wp14:anchorId="22047A0A" wp14:editId="20CA86E9">
                <wp:simplePos x="0" y="0"/>
                <wp:positionH relativeFrom="column">
                  <wp:posOffset>2386317</wp:posOffset>
                </wp:positionH>
                <wp:positionV relativeFrom="paragraph">
                  <wp:posOffset>139808</wp:posOffset>
                </wp:positionV>
                <wp:extent cx="1514475" cy="755650"/>
                <wp:effectExtent l="0" t="0" r="28575" b="25400"/>
                <wp:wrapNone/>
                <wp:docPr id="13" name="Скругленный прямоугольник 13"/>
                <wp:cNvGraphicFramePr/>
                <a:graphic xmlns:a="http://schemas.openxmlformats.org/drawingml/2006/main">
                  <a:graphicData uri="http://schemas.microsoft.com/office/word/2010/wordprocessingShape">
                    <wps:wsp>
                      <wps:cNvSpPr/>
                      <wps:spPr>
                        <a:xfrm>
                          <a:off x="0" y="0"/>
                          <a:ext cx="1514475" cy="75565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7B960EB6" w14:textId="77777777" w:rsidR="00AC6CAC" w:rsidRPr="00A42483" w:rsidRDefault="00AC6CAC" w:rsidP="0015485F">
                            <w:pPr>
                              <w:jc w:val="center"/>
                              <w:rPr>
                                <w:b/>
                                <w:sz w:val="20"/>
                              </w:rPr>
                            </w:pPr>
                            <w:r w:rsidRPr="00A42483">
                              <w:rPr>
                                <w:b/>
                                <w:sz w:val="20"/>
                              </w:rPr>
                              <w:t>Визит 1</w:t>
                            </w:r>
                          </w:p>
                          <w:p w14:paraId="46BF5B1F" w14:textId="77777777" w:rsidR="00AC6CAC" w:rsidRPr="00A42483" w:rsidRDefault="00AC6CAC" w:rsidP="0015485F">
                            <w:pPr>
                              <w:jc w:val="center"/>
                              <w:rPr>
                                <w:i/>
                                <w:sz w:val="20"/>
                              </w:rPr>
                            </w:pPr>
                            <w:r w:rsidRPr="00A42483">
                              <w:rPr>
                                <w:i/>
                                <w:sz w:val="20"/>
                              </w:rPr>
                              <w:t>День 1. Неделя 1</w:t>
                            </w:r>
                          </w:p>
                          <w:p w14:paraId="3617899B" w14:textId="77777777" w:rsidR="00AC6CAC" w:rsidRPr="00A42483" w:rsidRDefault="00AC6CAC" w:rsidP="0015485F">
                            <w:pPr>
                              <w:jc w:val="center"/>
                              <w:rPr>
                                <w:sz w:val="20"/>
                              </w:rPr>
                            </w:pPr>
                            <w:r w:rsidRPr="00A42483">
                              <w:rPr>
                                <w:sz w:val="20"/>
                              </w:rPr>
                              <w:t>Начало терапии.</w:t>
                            </w:r>
                          </w:p>
                          <w:p w14:paraId="4006D4E1" w14:textId="77777777" w:rsidR="00AC6CAC" w:rsidRPr="00A42483" w:rsidRDefault="00AC6CAC" w:rsidP="0015485F">
                            <w:pPr>
                              <w:jc w:val="center"/>
                              <w:rPr>
                                <w:b/>
                                <w:i/>
                                <w:sz w:val="20"/>
                              </w:rPr>
                            </w:pPr>
                            <w:r w:rsidRPr="00A42483">
                              <w:rPr>
                                <w:b/>
                                <w:i/>
                                <w:sz w:val="20"/>
                              </w:rPr>
                              <w:t>Группа 1: RPH-001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047A0A" id="Скругленный прямоугольник 13" o:spid="_x0000_s1028" style="position:absolute;left:0;text-align:left;margin-left:187.9pt;margin-top:11pt;width:119.25pt;height:59.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" fillcolor="white [3201]" strokecolor="#a5a5a5 [3206]" strokeweight="1pt">
                <v:stroke joinstyle="miter"/>
                <v:textbox>
                  <w:txbxContent>
                    <w:p w14:paraId="7B960EB6" w14:textId="77777777" w:rsidR="00AC6CAC" w:rsidRPr="00A42483" w:rsidRDefault="00AC6CAC" w:rsidP="0015485F">
                      <w:pPr>
                        <w:jc w:val="center"/>
                        <w:rPr>
                          <w:b/>
                          <w:sz w:val="20"/>
                        </w:rPr>
                      </w:pPr>
                      <w:r w:rsidRPr="00A42483">
                        <w:rPr>
                          <w:b/>
                          <w:sz w:val="20"/>
                        </w:rPr>
                        <w:t>Визит 1</w:t>
                      </w:r>
                    </w:p>
                    <w:p w14:paraId="46BF5B1F" w14:textId="77777777" w:rsidR="00AC6CAC" w:rsidRPr="00A42483" w:rsidRDefault="00AC6CAC" w:rsidP="0015485F">
                      <w:pPr>
                        <w:jc w:val="center"/>
                        <w:rPr>
                          <w:i/>
                          <w:sz w:val="20"/>
                        </w:rPr>
                      </w:pPr>
                      <w:r w:rsidRPr="00A42483">
                        <w:rPr>
                          <w:i/>
                          <w:sz w:val="20"/>
                        </w:rPr>
                        <w:t>День 1. Неделя 1</w:t>
                      </w:r>
                    </w:p>
                    <w:p w14:paraId="3617899B" w14:textId="77777777" w:rsidR="00AC6CAC" w:rsidRPr="00A42483" w:rsidRDefault="00AC6CAC" w:rsidP="0015485F">
                      <w:pPr>
                        <w:jc w:val="center"/>
                        <w:rPr>
                          <w:sz w:val="20"/>
                        </w:rPr>
                      </w:pPr>
                      <w:r w:rsidRPr="00A42483">
                        <w:rPr>
                          <w:sz w:val="20"/>
                        </w:rPr>
                        <w:t>Начало терапии.</w:t>
                      </w:r>
                    </w:p>
                    <w:p w14:paraId="4006D4E1" w14:textId="77777777" w:rsidR="00AC6CAC" w:rsidRPr="00A42483" w:rsidRDefault="00AC6CAC" w:rsidP="0015485F">
                      <w:pPr>
                        <w:jc w:val="center"/>
                        <w:rPr>
                          <w:b/>
                          <w:i/>
                          <w:sz w:val="20"/>
                        </w:rPr>
                      </w:pPr>
                      <w:r w:rsidRPr="00A42483">
                        <w:rPr>
                          <w:b/>
                          <w:i/>
                          <w:sz w:val="20"/>
                        </w:rPr>
                        <w:t>Группа 1: RPH-001</w:t>
                      </w:r>
                    </w:p>
                  </w:txbxContent>
                </v:textbox>
              </v:roundrect>
            </w:pict>
          </mc:Fallback>
        </mc:AlternateContent>
      </w:r>
    </w:p>
    <w:p w14:paraId="50EB3ED4" w14:textId="60445B37" w:rsidR="0015485F" w:rsidRPr="009E6200" w:rsidRDefault="00BB6320" w:rsidP="007B46F5">
      <w:pPr>
        <w:jc w:val="both"/>
        <w:rPr>
          <w:lang w:eastAsia="ru-RU"/>
        </w:rPr>
      </w:pPr>
      <w:r w:rsidRPr="009E6200">
        <w:rPr>
          <w:noProof/>
          <w:lang w:eastAsia="ru-RU"/>
        </w:rPr>
        <mc:AlternateContent>
          <mc:Choice Requires="wps">
            <w:drawing>
              <wp:anchor distT="0" distB="0" distL="114300" distR="114300" simplePos="0" relativeHeight="251677696" behindDoc="0" locked="0" layoutInCell="1" allowOverlap="1" wp14:anchorId="075B3A04" wp14:editId="3F469E90">
                <wp:simplePos x="0" y="0"/>
                <wp:positionH relativeFrom="column">
                  <wp:posOffset>3873528</wp:posOffset>
                </wp:positionH>
                <wp:positionV relativeFrom="paragraph">
                  <wp:posOffset>20210</wp:posOffset>
                </wp:positionV>
                <wp:extent cx="438647" cy="490220"/>
                <wp:effectExtent l="19050" t="19050" r="57150" b="43180"/>
                <wp:wrapNone/>
                <wp:docPr id="31" name="Прямая со стрелкой 31"/>
                <wp:cNvGraphicFramePr/>
                <a:graphic xmlns:a="http://schemas.openxmlformats.org/drawingml/2006/main">
                  <a:graphicData uri="http://schemas.microsoft.com/office/word/2010/wordprocessingShape">
                    <wps:wsp>
                      <wps:cNvCnPr/>
                      <wps:spPr>
                        <a:xfrm>
                          <a:off x="0" y="0"/>
                          <a:ext cx="438647" cy="49022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1C69F1" id="_x0000_t32" coordsize="21600,21600" o:spt="32" o:oned="t" path="m,l21600,21600e" filled="f">
                <v:path arrowok="t" fillok="f" o:connecttype="none"/>
                <o:lock v:ext="edit" shapetype="t"/>
              </v:shapetype>
              <v:shape id="Прямая со стрелкой 31" o:spid="_x0000_s1026" type="#_x0000_t32" style="position:absolute;margin-left:305pt;margin-top:1.6pt;width:34.55pt;height:38.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" strokecolor="#5b9bd5 [3204]" strokeweight="3pt">
                <v:stroke endarrow="block" joinstyle="miter"/>
              </v:shape>
            </w:pict>
          </mc:Fallback>
        </mc:AlternateContent>
      </w:r>
      <w:r w:rsidR="0048224A" w:rsidRPr="009E6200">
        <w:rPr>
          <w:noProof/>
          <w:lang w:eastAsia="ru-RU"/>
        </w:rPr>
        <mc:AlternateContent>
          <mc:Choice Requires="wps">
            <w:drawing>
              <wp:anchor distT="0" distB="0" distL="114300" distR="114300" simplePos="0" relativeHeight="251662336" behindDoc="0" locked="0" layoutInCell="1" allowOverlap="1" wp14:anchorId="513805AE" wp14:editId="312D4CC2">
                <wp:simplePos x="0" y="0"/>
                <wp:positionH relativeFrom="column">
                  <wp:posOffset>2223770</wp:posOffset>
                </wp:positionH>
                <wp:positionV relativeFrom="paragraph">
                  <wp:posOffset>133985</wp:posOffset>
                </wp:positionV>
                <wp:extent cx="161925" cy="458470"/>
                <wp:effectExtent l="19050" t="38100" r="47625" b="17780"/>
                <wp:wrapNone/>
                <wp:docPr id="17" name="Прямая со стрелкой 17"/>
                <wp:cNvGraphicFramePr/>
                <a:graphic xmlns:a="http://schemas.openxmlformats.org/drawingml/2006/main">
                  <a:graphicData uri="http://schemas.microsoft.com/office/word/2010/wordprocessingShape">
                    <wps:wsp>
                      <wps:cNvCnPr/>
                      <wps:spPr>
                        <a:xfrm flipV="1">
                          <a:off x="0" y="0"/>
                          <a:ext cx="161925" cy="45847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7574AA" id="Прямая со стрелкой 17" o:spid="_x0000_s1026" type="#_x0000_t32" style="position:absolute;margin-left:175.1pt;margin-top:10.55pt;width:12.75pt;height:36.1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" strokecolor="#5b9bd5 [3204]" strokeweight="3pt">
                <v:stroke endarrow="block" joinstyle="miter"/>
              </v:shape>
            </w:pict>
          </mc:Fallback>
        </mc:AlternateContent>
      </w:r>
      <w:r w:rsidR="0048224A" w:rsidRPr="009E6200">
        <w:rPr>
          <w:noProof/>
          <w:lang w:eastAsia="ru-RU"/>
        </w:rPr>
        <mc:AlternateContent>
          <mc:Choice Requires="wps">
            <w:drawing>
              <wp:anchor distT="0" distB="0" distL="114300" distR="114300" simplePos="0" relativeHeight="251667456" behindDoc="0" locked="0" layoutInCell="1" allowOverlap="1" wp14:anchorId="2560B77B" wp14:editId="1C21CFA8">
                <wp:simplePos x="0" y="0"/>
                <wp:positionH relativeFrom="column">
                  <wp:posOffset>2225675</wp:posOffset>
                </wp:positionH>
                <wp:positionV relativeFrom="paragraph">
                  <wp:posOffset>812165</wp:posOffset>
                </wp:positionV>
                <wp:extent cx="152400" cy="346710"/>
                <wp:effectExtent l="19050" t="19050" r="76200" b="53340"/>
                <wp:wrapNone/>
                <wp:docPr id="20" name="Прямая со стрелкой 20"/>
                <wp:cNvGraphicFramePr/>
                <a:graphic xmlns:a="http://schemas.openxmlformats.org/drawingml/2006/main">
                  <a:graphicData uri="http://schemas.microsoft.com/office/word/2010/wordprocessingShape">
                    <wps:wsp>
                      <wps:cNvCnPr/>
                      <wps:spPr>
                        <a:xfrm>
                          <a:off x="0" y="0"/>
                          <a:ext cx="152400" cy="34671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933980" id="Прямая со стрелкой 20" o:spid="_x0000_s1026" type="#_x0000_t32" style="position:absolute;margin-left:175.25pt;margin-top:63.95pt;width:12pt;height:27.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" strokecolor="#5b9bd5 [3204]" strokeweight="3pt">
                <v:stroke endarrow="block" joinstyle="miter"/>
              </v:shape>
            </w:pict>
          </mc:Fallback>
        </mc:AlternateContent>
      </w:r>
      <w:r w:rsidR="0048224A" w:rsidRPr="009E6200">
        <w:rPr>
          <w:noProof/>
          <w:lang w:eastAsia="ru-RU"/>
        </w:rPr>
        <mc:AlternateContent>
          <mc:Choice Requires="wps">
            <w:drawing>
              <wp:anchor distT="0" distB="0" distL="114300" distR="114300" simplePos="0" relativeHeight="251646976" behindDoc="0" locked="0" layoutInCell="1" allowOverlap="1" wp14:anchorId="5E30F74A" wp14:editId="178BB012">
                <wp:simplePos x="0" y="0"/>
                <wp:positionH relativeFrom="column">
                  <wp:posOffset>2378075</wp:posOffset>
                </wp:positionH>
                <wp:positionV relativeFrom="paragraph">
                  <wp:posOffset>812165</wp:posOffset>
                </wp:positionV>
                <wp:extent cx="1522095" cy="755650"/>
                <wp:effectExtent l="0" t="0" r="20955" b="25400"/>
                <wp:wrapNone/>
                <wp:docPr id="14" name="Скругленный прямоугольник 14"/>
                <wp:cNvGraphicFramePr/>
                <a:graphic xmlns:a="http://schemas.openxmlformats.org/drawingml/2006/main">
                  <a:graphicData uri="http://schemas.microsoft.com/office/word/2010/wordprocessingShape">
                    <wps:wsp>
                      <wps:cNvSpPr/>
                      <wps:spPr>
                        <a:xfrm>
                          <a:off x="0" y="0"/>
                          <a:ext cx="1522095" cy="75565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1FD8D366" w14:textId="77777777" w:rsidR="00AC6CAC" w:rsidRPr="00A42483" w:rsidRDefault="00AC6CAC" w:rsidP="0015485F">
                            <w:pPr>
                              <w:jc w:val="center"/>
                              <w:rPr>
                                <w:b/>
                                <w:sz w:val="20"/>
                              </w:rPr>
                            </w:pPr>
                            <w:r w:rsidRPr="00A42483">
                              <w:rPr>
                                <w:b/>
                                <w:sz w:val="20"/>
                              </w:rPr>
                              <w:t>Визит 1</w:t>
                            </w:r>
                          </w:p>
                          <w:p w14:paraId="5C32AFBE" w14:textId="77777777" w:rsidR="00AC6CAC" w:rsidRPr="00A42483" w:rsidRDefault="00AC6CAC" w:rsidP="0015485F">
                            <w:pPr>
                              <w:jc w:val="center"/>
                              <w:rPr>
                                <w:i/>
                                <w:sz w:val="20"/>
                              </w:rPr>
                            </w:pPr>
                            <w:r w:rsidRPr="00A42483">
                              <w:rPr>
                                <w:i/>
                                <w:sz w:val="20"/>
                              </w:rPr>
                              <w:t>День 1. Неделя 1</w:t>
                            </w:r>
                          </w:p>
                          <w:p w14:paraId="1F8CF500" w14:textId="77777777" w:rsidR="00AC6CAC" w:rsidRDefault="00AC6CAC" w:rsidP="0015485F">
                            <w:pPr>
                              <w:jc w:val="center"/>
                              <w:rPr>
                                <w:sz w:val="20"/>
                              </w:rPr>
                            </w:pPr>
                            <w:r>
                              <w:rPr>
                                <w:sz w:val="20"/>
                              </w:rPr>
                              <w:t>Начало терапии.</w:t>
                            </w:r>
                          </w:p>
                          <w:p w14:paraId="7D9FC6D4" w14:textId="77777777" w:rsidR="00AC6CAC" w:rsidRPr="00A42483" w:rsidRDefault="00AC6CAC" w:rsidP="0015485F">
                            <w:pPr>
                              <w:jc w:val="center"/>
                              <w:rPr>
                                <w:b/>
                                <w:i/>
                                <w:sz w:val="20"/>
                              </w:rPr>
                            </w:pPr>
                            <w:r w:rsidRPr="00A42483">
                              <w:rPr>
                                <w:b/>
                                <w:i/>
                                <w:sz w:val="20"/>
                              </w:rPr>
                              <w:t>Группа 2: Авастин</w:t>
                            </w:r>
                            <w:r w:rsidRPr="00121FA5">
                              <w:rPr>
                                <w:rFonts w:cs="Times New Roman"/>
                                <w:b/>
                                <w:i/>
                                <w:sz w:val="20"/>
                                <w:vertAlign w:val="superscript"/>
                              </w:rPr>
                              <w:t>®</w:t>
                            </w:r>
                          </w:p>
                          <w:p w14:paraId="759BBE4E" w14:textId="77777777" w:rsidR="00AC6CAC" w:rsidRDefault="00AC6CAC" w:rsidP="001548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30F74A" id="Скругленный прямоугольник 14" o:spid="_x0000_s1029" style="position:absolute;left:0;text-align:left;margin-left:187.25pt;margin-top:63.95pt;width:119.85pt;height:5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" fillcolor="white [3201]" strokecolor="#a5a5a5 [3206]" strokeweight="1pt">
                <v:stroke joinstyle="miter"/>
                <v:textbox>
                  <w:txbxContent>
                    <w:p w14:paraId="1FD8D366" w14:textId="77777777" w:rsidR="00AC6CAC" w:rsidRPr="00A42483" w:rsidRDefault="00AC6CAC" w:rsidP="0015485F">
                      <w:pPr>
                        <w:jc w:val="center"/>
                        <w:rPr>
                          <w:b/>
                          <w:sz w:val="20"/>
                        </w:rPr>
                      </w:pPr>
                      <w:r w:rsidRPr="00A42483">
                        <w:rPr>
                          <w:b/>
                          <w:sz w:val="20"/>
                        </w:rPr>
                        <w:t>Визит 1</w:t>
                      </w:r>
                    </w:p>
                    <w:p w14:paraId="5C32AFBE" w14:textId="77777777" w:rsidR="00AC6CAC" w:rsidRPr="00A42483" w:rsidRDefault="00AC6CAC" w:rsidP="0015485F">
                      <w:pPr>
                        <w:jc w:val="center"/>
                        <w:rPr>
                          <w:i/>
                          <w:sz w:val="20"/>
                        </w:rPr>
                      </w:pPr>
                      <w:r w:rsidRPr="00A42483">
                        <w:rPr>
                          <w:i/>
                          <w:sz w:val="20"/>
                        </w:rPr>
                        <w:t>День 1. Неделя 1</w:t>
                      </w:r>
                    </w:p>
                    <w:p w14:paraId="1F8CF500" w14:textId="77777777" w:rsidR="00AC6CAC" w:rsidRDefault="00AC6CAC" w:rsidP="0015485F">
                      <w:pPr>
                        <w:jc w:val="center"/>
                        <w:rPr>
                          <w:sz w:val="20"/>
                        </w:rPr>
                      </w:pPr>
                      <w:r>
                        <w:rPr>
                          <w:sz w:val="20"/>
                        </w:rPr>
                        <w:t>Начало терапии.</w:t>
                      </w:r>
                    </w:p>
                    <w:p w14:paraId="7D9FC6D4" w14:textId="77777777" w:rsidR="00AC6CAC" w:rsidRPr="00A42483" w:rsidRDefault="00AC6CAC" w:rsidP="0015485F">
                      <w:pPr>
                        <w:jc w:val="center"/>
                        <w:rPr>
                          <w:b/>
                          <w:i/>
                          <w:sz w:val="20"/>
                        </w:rPr>
                      </w:pPr>
                      <w:r w:rsidRPr="00A42483">
                        <w:rPr>
                          <w:b/>
                          <w:i/>
                          <w:sz w:val="20"/>
                        </w:rPr>
                        <w:t>Группа 2: Авастин</w:t>
                      </w:r>
                      <w:r w:rsidRPr="00121FA5">
                        <w:rPr>
                          <w:rFonts w:cs="Times New Roman"/>
                          <w:b/>
                          <w:i/>
                          <w:sz w:val="20"/>
                          <w:vertAlign w:val="superscript"/>
                        </w:rPr>
                        <w:t>®</w:t>
                      </w:r>
                    </w:p>
                    <w:p w14:paraId="759BBE4E" w14:textId="77777777" w:rsidR="00AC6CAC" w:rsidRDefault="00AC6CAC" w:rsidP="0015485F">
                      <w:pPr>
                        <w:jc w:val="center"/>
                      </w:pPr>
                    </w:p>
                  </w:txbxContent>
                </v:textbox>
              </v:roundrect>
            </w:pict>
          </mc:Fallback>
        </mc:AlternateContent>
      </w:r>
    </w:p>
    <w:p w14:paraId="6BD62FA4" w14:textId="734D4675" w:rsidR="0015485F" w:rsidRPr="009E6200" w:rsidRDefault="00BB6320" w:rsidP="007B46F5">
      <w:pPr>
        <w:jc w:val="both"/>
        <w:rPr>
          <w:lang w:eastAsia="ru-RU"/>
        </w:rPr>
      </w:pPr>
      <w:r w:rsidRPr="009E6200">
        <w:rPr>
          <w:noProof/>
          <w:lang w:eastAsia="ru-RU"/>
        </w:rPr>
        <mc:AlternateContent>
          <mc:Choice Requires="wps">
            <w:drawing>
              <wp:anchor distT="0" distB="0" distL="114300" distR="114300" simplePos="0" relativeHeight="251631616" behindDoc="0" locked="0" layoutInCell="1" allowOverlap="1" wp14:anchorId="14A651BE" wp14:editId="292A076C">
                <wp:simplePos x="0" y="0"/>
                <wp:positionH relativeFrom="margin">
                  <wp:align>left</wp:align>
                </wp:positionH>
                <wp:positionV relativeFrom="paragraph">
                  <wp:posOffset>7344</wp:posOffset>
                </wp:positionV>
                <wp:extent cx="1012190" cy="739140"/>
                <wp:effectExtent l="0" t="0" r="16510" b="22860"/>
                <wp:wrapNone/>
                <wp:docPr id="10" name="Скругленный прямоугольник 10"/>
                <wp:cNvGraphicFramePr/>
                <a:graphic xmlns:a="http://schemas.openxmlformats.org/drawingml/2006/main">
                  <a:graphicData uri="http://schemas.microsoft.com/office/word/2010/wordprocessingShape">
                    <wps:wsp>
                      <wps:cNvSpPr/>
                      <wps:spPr>
                        <a:xfrm>
                          <a:off x="0" y="0"/>
                          <a:ext cx="1012190" cy="73914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D3285F1" w14:textId="77777777" w:rsidR="00AC6CAC" w:rsidRPr="00A42483" w:rsidRDefault="00AC6CAC" w:rsidP="0015485F">
                            <w:pPr>
                              <w:jc w:val="center"/>
                              <w:rPr>
                                <w:b/>
                                <w:sz w:val="20"/>
                              </w:rPr>
                            </w:pPr>
                            <w:r w:rsidRPr="00A42483">
                              <w:rPr>
                                <w:b/>
                                <w:sz w:val="20"/>
                              </w:rPr>
                              <w:t>Визит 0</w:t>
                            </w:r>
                          </w:p>
                          <w:p w14:paraId="76494DC8" w14:textId="77777777" w:rsidR="00AC6CAC" w:rsidRPr="00A42483" w:rsidRDefault="00AC6CAC" w:rsidP="0015485F">
                            <w:pPr>
                              <w:jc w:val="center"/>
                              <w:rPr>
                                <w:i/>
                                <w:sz w:val="20"/>
                              </w:rPr>
                            </w:pPr>
                            <w:r w:rsidRPr="00A42483">
                              <w:rPr>
                                <w:i/>
                                <w:sz w:val="20"/>
                              </w:rPr>
                              <w:t>День -</w:t>
                            </w:r>
                            <w:r>
                              <w:rPr>
                                <w:i/>
                                <w:sz w:val="20"/>
                              </w:rPr>
                              <w:t>2</w:t>
                            </w:r>
                            <w:r w:rsidRPr="00A42483">
                              <w:rPr>
                                <w:i/>
                                <w:sz w:val="20"/>
                              </w:rPr>
                              <w:t>7</w:t>
                            </w:r>
                            <w:r>
                              <w:rPr>
                                <w:i/>
                                <w:sz w:val="20"/>
                              </w:rPr>
                              <w:t xml:space="preserve"> </w:t>
                            </w:r>
                            <w:r w:rsidRPr="00A42483">
                              <w:rPr>
                                <w:i/>
                                <w:sz w:val="20"/>
                              </w:rPr>
                              <w:t>– 0</w:t>
                            </w:r>
                          </w:p>
                          <w:p w14:paraId="7539ECB0" w14:textId="77777777" w:rsidR="00AC6CAC" w:rsidRDefault="00AC6CAC" w:rsidP="0015485F">
                            <w:pPr>
                              <w:jc w:val="center"/>
                            </w:pPr>
                            <w:r w:rsidRPr="0015485F">
                              <w:rPr>
                                <w:sz w:val="20"/>
                              </w:rPr>
                              <w:t>Скрининг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A651BE" id="Скругленный прямоугольник 10" o:spid="_x0000_s1030" style="position:absolute;left:0;text-align:left;margin-left:0;margin-top:.6pt;width:79.7pt;height:58.2pt;z-index:251631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" fillcolor="white [3201]" strokecolor="#5b9bd5 [3204]" strokeweight="1pt">
                <v:stroke joinstyle="miter"/>
                <v:textbox>
                  <w:txbxContent>
                    <w:p w14:paraId="5D3285F1" w14:textId="77777777" w:rsidR="00AC6CAC" w:rsidRPr="00A42483" w:rsidRDefault="00AC6CAC" w:rsidP="0015485F">
                      <w:pPr>
                        <w:jc w:val="center"/>
                        <w:rPr>
                          <w:b/>
                          <w:sz w:val="20"/>
                        </w:rPr>
                      </w:pPr>
                      <w:r w:rsidRPr="00A42483">
                        <w:rPr>
                          <w:b/>
                          <w:sz w:val="20"/>
                        </w:rPr>
                        <w:t>Визит 0</w:t>
                      </w:r>
                    </w:p>
                    <w:p w14:paraId="76494DC8" w14:textId="77777777" w:rsidR="00AC6CAC" w:rsidRPr="00A42483" w:rsidRDefault="00AC6CAC" w:rsidP="0015485F">
                      <w:pPr>
                        <w:jc w:val="center"/>
                        <w:rPr>
                          <w:i/>
                          <w:sz w:val="20"/>
                        </w:rPr>
                      </w:pPr>
                      <w:r w:rsidRPr="00A42483">
                        <w:rPr>
                          <w:i/>
                          <w:sz w:val="20"/>
                        </w:rPr>
                        <w:t>День -</w:t>
                      </w:r>
                      <w:r>
                        <w:rPr>
                          <w:i/>
                          <w:sz w:val="20"/>
                        </w:rPr>
                        <w:t>2</w:t>
                      </w:r>
                      <w:r w:rsidRPr="00A42483">
                        <w:rPr>
                          <w:i/>
                          <w:sz w:val="20"/>
                        </w:rPr>
                        <w:t>7</w:t>
                      </w:r>
                      <w:r>
                        <w:rPr>
                          <w:i/>
                          <w:sz w:val="20"/>
                        </w:rPr>
                        <w:t xml:space="preserve"> </w:t>
                      </w:r>
                      <w:r w:rsidRPr="00A42483">
                        <w:rPr>
                          <w:i/>
                          <w:sz w:val="20"/>
                        </w:rPr>
                        <w:t>– 0</w:t>
                      </w:r>
                    </w:p>
                    <w:p w14:paraId="7539ECB0" w14:textId="77777777" w:rsidR="00AC6CAC" w:rsidRDefault="00AC6CAC" w:rsidP="0015485F">
                      <w:pPr>
                        <w:jc w:val="center"/>
                      </w:pPr>
                      <w:r w:rsidRPr="0015485F">
                        <w:rPr>
                          <w:sz w:val="20"/>
                        </w:rPr>
                        <w:t>Скрининг</w:t>
                      </w:r>
                    </w:p>
                  </w:txbxContent>
                </v:textbox>
                <w10:wrap anchorx="margin"/>
              </v:roundrect>
            </w:pict>
          </mc:Fallback>
        </mc:AlternateContent>
      </w:r>
    </w:p>
    <w:p w14:paraId="12EEA49C" w14:textId="396C35A8" w:rsidR="0015485F" w:rsidRPr="009E6200" w:rsidRDefault="00BB6320" w:rsidP="007B46F5">
      <w:pPr>
        <w:jc w:val="both"/>
        <w:rPr>
          <w:lang w:eastAsia="ru-RU"/>
        </w:rPr>
      </w:pPr>
      <w:r w:rsidRPr="009E6200">
        <w:rPr>
          <w:noProof/>
          <w:lang w:eastAsia="ru-RU"/>
        </w:rPr>
        <mc:AlternateContent>
          <mc:Choice Requires="wps">
            <w:drawing>
              <wp:anchor distT="0" distB="0" distL="114300" distR="114300" simplePos="0" relativeHeight="251672576" behindDoc="0" locked="0" layoutInCell="1" allowOverlap="1" wp14:anchorId="068D0404" wp14:editId="735A7489">
                <wp:simplePos x="0" y="0"/>
                <wp:positionH relativeFrom="column">
                  <wp:posOffset>3897382</wp:posOffset>
                </wp:positionH>
                <wp:positionV relativeFrom="paragraph">
                  <wp:posOffset>159910</wp:posOffset>
                </wp:positionV>
                <wp:extent cx="389613" cy="647810"/>
                <wp:effectExtent l="19050" t="38100" r="48895" b="19050"/>
                <wp:wrapNone/>
                <wp:docPr id="21" name="Прямая со стрелкой 21"/>
                <wp:cNvGraphicFramePr/>
                <a:graphic xmlns:a="http://schemas.openxmlformats.org/drawingml/2006/main">
                  <a:graphicData uri="http://schemas.microsoft.com/office/word/2010/wordprocessingShape">
                    <wps:wsp>
                      <wps:cNvCnPr/>
                      <wps:spPr>
                        <a:xfrm flipV="1">
                          <a:off x="0" y="0"/>
                          <a:ext cx="389613" cy="64781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55A3F2" id="Прямая со стрелкой 21" o:spid="_x0000_s1026" type="#_x0000_t32" style="position:absolute;margin-left:306.9pt;margin-top:12.6pt;width:30.7pt;height:51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" strokecolor="#5b9bd5 [3204]" strokeweight="3pt">
                <v:stroke endarrow="block" joinstyle="miter"/>
              </v:shape>
            </w:pict>
          </mc:Fallback>
        </mc:AlternateContent>
      </w:r>
      <w:r w:rsidR="0048224A" w:rsidRPr="009E6200">
        <w:rPr>
          <w:noProof/>
          <w:lang w:eastAsia="ru-RU"/>
        </w:rPr>
        <mc:AlternateContent>
          <mc:Choice Requires="wps">
            <w:drawing>
              <wp:anchor distT="0" distB="0" distL="114300" distR="114300" simplePos="0" relativeHeight="251657216" behindDoc="0" locked="0" layoutInCell="1" allowOverlap="1" wp14:anchorId="64EE6260" wp14:editId="2840F3CA">
                <wp:simplePos x="0" y="0"/>
                <wp:positionH relativeFrom="column">
                  <wp:posOffset>1012177</wp:posOffset>
                </wp:positionH>
                <wp:positionV relativeFrom="paragraph">
                  <wp:posOffset>88373</wp:posOffset>
                </wp:positionV>
                <wp:extent cx="154305" cy="0"/>
                <wp:effectExtent l="0" t="95250" r="0" b="95250"/>
                <wp:wrapNone/>
                <wp:docPr id="16" name="Прямая со стрелкой 16"/>
                <wp:cNvGraphicFramePr/>
                <a:graphic xmlns:a="http://schemas.openxmlformats.org/drawingml/2006/main">
                  <a:graphicData uri="http://schemas.microsoft.com/office/word/2010/wordprocessingShape">
                    <wps:wsp>
                      <wps:cNvCnPr/>
                      <wps:spPr>
                        <a:xfrm>
                          <a:off x="0" y="0"/>
                          <a:ext cx="154305"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DF0D82" id="Прямая со стрелкой 16" o:spid="_x0000_s1026" type="#_x0000_t32" style="position:absolute;margin-left:79.7pt;margin-top:6.95pt;width:12.15pt;height:0;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" strokecolor="#5b9bd5 [3204]" strokeweight="3pt">
                <v:stroke endarrow="block" joinstyle="miter"/>
              </v:shape>
            </w:pict>
          </mc:Fallback>
        </mc:AlternateContent>
      </w:r>
    </w:p>
    <w:p w14:paraId="682DBC3A" w14:textId="77777777" w:rsidR="0015485F" w:rsidRPr="009E6200" w:rsidRDefault="0015485F" w:rsidP="007B46F5">
      <w:pPr>
        <w:jc w:val="both"/>
        <w:rPr>
          <w:lang w:eastAsia="ru-RU"/>
        </w:rPr>
      </w:pPr>
    </w:p>
    <w:p w14:paraId="3D9AE8D1" w14:textId="44C6F7C5" w:rsidR="0015485F" w:rsidRPr="009E6200" w:rsidRDefault="0015485F" w:rsidP="007B46F5">
      <w:pPr>
        <w:jc w:val="both"/>
        <w:rPr>
          <w:lang w:eastAsia="ru-RU"/>
        </w:rPr>
      </w:pPr>
    </w:p>
    <w:p w14:paraId="7AE27B67" w14:textId="201C2054" w:rsidR="00882182" w:rsidRPr="009E6200" w:rsidRDefault="00BB6320" w:rsidP="007B46F5">
      <w:pPr>
        <w:pStyle w:val="SDText"/>
        <w:jc w:val="both"/>
        <w:rPr>
          <w:lang w:eastAsia="ru-RU"/>
        </w:rPr>
      </w:pPr>
      <w:r w:rsidRPr="009E6200">
        <w:rPr>
          <w:noProof/>
          <w:lang w:eastAsia="ru-RU"/>
        </w:rPr>
        <mc:AlternateContent>
          <mc:Choice Requires="wps">
            <w:drawing>
              <wp:anchor distT="0" distB="0" distL="114300" distR="114300" simplePos="0" relativeHeight="251687936" behindDoc="0" locked="0" layoutInCell="1" allowOverlap="1" wp14:anchorId="5ED549F9" wp14:editId="6BBAC88E">
                <wp:simplePos x="0" y="0"/>
                <wp:positionH relativeFrom="column">
                  <wp:posOffset>4819733</wp:posOffset>
                </wp:positionH>
                <wp:positionV relativeFrom="paragraph">
                  <wp:posOffset>146409</wp:posOffset>
                </wp:positionV>
                <wp:extent cx="169241" cy="675861"/>
                <wp:effectExtent l="0" t="0" r="21590" b="29210"/>
                <wp:wrapNone/>
                <wp:docPr id="5" name="Прямая со стрелкой 5"/>
                <wp:cNvGraphicFramePr/>
                <a:graphic xmlns:a="http://schemas.openxmlformats.org/drawingml/2006/main">
                  <a:graphicData uri="http://schemas.microsoft.com/office/word/2010/wordprocessingShape">
                    <wps:wsp>
                      <wps:cNvCnPr/>
                      <wps:spPr>
                        <a:xfrm flipH="1">
                          <a:off x="0" y="0"/>
                          <a:ext cx="169241" cy="675861"/>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DDD3FD" id="Прямая со стрелкой 5" o:spid="_x0000_s1026" type="#_x0000_t32" style="position:absolute;margin-left:379.5pt;margin-top:11.55pt;width:13.35pt;height:53.2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" strokecolor="#5b9bd5 [3204]">
                <v:stroke dashstyle="dash"/>
              </v:shape>
            </w:pict>
          </mc:Fallback>
        </mc:AlternateContent>
      </w:r>
      <w:r w:rsidR="0048224A" w:rsidRPr="009E6200">
        <w:rPr>
          <w:noProof/>
          <w:lang w:eastAsia="ru-RU"/>
        </w:rPr>
        <mc:AlternateContent>
          <mc:Choice Requires="wps">
            <w:drawing>
              <wp:anchor distT="0" distB="0" distL="114300" distR="114300" simplePos="0" relativeHeight="251682816" behindDoc="0" locked="0" layoutInCell="1" allowOverlap="1" wp14:anchorId="53AEF3D9" wp14:editId="027FF933">
                <wp:simplePos x="0" y="0"/>
                <wp:positionH relativeFrom="column">
                  <wp:posOffset>327246</wp:posOffset>
                </wp:positionH>
                <wp:positionV relativeFrom="paragraph">
                  <wp:posOffset>822270</wp:posOffset>
                </wp:positionV>
                <wp:extent cx="5659948" cy="1049545"/>
                <wp:effectExtent l="0" t="0" r="17145" b="17780"/>
                <wp:wrapNone/>
                <wp:docPr id="4" name="Скругленный прямоугольник 15"/>
                <wp:cNvGraphicFramePr/>
                <a:graphic xmlns:a="http://schemas.openxmlformats.org/drawingml/2006/main">
                  <a:graphicData uri="http://schemas.microsoft.com/office/word/2010/wordprocessingShape">
                    <wps:wsp>
                      <wps:cNvSpPr/>
                      <wps:spPr>
                        <a:xfrm>
                          <a:off x="0" y="0"/>
                          <a:ext cx="5659948" cy="104954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2FE4B39C" w14:textId="1A02296A" w:rsidR="00AC6CAC" w:rsidRPr="00A42483" w:rsidRDefault="00AC6CAC" w:rsidP="0048224A">
                            <w:pPr>
                              <w:jc w:val="center"/>
                              <w:rPr>
                                <w:b/>
                                <w:sz w:val="20"/>
                              </w:rPr>
                            </w:pPr>
                            <w:r w:rsidRPr="00A42483">
                              <w:rPr>
                                <w:b/>
                                <w:sz w:val="20"/>
                              </w:rPr>
                              <w:t xml:space="preserve">Визиты </w:t>
                            </w:r>
                            <w:r>
                              <w:rPr>
                                <w:b/>
                                <w:sz w:val="20"/>
                              </w:rPr>
                              <w:t>10-18+</w:t>
                            </w:r>
                          </w:p>
                          <w:p w14:paraId="73CB2389" w14:textId="5127DEFF" w:rsidR="00AC6CAC" w:rsidRPr="00A42483" w:rsidRDefault="00AC6CAC" w:rsidP="0048224A">
                            <w:pPr>
                              <w:jc w:val="center"/>
                              <w:rPr>
                                <w:i/>
                                <w:sz w:val="20"/>
                              </w:rPr>
                            </w:pPr>
                            <w:r w:rsidRPr="00A42483">
                              <w:rPr>
                                <w:i/>
                                <w:sz w:val="20"/>
                              </w:rPr>
                              <w:t xml:space="preserve">Недели </w:t>
                            </w:r>
                            <w:r>
                              <w:rPr>
                                <w:i/>
                                <w:sz w:val="20"/>
                              </w:rPr>
                              <w:t>28 - 52</w:t>
                            </w:r>
                          </w:p>
                          <w:p w14:paraId="531F43FE" w14:textId="6E038A95" w:rsidR="00AC6CAC" w:rsidRPr="0015485F" w:rsidRDefault="00AC6CAC" w:rsidP="0048224A">
                            <w:pPr>
                              <w:jc w:val="center"/>
                              <w:rPr>
                                <w:sz w:val="20"/>
                              </w:rPr>
                            </w:pPr>
                            <w:r>
                              <w:rPr>
                                <w:sz w:val="20"/>
                              </w:rPr>
                              <w:t xml:space="preserve">Продленная фаза (монотерапия бевацизумабом согласно группе лечения с переводом всех пациентов на </w:t>
                            </w:r>
                            <w:r>
                              <w:rPr>
                                <w:sz w:val="20"/>
                                <w:lang w:val="en-US"/>
                              </w:rPr>
                              <w:t>RPH</w:t>
                            </w:r>
                            <w:r w:rsidRPr="00DA24D0">
                              <w:rPr>
                                <w:sz w:val="20"/>
                              </w:rPr>
                              <w:t xml:space="preserve">-001 </w:t>
                            </w:r>
                            <w:r>
                              <w:rPr>
                                <w:sz w:val="20"/>
                              </w:rPr>
                              <w:t>в случае доказательства эквивалентности препарату сравнения Авастин</w:t>
                            </w:r>
                            <w:r w:rsidRPr="00DA24D0">
                              <w:rPr>
                                <w:rFonts w:cs="Times New Roman"/>
                                <w:sz w:val="20"/>
                                <w:vertAlign w:val="superscript"/>
                              </w:rPr>
                              <w:t>®</w:t>
                            </w:r>
                            <w:r>
                              <w:rPr>
                                <w:sz w:val="20"/>
                              </w:rPr>
                              <w:t>). Оценка дополнительных параметров эффективности и безопасности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AEF3D9" id="_x0000_s1031" style="position:absolute;left:0;text-align:left;margin-left:25.75pt;margin-top:64.75pt;width:445.65pt;height:82.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" fillcolor="white [3201]" strokecolor="#5b9bd5 [3204]" strokeweight="1pt">
                <v:stroke joinstyle="miter"/>
                <v:textbox>
                  <w:txbxContent>
                    <w:p w14:paraId="2FE4B39C" w14:textId="1A02296A" w:rsidR="00AC6CAC" w:rsidRPr="00A42483" w:rsidRDefault="00AC6CAC" w:rsidP="0048224A">
                      <w:pPr>
                        <w:jc w:val="center"/>
                        <w:rPr>
                          <w:b/>
                          <w:sz w:val="20"/>
                        </w:rPr>
                      </w:pPr>
                      <w:r w:rsidRPr="00A42483">
                        <w:rPr>
                          <w:b/>
                          <w:sz w:val="20"/>
                        </w:rPr>
                        <w:t xml:space="preserve">Визиты </w:t>
                      </w:r>
                      <w:r>
                        <w:rPr>
                          <w:b/>
                          <w:sz w:val="20"/>
                        </w:rPr>
                        <w:t>10-18+</w:t>
                      </w:r>
                    </w:p>
                    <w:p w14:paraId="73CB2389" w14:textId="5127DEFF" w:rsidR="00AC6CAC" w:rsidRPr="00A42483" w:rsidRDefault="00AC6CAC" w:rsidP="0048224A">
                      <w:pPr>
                        <w:jc w:val="center"/>
                        <w:rPr>
                          <w:i/>
                          <w:sz w:val="20"/>
                        </w:rPr>
                      </w:pPr>
                      <w:r w:rsidRPr="00A42483">
                        <w:rPr>
                          <w:i/>
                          <w:sz w:val="20"/>
                        </w:rPr>
                        <w:t xml:space="preserve">Недели </w:t>
                      </w:r>
                      <w:r>
                        <w:rPr>
                          <w:i/>
                          <w:sz w:val="20"/>
                        </w:rPr>
                        <w:t>28 - 52</w:t>
                      </w:r>
                    </w:p>
                    <w:p w14:paraId="531F43FE" w14:textId="6E038A95" w:rsidR="00AC6CAC" w:rsidRPr="0015485F" w:rsidRDefault="00AC6CAC" w:rsidP="0048224A">
                      <w:pPr>
                        <w:jc w:val="center"/>
                        <w:rPr>
                          <w:sz w:val="20"/>
                        </w:rPr>
                      </w:pPr>
                      <w:r>
                        <w:rPr>
                          <w:sz w:val="20"/>
                        </w:rPr>
                        <w:t xml:space="preserve">Продленная фаза (монотерапия бевацизумабом согласно группе лечения с переводом всех пациентов на </w:t>
                      </w:r>
                      <w:r>
                        <w:rPr>
                          <w:sz w:val="20"/>
                          <w:lang w:val="en-US"/>
                        </w:rPr>
                        <w:t>RPH</w:t>
                      </w:r>
                      <w:r w:rsidRPr="00DA24D0">
                        <w:rPr>
                          <w:sz w:val="20"/>
                        </w:rPr>
                        <w:t xml:space="preserve">-001 </w:t>
                      </w:r>
                      <w:r>
                        <w:rPr>
                          <w:sz w:val="20"/>
                        </w:rPr>
                        <w:t>в случае доказательства эквивалентности препарату сравнения Авастин</w:t>
                      </w:r>
                      <w:r w:rsidRPr="00DA24D0">
                        <w:rPr>
                          <w:rFonts w:cs="Times New Roman"/>
                          <w:sz w:val="20"/>
                          <w:vertAlign w:val="superscript"/>
                        </w:rPr>
                        <w:t>®</w:t>
                      </w:r>
                      <w:r>
                        <w:rPr>
                          <w:sz w:val="20"/>
                        </w:rPr>
                        <w:t>). Оценка дополнительных параметров эффективности и безопасности</w:t>
                      </w:r>
                    </w:p>
                  </w:txbxContent>
                </v:textbox>
              </v:roundrect>
            </w:pict>
          </mc:Fallback>
        </mc:AlternateContent>
      </w:r>
    </w:p>
    <w:p w14:paraId="5DA52AAF" w14:textId="77777777" w:rsidR="00882182" w:rsidRPr="009E6200" w:rsidRDefault="00882182" w:rsidP="007B46F5">
      <w:pPr>
        <w:pStyle w:val="SDText"/>
        <w:jc w:val="both"/>
        <w:rPr>
          <w:lang w:eastAsia="ru-RU"/>
        </w:rPr>
        <w:sectPr w:rsidR="00882182" w:rsidRPr="009E6200" w:rsidSect="00513782">
          <w:pgSz w:w="11906" w:h="16838"/>
          <w:pgMar w:top="1134" w:right="850" w:bottom="1134" w:left="1701" w:header="708" w:footer="708" w:gutter="0"/>
          <w:cols w:space="708"/>
          <w:docGrid w:linePitch="360"/>
        </w:sectPr>
      </w:pPr>
    </w:p>
    <w:p w14:paraId="614CAC74" w14:textId="32D7ED71" w:rsidR="005C6E88" w:rsidRDefault="00EE238D" w:rsidP="007B46F5">
      <w:pPr>
        <w:pStyle w:val="Heading3"/>
        <w:spacing w:before="0" w:after="0" w:line="240" w:lineRule="auto"/>
        <w:ind w:left="709" w:hanging="709"/>
        <w:jc w:val="both"/>
        <w:rPr>
          <w:color w:val="auto"/>
          <w:sz w:val="24"/>
        </w:rPr>
      </w:pPr>
      <w:bookmarkStart w:id="117" w:name="_Ref16246617"/>
      <w:bookmarkStart w:id="118" w:name="_Toc120865243"/>
      <w:r w:rsidRPr="001F4578">
        <w:rPr>
          <w:color w:val="auto"/>
          <w:sz w:val="24"/>
        </w:rPr>
        <w:t>График процедур исследования в табличном виде</w:t>
      </w:r>
      <w:bookmarkEnd w:id="117"/>
      <w:bookmarkEnd w:id="118"/>
    </w:p>
    <w:p w14:paraId="20BCC5CB" w14:textId="77777777" w:rsidR="00992857" w:rsidRPr="00992857" w:rsidRDefault="00992857" w:rsidP="00992857">
      <w:pPr>
        <w:pStyle w:val="SDText"/>
        <w:rPr>
          <w:lang w:eastAsia="ru-RU"/>
        </w:rPr>
      </w:pPr>
    </w:p>
    <w:tbl>
      <w:tblPr>
        <w:tblStyle w:val="TableGrid"/>
        <w:tblW w:w="4915" w:type="pct"/>
        <w:tblLook w:val="04A0" w:firstRow="1" w:lastRow="0" w:firstColumn="1" w:lastColumn="0" w:noHBand="0" w:noVBand="1"/>
      </w:tblPr>
      <w:tblGrid>
        <w:gridCol w:w="3877"/>
        <w:gridCol w:w="795"/>
        <w:gridCol w:w="1144"/>
        <w:gridCol w:w="377"/>
        <w:gridCol w:w="379"/>
        <w:gridCol w:w="379"/>
        <w:gridCol w:w="379"/>
        <w:gridCol w:w="379"/>
        <w:gridCol w:w="379"/>
        <w:gridCol w:w="379"/>
        <w:gridCol w:w="542"/>
        <w:gridCol w:w="379"/>
        <w:gridCol w:w="379"/>
        <w:gridCol w:w="542"/>
        <w:gridCol w:w="379"/>
        <w:gridCol w:w="379"/>
        <w:gridCol w:w="543"/>
        <w:gridCol w:w="380"/>
        <w:gridCol w:w="380"/>
        <w:gridCol w:w="543"/>
        <w:gridCol w:w="547"/>
        <w:gridCol w:w="346"/>
        <w:gridCol w:w="506"/>
      </w:tblGrid>
      <w:tr w:rsidR="005C6E88" w:rsidRPr="009E6200" w14:paraId="4B4FA6A3" w14:textId="77777777" w:rsidTr="00992857">
        <w:trPr>
          <w:cantSplit/>
          <w:trHeight w:val="2047"/>
          <w:tblHeader/>
        </w:trPr>
        <w:tc>
          <w:tcPr>
            <w:tcW w:w="1355" w:type="pct"/>
            <w:shd w:val="clear" w:color="auto" w:fill="D0CECE" w:themeFill="background2" w:themeFillShade="E6"/>
            <w:tcMar>
              <w:left w:w="28" w:type="dxa"/>
              <w:right w:w="28" w:type="dxa"/>
            </w:tcMar>
            <w:vAlign w:val="center"/>
          </w:tcPr>
          <w:p w14:paraId="5580D533" w14:textId="616F7803" w:rsidR="005C6E88" w:rsidRPr="009E6200" w:rsidRDefault="005C6E88" w:rsidP="00992857">
            <w:pPr>
              <w:pStyle w:val="SDText"/>
              <w:jc w:val="center"/>
              <w:rPr>
                <w:rFonts w:cs="Times New Roman"/>
                <w:b/>
                <w:sz w:val="16"/>
                <w:szCs w:val="16"/>
                <w:lang w:eastAsia="ru-RU"/>
              </w:rPr>
            </w:pPr>
            <w:r w:rsidRPr="009E6200">
              <w:rPr>
                <w:rFonts w:cs="Times New Roman"/>
                <w:b/>
                <w:sz w:val="16"/>
                <w:szCs w:val="16"/>
                <w:lang w:eastAsia="ru-RU"/>
              </w:rPr>
              <w:t>Этап исследования</w:t>
            </w:r>
          </w:p>
        </w:tc>
        <w:tc>
          <w:tcPr>
            <w:tcW w:w="278" w:type="pct"/>
            <w:shd w:val="clear" w:color="auto" w:fill="D0CECE" w:themeFill="background2" w:themeFillShade="E6"/>
            <w:tcMar>
              <w:left w:w="28" w:type="dxa"/>
              <w:right w:w="28" w:type="dxa"/>
            </w:tcMar>
            <w:vAlign w:val="center"/>
          </w:tcPr>
          <w:p w14:paraId="4A7FF76B" w14:textId="77777777" w:rsidR="005C6E88" w:rsidRPr="009E6200" w:rsidRDefault="005C6E88" w:rsidP="00992857">
            <w:pPr>
              <w:pStyle w:val="SDText"/>
              <w:jc w:val="center"/>
              <w:rPr>
                <w:rFonts w:cs="Times New Roman"/>
                <w:b/>
                <w:sz w:val="16"/>
                <w:szCs w:val="16"/>
                <w:lang w:eastAsia="ru-RU"/>
              </w:rPr>
            </w:pPr>
            <w:r w:rsidRPr="009E6200">
              <w:rPr>
                <w:rFonts w:cs="Times New Roman"/>
                <w:b/>
                <w:sz w:val="16"/>
                <w:szCs w:val="16"/>
                <w:lang w:eastAsia="ru-RU"/>
              </w:rPr>
              <w:t>Скрининг</w:t>
            </w:r>
          </w:p>
        </w:tc>
        <w:tc>
          <w:tcPr>
            <w:tcW w:w="400" w:type="pct"/>
            <w:shd w:val="clear" w:color="auto" w:fill="D0CECE" w:themeFill="background2" w:themeFillShade="E6"/>
            <w:tcMar>
              <w:left w:w="28" w:type="dxa"/>
              <w:right w:w="28" w:type="dxa"/>
            </w:tcMar>
            <w:vAlign w:val="center"/>
          </w:tcPr>
          <w:p w14:paraId="2A43A14F" w14:textId="77777777" w:rsidR="005C6E88" w:rsidRPr="009E6200" w:rsidRDefault="005C6E88" w:rsidP="00992857">
            <w:pPr>
              <w:pStyle w:val="SDText"/>
              <w:jc w:val="center"/>
              <w:rPr>
                <w:rFonts w:cs="Times New Roman"/>
                <w:b/>
                <w:sz w:val="16"/>
                <w:szCs w:val="16"/>
                <w:lang w:eastAsia="ru-RU"/>
              </w:rPr>
            </w:pPr>
            <w:r w:rsidRPr="009E6200">
              <w:rPr>
                <w:rFonts w:cs="Times New Roman"/>
                <w:b/>
                <w:sz w:val="16"/>
                <w:szCs w:val="16"/>
                <w:lang w:eastAsia="ru-RU"/>
              </w:rPr>
              <w:t>Рандомизация, начало терапии</w:t>
            </w:r>
          </w:p>
        </w:tc>
        <w:tc>
          <w:tcPr>
            <w:tcW w:w="1119" w:type="pct"/>
            <w:gridSpan w:val="8"/>
            <w:shd w:val="clear" w:color="auto" w:fill="D0CECE" w:themeFill="background2" w:themeFillShade="E6"/>
            <w:tcMar>
              <w:left w:w="28" w:type="dxa"/>
              <w:right w:w="28" w:type="dxa"/>
            </w:tcMar>
            <w:vAlign w:val="center"/>
          </w:tcPr>
          <w:p w14:paraId="7F901A94" w14:textId="77777777" w:rsidR="005C6E88" w:rsidRPr="009E6200" w:rsidRDefault="005C6E88" w:rsidP="00992857">
            <w:pPr>
              <w:pStyle w:val="SDText"/>
              <w:jc w:val="center"/>
              <w:rPr>
                <w:rFonts w:cs="Times New Roman"/>
                <w:b/>
                <w:sz w:val="16"/>
                <w:szCs w:val="16"/>
                <w:lang w:eastAsia="ru-RU"/>
              </w:rPr>
            </w:pPr>
            <w:r w:rsidRPr="009E6200">
              <w:rPr>
                <w:rFonts w:cs="Times New Roman"/>
                <w:b/>
                <w:sz w:val="16"/>
                <w:szCs w:val="16"/>
                <w:lang w:eastAsia="ru-RU"/>
              </w:rPr>
              <w:t>Основная часть исследования</w:t>
            </w:r>
          </w:p>
        </w:tc>
        <w:tc>
          <w:tcPr>
            <w:tcW w:w="1366" w:type="pct"/>
            <w:gridSpan w:val="9"/>
            <w:shd w:val="clear" w:color="auto" w:fill="D0CECE" w:themeFill="background2" w:themeFillShade="E6"/>
            <w:vAlign w:val="center"/>
          </w:tcPr>
          <w:p w14:paraId="56589986" w14:textId="77777777" w:rsidR="005C6E88" w:rsidRPr="009E6200" w:rsidRDefault="005C6E88" w:rsidP="00992857">
            <w:pPr>
              <w:pStyle w:val="SDText"/>
              <w:jc w:val="center"/>
              <w:rPr>
                <w:rFonts w:cs="Times New Roman"/>
                <w:b/>
                <w:sz w:val="16"/>
                <w:szCs w:val="16"/>
                <w:lang w:eastAsia="ru-RU"/>
              </w:rPr>
            </w:pPr>
            <w:r w:rsidRPr="009E6200">
              <w:rPr>
                <w:rFonts w:cs="Times New Roman"/>
                <w:b/>
                <w:sz w:val="16"/>
                <w:szCs w:val="16"/>
                <w:lang w:eastAsia="ru-RU"/>
              </w:rPr>
              <w:t>Продленная часть исследования</w:t>
            </w:r>
          </w:p>
        </w:tc>
        <w:tc>
          <w:tcPr>
            <w:tcW w:w="191" w:type="pct"/>
            <w:shd w:val="clear" w:color="auto" w:fill="D0CECE" w:themeFill="background2" w:themeFillShade="E6"/>
            <w:textDirection w:val="btLr"/>
          </w:tcPr>
          <w:p w14:paraId="200689F7"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Период последующего наблюдения и терапии</w:t>
            </w:r>
            <w:r w:rsidRPr="0085192F">
              <w:rPr>
                <w:rStyle w:val="FootnoteReference"/>
              </w:rPr>
              <w:footnoteReference w:id="3"/>
            </w:r>
          </w:p>
        </w:tc>
        <w:tc>
          <w:tcPr>
            <w:tcW w:w="118" w:type="pct"/>
            <w:vMerge w:val="restart"/>
            <w:shd w:val="clear" w:color="auto" w:fill="D0CECE" w:themeFill="background2" w:themeFillShade="E6"/>
            <w:tcMar>
              <w:left w:w="28" w:type="dxa"/>
              <w:right w:w="28" w:type="dxa"/>
            </w:tcMar>
            <w:textDirection w:val="btLr"/>
            <w:vAlign w:val="center"/>
          </w:tcPr>
          <w:p w14:paraId="35E78BDE"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Внеплановый визит</w:t>
            </w:r>
            <w:r w:rsidRPr="0085192F">
              <w:rPr>
                <w:rStyle w:val="FootnoteReference"/>
              </w:rPr>
              <w:footnoteReference w:id="4"/>
            </w:r>
          </w:p>
        </w:tc>
        <w:tc>
          <w:tcPr>
            <w:tcW w:w="174" w:type="pct"/>
            <w:vMerge w:val="restart"/>
            <w:shd w:val="clear" w:color="auto" w:fill="D0CECE" w:themeFill="background2" w:themeFillShade="E6"/>
            <w:textDirection w:val="btLr"/>
          </w:tcPr>
          <w:p w14:paraId="0EED93E6" w14:textId="4B1C25F1" w:rsidR="005C6E88" w:rsidRPr="001D206A" w:rsidRDefault="005C6E88" w:rsidP="007B46F5">
            <w:pPr>
              <w:pStyle w:val="SDText"/>
              <w:ind w:left="113" w:right="113"/>
              <w:jc w:val="both"/>
              <w:rPr>
                <w:rFonts w:cs="Times New Roman"/>
                <w:b/>
                <w:sz w:val="14"/>
                <w:szCs w:val="14"/>
                <w:lang w:eastAsia="ru-RU"/>
              </w:rPr>
            </w:pPr>
            <w:r w:rsidRPr="001D206A">
              <w:rPr>
                <w:rFonts w:cs="Times New Roman"/>
                <w:b/>
                <w:sz w:val="14"/>
                <w:szCs w:val="14"/>
                <w:lang w:eastAsia="ru-RU"/>
              </w:rPr>
              <w:t>Визит прежд</w:t>
            </w:r>
            <w:r>
              <w:rPr>
                <w:rFonts w:cs="Times New Roman"/>
                <w:b/>
                <w:sz w:val="14"/>
                <w:szCs w:val="14"/>
                <w:lang w:eastAsia="ru-RU"/>
              </w:rPr>
              <w:t>.</w:t>
            </w:r>
            <w:r w:rsidRPr="001D206A">
              <w:rPr>
                <w:rFonts w:cs="Times New Roman"/>
                <w:b/>
                <w:sz w:val="14"/>
                <w:szCs w:val="14"/>
                <w:lang w:eastAsia="ru-RU"/>
              </w:rPr>
              <w:t xml:space="preserve"> </w:t>
            </w:r>
            <w:r w:rsidR="00015287">
              <w:rPr>
                <w:rFonts w:cs="Times New Roman"/>
                <w:b/>
                <w:sz w:val="14"/>
                <w:szCs w:val="14"/>
                <w:lang w:eastAsia="ru-RU"/>
              </w:rPr>
              <w:t>з</w:t>
            </w:r>
            <w:r w:rsidRPr="001D206A">
              <w:rPr>
                <w:rFonts w:cs="Times New Roman"/>
                <w:b/>
                <w:sz w:val="14"/>
                <w:szCs w:val="14"/>
                <w:lang w:eastAsia="ru-RU"/>
              </w:rPr>
              <w:t>авершения</w:t>
            </w:r>
            <w:r>
              <w:rPr>
                <w:rFonts w:cs="Times New Roman"/>
                <w:b/>
                <w:sz w:val="14"/>
                <w:szCs w:val="14"/>
                <w:lang w:eastAsia="ru-RU"/>
              </w:rPr>
              <w:t xml:space="preserve"> </w:t>
            </w:r>
            <w:r w:rsidRPr="00695820">
              <w:rPr>
                <w:rStyle w:val="FootnoteReference"/>
              </w:rPr>
              <w:footnoteReference w:id="5"/>
            </w:r>
          </w:p>
        </w:tc>
      </w:tr>
      <w:tr w:rsidR="006C66C2" w:rsidRPr="009E6200" w14:paraId="2F08841B" w14:textId="77777777" w:rsidTr="00992857">
        <w:trPr>
          <w:cantSplit/>
          <w:trHeight w:val="170"/>
          <w:tblHeader/>
        </w:trPr>
        <w:tc>
          <w:tcPr>
            <w:tcW w:w="1355" w:type="pct"/>
            <w:shd w:val="clear" w:color="auto" w:fill="D0CECE" w:themeFill="background2" w:themeFillShade="E6"/>
            <w:tcMar>
              <w:left w:w="28" w:type="dxa"/>
              <w:right w:w="28" w:type="dxa"/>
            </w:tcMar>
            <w:vAlign w:val="center"/>
          </w:tcPr>
          <w:p w14:paraId="49B88B03" w14:textId="45B2D79A"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Номер визита</w:t>
            </w:r>
            <w:r w:rsidR="001002FC">
              <w:rPr>
                <w:rFonts w:cs="Times New Roman"/>
                <w:b/>
                <w:sz w:val="16"/>
                <w:szCs w:val="16"/>
                <w:lang w:eastAsia="ru-RU"/>
              </w:rPr>
              <w:t xml:space="preserve"> (цикл)</w:t>
            </w:r>
          </w:p>
        </w:tc>
        <w:tc>
          <w:tcPr>
            <w:tcW w:w="278" w:type="pct"/>
            <w:shd w:val="clear" w:color="auto" w:fill="D0CECE" w:themeFill="background2" w:themeFillShade="E6"/>
            <w:tcMar>
              <w:left w:w="28" w:type="dxa"/>
              <w:right w:w="28" w:type="dxa"/>
            </w:tcMar>
            <w:vAlign w:val="center"/>
          </w:tcPr>
          <w:p w14:paraId="47B9DD16"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0</w:t>
            </w:r>
          </w:p>
        </w:tc>
        <w:tc>
          <w:tcPr>
            <w:tcW w:w="400" w:type="pct"/>
            <w:shd w:val="clear" w:color="auto" w:fill="D0CECE" w:themeFill="background2" w:themeFillShade="E6"/>
            <w:tcMar>
              <w:left w:w="28" w:type="dxa"/>
              <w:right w:w="28" w:type="dxa"/>
            </w:tcMar>
            <w:vAlign w:val="center"/>
          </w:tcPr>
          <w:p w14:paraId="40637D84"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1</w:t>
            </w:r>
          </w:p>
        </w:tc>
        <w:tc>
          <w:tcPr>
            <w:tcW w:w="133" w:type="pct"/>
            <w:shd w:val="clear" w:color="auto" w:fill="D0CECE" w:themeFill="background2" w:themeFillShade="E6"/>
            <w:tcMar>
              <w:left w:w="28" w:type="dxa"/>
              <w:right w:w="28" w:type="dxa"/>
            </w:tcMar>
            <w:vAlign w:val="center"/>
          </w:tcPr>
          <w:p w14:paraId="43D319B4"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2</w:t>
            </w:r>
          </w:p>
        </w:tc>
        <w:tc>
          <w:tcPr>
            <w:tcW w:w="133" w:type="pct"/>
            <w:shd w:val="clear" w:color="auto" w:fill="D0CECE" w:themeFill="background2" w:themeFillShade="E6"/>
            <w:tcMar>
              <w:left w:w="28" w:type="dxa"/>
              <w:right w:w="28" w:type="dxa"/>
            </w:tcMar>
            <w:vAlign w:val="center"/>
          </w:tcPr>
          <w:p w14:paraId="148DE5AF"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3</w:t>
            </w:r>
          </w:p>
        </w:tc>
        <w:tc>
          <w:tcPr>
            <w:tcW w:w="133" w:type="pct"/>
            <w:shd w:val="clear" w:color="auto" w:fill="D0CECE" w:themeFill="background2" w:themeFillShade="E6"/>
            <w:tcMar>
              <w:left w:w="28" w:type="dxa"/>
              <w:right w:w="28" w:type="dxa"/>
            </w:tcMar>
            <w:vAlign w:val="center"/>
          </w:tcPr>
          <w:p w14:paraId="22B13581"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4</w:t>
            </w:r>
          </w:p>
        </w:tc>
        <w:tc>
          <w:tcPr>
            <w:tcW w:w="133" w:type="pct"/>
            <w:shd w:val="clear" w:color="auto" w:fill="D0CECE" w:themeFill="background2" w:themeFillShade="E6"/>
            <w:tcMar>
              <w:left w:w="28" w:type="dxa"/>
              <w:right w:w="28" w:type="dxa"/>
            </w:tcMar>
            <w:vAlign w:val="center"/>
          </w:tcPr>
          <w:p w14:paraId="035E61EB"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5</w:t>
            </w:r>
          </w:p>
        </w:tc>
        <w:tc>
          <w:tcPr>
            <w:tcW w:w="133" w:type="pct"/>
            <w:shd w:val="clear" w:color="auto" w:fill="D0CECE" w:themeFill="background2" w:themeFillShade="E6"/>
            <w:tcMar>
              <w:left w:w="28" w:type="dxa"/>
              <w:right w:w="28" w:type="dxa"/>
            </w:tcMar>
            <w:vAlign w:val="center"/>
          </w:tcPr>
          <w:p w14:paraId="56DF35DB"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6</w:t>
            </w:r>
          </w:p>
        </w:tc>
        <w:tc>
          <w:tcPr>
            <w:tcW w:w="133" w:type="pct"/>
            <w:shd w:val="clear" w:color="auto" w:fill="D0CECE" w:themeFill="background2" w:themeFillShade="E6"/>
            <w:tcMar>
              <w:left w:w="28" w:type="dxa"/>
              <w:right w:w="28" w:type="dxa"/>
            </w:tcMar>
            <w:vAlign w:val="center"/>
          </w:tcPr>
          <w:p w14:paraId="4C220952"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7</w:t>
            </w:r>
          </w:p>
        </w:tc>
        <w:tc>
          <w:tcPr>
            <w:tcW w:w="133" w:type="pct"/>
            <w:shd w:val="clear" w:color="auto" w:fill="D0CECE" w:themeFill="background2" w:themeFillShade="E6"/>
            <w:tcMar>
              <w:left w:w="28" w:type="dxa"/>
              <w:right w:w="28" w:type="dxa"/>
            </w:tcMar>
            <w:vAlign w:val="center"/>
          </w:tcPr>
          <w:p w14:paraId="50CC64CE"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8</w:t>
            </w:r>
          </w:p>
        </w:tc>
        <w:tc>
          <w:tcPr>
            <w:tcW w:w="190" w:type="pct"/>
            <w:shd w:val="clear" w:color="auto" w:fill="D0CECE" w:themeFill="background2" w:themeFillShade="E6"/>
            <w:tcMar>
              <w:left w:w="28" w:type="dxa"/>
              <w:right w:w="28" w:type="dxa"/>
            </w:tcMar>
            <w:vAlign w:val="center"/>
          </w:tcPr>
          <w:p w14:paraId="4C4420C1"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9</w:t>
            </w:r>
          </w:p>
        </w:tc>
        <w:tc>
          <w:tcPr>
            <w:tcW w:w="133" w:type="pct"/>
            <w:shd w:val="clear" w:color="auto" w:fill="D0CECE" w:themeFill="background2" w:themeFillShade="E6"/>
            <w:tcMar>
              <w:left w:w="28" w:type="dxa"/>
              <w:right w:w="28" w:type="dxa"/>
            </w:tcMar>
            <w:vAlign w:val="center"/>
          </w:tcPr>
          <w:p w14:paraId="6CA977DC"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10</w:t>
            </w:r>
          </w:p>
        </w:tc>
        <w:tc>
          <w:tcPr>
            <w:tcW w:w="133" w:type="pct"/>
            <w:shd w:val="clear" w:color="auto" w:fill="D0CECE" w:themeFill="background2" w:themeFillShade="E6"/>
            <w:tcMar>
              <w:left w:w="28" w:type="dxa"/>
              <w:right w:w="28" w:type="dxa"/>
            </w:tcMar>
            <w:vAlign w:val="center"/>
          </w:tcPr>
          <w:p w14:paraId="3C681467"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11</w:t>
            </w:r>
          </w:p>
        </w:tc>
        <w:tc>
          <w:tcPr>
            <w:tcW w:w="190" w:type="pct"/>
            <w:shd w:val="clear" w:color="auto" w:fill="D0CECE" w:themeFill="background2" w:themeFillShade="E6"/>
            <w:tcMar>
              <w:left w:w="28" w:type="dxa"/>
              <w:right w:w="28" w:type="dxa"/>
            </w:tcMar>
            <w:vAlign w:val="center"/>
          </w:tcPr>
          <w:p w14:paraId="7FE39964"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12</w:t>
            </w:r>
          </w:p>
        </w:tc>
        <w:tc>
          <w:tcPr>
            <w:tcW w:w="133" w:type="pct"/>
            <w:shd w:val="clear" w:color="auto" w:fill="D0CECE" w:themeFill="background2" w:themeFillShade="E6"/>
            <w:tcMar>
              <w:left w:w="28" w:type="dxa"/>
              <w:right w:w="28" w:type="dxa"/>
            </w:tcMar>
            <w:vAlign w:val="center"/>
          </w:tcPr>
          <w:p w14:paraId="598099B2"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13</w:t>
            </w:r>
          </w:p>
        </w:tc>
        <w:tc>
          <w:tcPr>
            <w:tcW w:w="133" w:type="pct"/>
            <w:shd w:val="clear" w:color="auto" w:fill="D0CECE" w:themeFill="background2" w:themeFillShade="E6"/>
            <w:tcMar>
              <w:left w:w="28" w:type="dxa"/>
              <w:right w:w="28" w:type="dxa"/>
            </w:tcMar>
            <w:vAlign w:val="center"/>
          </w:tcPr>
          <w:p w14:paraId="359531FC"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14</w:t>
            </w:r>
          </w:p>
        </w:tc>
        <w:tc>
          <w:tcPr>
            <w:tcW w:w="190" w:type="pct"/>
            <w:shd w:val="clear" w:color="auto" w:fill="D0CECE" w:themeFill="background2" w:themeFillShade="E6"/>
            <w:tcMar>
              <w:left w:w="28" w:type="dxa"/>
              <w:right w:w="28" w:type="dxa"/>
            </w:tcMar>
            <w:vAlign w:val="center"/>
          </w:tcPr>
          <w:p w14:paraId="37AB4EBD"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15</w:t>
            </w:r>
          </w:p>
        </w:tc>
        <w:tc>
          <w:tcPr>
            <w:tcW w:w="133" w:type="pct"/>
            <w:shd w:val="clear" w:color="auto" w:fill="D0CECE" w:themeFill="background2" w:themeFillShade="E6"/>
            <w:tcMar>
              <w:left w:w="28" w:type="dxa"/>
              <w:right w:w="28" w:type="dxa"/>
            </w:tcMar>
            <w:vAlign w:val="center"/>
          </w:tcPr>
          <w:p w14:paraId="41F8795C"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16</w:t>
            </w:r>
          </w:p>
        </w:tc>
        <w:tc>
          <w:tcPr>
            <w:tcW w:w="133" w:type="pct"/>
            <w:shd w:val="clear" w:color="auto" w:fill="D0CECE" w:themeFill="background2" w:themeFillShade="E6"/>
            <w:tcMar>
              <w:left w:w="28" w:type="dxa"/>
              <w:right w:w="28" w:type="dxa"/>
            </w:tcMar>
            <w:vAlign w:val="center"/>
          </w:tcPr>
          <w:p w14:paraId="745489F2"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17</w:t>
            </w:r>
          </w:p>
        </w:tc>
        <w:tc>
          <w:tcPr>
            <w:tcW w:w="190" w:type="pct"/>
            <w:shd w:val="clear" w:color="auto" w:fill="D0CECE" w:themeFill="background2" w:themeFillShade="E6"/>
            <w:tcMar>
              <w:left w:w="28" w:type="dxa"/>
              <w:right w:w="28" w:type="dxa"/>
            </w:tcMar>
            <w:vAlign w:val="center"/>
          </w:tcPr>
          <w:p w14:paraId="6A3D0CB6"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18</w:t>
            </w:r>
          </w:p>
        </w:tc>
        <w:tc>
          <w:tcPr>
            <w:tcW w:w="191" w:type="pct"/>
            <w:shd w:val="clear" w:color="auto" w:fill="D0CECE" w:themeFill="background2" w:themeFillShade="E6"/>
            <w:vAlign w:val="center"/>
          </w:tcPr>
          <w:p w14:paraId="431D8F70"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19+</w:t>
            </w:r>
          </w:p>
        </w:tc>
        <w:tc>
          <w:tcPr>
            <w:tcW w:w="118" w:type="pct"/>
            <w:vMerge/>
            <w:shd w:val="clear" w:color="auto" w:fill="D0CECE" w:themeFill="background2" w:themeFillShade="E6"/>
            <w:tcMar>
              <w:left w:w="28" w:type="dxa"/>
              <w:right w:w="28" w:type="dxa"/>
            </w:tcMar>
            <w:vAlign w:val="center"/>
          </w:tcPr>
          <w:p w14:paraId="6014960D" w14:textId="77777777" w:rsidR="005C6E88" w:rsidRPr="009E6200" w:rsidRDefault="005C6E88" w:rsidP="007B46F5">
            <w:pPr>
              <w:pStyle w:val="SDText"/>
              <w:jc w:val="both"/>
              <w:rPr>
                <w:rFonts w:cs="Times New Roman"/>
                <w:sz w:val="16"/>
                <w:szCs w:val="16"/>
                <w:lang w:eastAsia="ru-RU"/>
              </w:rPr>
            </w:pPr>
          </w:p>
        </w:tc>
        <w:tc>
          <w:tcPr>
            <w:tcW w:w="174" w:type="pct"/>
            <w:vMerge/>
            <w:shd w:val="clear" w:color="auto" w:fill="D0CECE" w:themeFill="background2" w:themeFillShade="E6"/>
          </w:tcPr>
          <w:p w14:paraId="10CD4CD0" w14:textId="77777777" w:rsidR="005C6E88" w:rsidRPr="009E6200" w:rsidRDefault="005C6E88" w:rsidP="007B46F5">
            <w:pPr>
              <w:pStyle w:val="SDText"/>
              <w:jc w:val="both"/>
              <w:rPr>
                <w:rFonts w:cs="Times New Roman"/>
                <w:sz w:val="16"/>
                <w:szCs w:val="16"/>
                <w:lang w:eastAsia="ru-RU"/>
              </w:rPr>
            </w:pPr>
          </w:p>
        </w:tc>
      </w:tr>
      <w:tr w:rsidR="006C66C2" w:rsidRPr="009E6200" w14:paraId="7C607BF6" w14:textId="77777777" w:rsidTr="00992857">
        <w:trPr>
          <w:cantSplit/>
          <w:trHeight w:val="170"/>
          <w:tblHeader/>
        </w:trPr>
        <w:tc>
          <w:tcPr>
            <w:tcW w:w="1355" w:type="pct"/>
            <w:shd w:val="clear" w:color="auto" w:fill="D0CECE" w:themeFill="background2" w:themeFillShade="E6"/>
            <w:tcMar>
              <w:left w:w="28" w:type="dxa"/>
              <w:right w:w="28" w:type="dxa"/>
            </w:tcMar>
            <w:vAlign w:val="center"/>
          </w:tcPr>
          <w:p w14:paraId="74C0D0A7"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День</w:t>
            </w:r>
          </w:p>
        </w:tc>
        <w:tc>
          <w:tcPr>
            <w:tcW w:w="278" w:type="pct"/>
            <w:shd w:val="clear" w:color="auto" w:fill="D0CECE" w:themeFill="background2" w:themeFillShade="E6"/>
            <w:tcMar>
              <w:left w:w="28" w:type="dxa"/>
              <w:right w:w="28" w:type="dxa"/>
            </w:tcMar>
            <w:vAlign w:val="center"/>
          </w:tcPr>
          <w:p w14:paraId="2411967F"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-27… 0</w:t>
            </w:r>
          </w:p>
        </w:tc>
        <w:tc>
          <w:tcPr>
            <w:tcW w:w="400" w:type="pct"/>
            <w:shd w:val="clear" w:color="auto" w:fill="D0CECE" w:themeFill="background2" w:themeFillShade="E6"/>
            <w:tcMar>
              <w:left w:w="28" w:type="dxa"/>
              <w:right w:w="28" w:type="dxa"/>
            </w:tcMar>
            <w:vAlign w:val="center"/>
          </w:tcPr>
          <w:p w14:paraId="51C75B7B"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1</w:t>
            </w:r>
          </w:p>
        </w:tc>
        <w:tc>
          <w:tcPr>
            <w:tcW w:w="133" w:type="pct"/>
            <w:shd w:val="clear" w:color="auto" w:fill="D0CECE" w:themeFill="background2" w:themeFillShade="E6"/>
            <w:tcMar>
              <w:left w:w="28" w:type="dxa"/>
              <w:right w:w="28" w:type="dxa"/>
            </w:tcMar>
            <w:vAlign w:val="center"/>
          </w:tcPr>
          <w:p w14:paraId="680D5340"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22</w:t>
            </w:r>
          </w:p>
        </w:tc>
        <w:tc>
          <w:tcPr>
            <w:tcW w:w="133" w:type="pct"/>
            <w:shd w:val="clear" w:color="auto" w:fill="D0CECE" w:themeFill="background2" w:themeFillShade="E6"/>
            <w:tcMar>
              <w:left w:w="28" w:type="dxa"/>
              <w:right w:w="28" w:type="dxa"/>
            </w:tcMar>
            <w:vAlign w:val="center"/>
          </w:tcPr>
          <w:p w14:paraId="623FA8B9"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43</w:t>
            </w:r>
          </w:p>
        </w:tc>
        <w:tc>
          <w:tcPr>
            <w:tcW w:w="133" w:type="pct"/>
            <w:shd w:val="clear" w:color="auto" w:fill="D0CECE" w:themeFill="background2" w:themeFillShade="E6"/>
            <w:tcMar>
              <w:left w:w="28" w:type="dxa"/>
              <w:right w:w="28" w:type="dxa"/>
            </w:tcMar>
            <w:vAlign w:val="center"/>
          </w:tcPr>
          <w:p w14:paraId="3F389F51"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64</w:t>
            </w:r>
          </w:p>
        </w:tc>
        <w:tc>
          <w:tcPr>
            <w:tcW w:w="133" w:type="pct"/>
            <w:shd w:val="clear" w:color="auto" w:fill="D0CECE" w:themeFill="background2" w:themeFillShade="E6"/>
            <w:tcMar>
              <w:left w:w="28" w:type="dxa"/>
              <w:right w:w="28" w:type="dxa"/>
            </w:tcMar>
            <w:vAlign w:val="center"/>
          </w:tcPr>
          <w:p w14:paraId="7A44C5A8"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85</w:t>
            </w:r>
          </w:p>
        </w:tc>
        <w:tc>
          <w:tcPr>
            <w:tcW w:w="133" w:type="pct"/>
            <w:shd w:val="clear" w:color="auto" w:fill="D0CECE" w:themeFill="background2" w:themeFillShade="E6"/>
            <w:tcMar>
              <w:left w:w="28" w:type="dxa"/>
              <w:right w:w="28" w:type="dxa"/>
            </w:tcMar>
            <w:vAlign w:val="center"/>
          </w:tcPr>
          <w:p w14:paraId="3B5FB910"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106</w:t>
            </w:r>
          </w:p>
        </w:tc>
        <w:tc>
          <w:tcPr>
            <w:tcW w:w="133" w:type="pct"/>
            <w:shd w:val="clear" w:color="auto" w:fill="D0CECE" w:themeFill="background2" w:themeFillShade="E6"/>
            <w:tcMar>
              <w:left w:w="28" w:type="dxa"/>
              <w:right w:w="28" w:type="dxa"/>
            </w:tcMar>
            <w:vAlign w:val="center"/>
          </w:tcPr>
          <w:p w14:paraId="624B7E8A"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127</w:t>
            </w:r>
          </w:p>
        </w:tc>
        <w:tc>
          <w:tcPr>
            <w:tcW w:w="133" w:type="pct"/>
            <w:shd w:val="clear" w:color="auto" w:fill="D0CECE" w:themeFill="background2" w:themeFillShade="E6"/>
            <w:tcMar>
              <w:left w:w="28" w:type="dxa"/>
              <w:right w:w="28" w:type="dxa"/>
            </w:tcMar>
            <w:vAlign w:val="center"/>
          </w:tcPr>
          <w:p w14:paraId="05426B46"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148</w:t>
            </w:r>
          </w:p>
        </w:tc>
        <w:tc>
          <w:tcPr>
            <w:tcW w:w="190" w:type="pct"/>
            <w:shd w:val="clear" w:color="auto" w:fill="D0CECE" w:themeFill="background2" w:themeFillShade="E6"/>
            <w:tcMar>
              <w:left w:w="28" w:type="dxa"/>
              <w:right w:w="28" w:type="dxa"/>
            </w:tcMar>
            <w:vAlign w:val="center"/>
          </w:tcPr>
          <w:p w14:paraId="601A0890"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169</w:t>
            </w:r>
          </w:p>
        </w:tc>
        <w:tc>
          <w:tcPr>
            <w:tcW w:w="133" w:type="pct"/>
            <w:shd w:val="clear" w:color="auto" w:fill="D0CECE" w:themeFill="background2" w:themeFillShade="E6"/>
            <w:tcMar>
              <w:left w:w="28" w:type="dxa"/>
              <w:right w:w="28" w:type="dxa"/>
            </w:tcMar>
            <w:vAlign w:val="center"/>
          </w:tcPr>
          <w:p w14:paraId="61C755A0"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190</w:t>
            </w:r>
          </w:p>
        </w:tc>
        <w:tc>
          <w:tcPr>
            <w:tcW w:w="133" w:type="pct"/>
            <w:shd w:val="clear" w:color="auto" w:fill="D0CECE" w:themeFill="background2" w:themeFillShade="E6"/>
            <w:tcMar>
              <w:left w:w="28" w:type="dxa"/>
              <w:right w:w="28" w:type="dxa"/>
            </w:tcMar>
            <w:vAlign w:val="center"/>
          </w:tcPr>
          <w:p w14:paraId="372CC8BF"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211</w:t>
            </w:r>
          </w:p>
        </w:tc>
        <w:tc>
          <w:tcPr>
            <w:tcW w:w="190" w:type="pct"/>
            <w:shd w:val="clear" w:color="auto" w:fill="D0CECE" w:themeFill="background2" w:themeFillShade="E6"/>
            <w:tcMar>
              <w:left w:w="28" w:type="dxa"/>
              <w:right w:w="28" w:type="dxa"/>
            </w:tcMar>
            <w:vAlign w:val="center"/>
          </w:tcPr>
          <w:p w14:paraId="4C1E1743"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232</w:t>
            </w:r>
          </w:p>
        </w:tc>
        <w:tc>
          <w:tcPr>
            <w:tcW w:w="133" w:type="pct"/>
            <w:shd w:val="clear" w:color="auto" w:fill="D0CECE" w:themeFill="background2" w:themeFillShade="E6"/>
            <w:tcMar>
              <w:left w:w="28" w:type="dxa"/>
              <w:right w:w="28" w:type="dxa"/>
            </w:tcMar>
            <w:vAlign w:val="center"/>
          </w:tcPr>
          <w:p w14:paraId="396F30F1"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253</w:t>
            </w:r>
          </w:p>
        </w:tc>
        <w:tc>
          <w:tcPr>
            <w:tcW w:w="133" w:type="pct"/>
            <w:shd w:val="clear" w:color="auto" w:fill="D0CECE" w:themeFill="background2" w:themeFillShade="E6"/>
            <w:tcMar>
              <w:left w:w="28" w:type="dxa"/>
              <w:right w:w="28" w:type="dxa"/>
            </w:tcMar>
            <w:vAlign w:val="center"/>
          </w:tcPr>
          <w:p w14:paraId="79B571F4"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274</w:t>
            </w:r>
          </w:p>
        </w:tc>
        <w:tc>
          <w:tcPr>
            <w:tcW w:w="190" w:type="pct"/>
            <w:shd w:val="clear" w:color="auto" w:fill="D0CECE" w:themeFill="background2" w:themeFillShade="E6"/>
            <w:tcMar>
              <w:left w:w="28" w:type="dxa"/>
              <w:right w:w="28" w:type="dxa"/>
            </w:tcMar>
            <w:vAlign w:val="center"/>
          </w:tcPr>
          <w:p w14:paraId="40E186C4"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295</w:t>
            </w:r>
          </w:p>
        </w:tc>
        <w:tc>
          <w:tcPr>
            <w:tcW w:w="133" w:type="pct"/>
            <w:shd w:val="clear" w:color="auto" w:fill="D0CECE" w:themeFill="background2" w:themeFillShade="E6"/>
            <w:tcMar>
              <w:left w:w="28" w:type="dxa"/>
              <w:right w:w="28" w:type="dxa"/>
            </w:tcMar>
            <w:vAlign w:val="center"/>
          </w:tcPr>
          <w:p w14:paraId="26FBE10D"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316</w:t>
            </w:r>
          </w:p>
        </w:tc>
        <w:tc>
          <w:tcPr>
            <w:tcW w:w="133" w:type="pct"/>
            <w:shd w:val="clear" w:color="auto" w:fill="D0CECE" w:themeFill="background2" w:themeFillShade="E6"/>
            <w:tcMar>
              <w:left w:w="28" w:type="dxa"/>
              <w:right w:w="28" w:type="dxa"/>
            </w:tcMar>
            <w:vAlign w:val="center"/>
          </w:tcPr>
          <w:p w14:paraId="27F56D04"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337</w:t>
            </w:r>
          </w:p>
        </w:tc>
        <w:tc>
          <w:tcPr>
            <w:tcW w:w="190" w:type="pct"/>
            <w:shd w:val="clear" w:color="auto" w:fill="D0CECE" w:themeFill="background2" w:themeFillShade="E6"/>
            <w:tcMar>
              <w:left w:w="28" w:type="dxa"/>
              <w:right w:w="28" w:type="dxa"/>
            </w:tcMar>
            <w:vAlign w:val="center"/>
          </w:tcPr>
          <w:p w14:paraId="0D63FC43"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358</w:t>
            </w:r>
          </w:p>
        </w:tc>
        <w:tc>
          <w:tcPr>
            <w:tcW w:w="191" w:type="pct"/>
            <w:shd w:val="clear" w:color="auto" w:fill="D0CECE" w:themeFill="background2" w:themeFillShade="E6"/>
            <w:vAlign w:val="center"/>
          </w:tcPr>
          <w:p w14:paraId="4FD14698"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379+</w:t>
            </w:r>
          </w:p>
        </w:tc>
        <w:tc>
          <w:tcPr>
            <w:tcW w:w="118" w:type="pct"/>
            <w:vMerge/>
            <w:shd w:val="clear" w:color="auto" w:fill="D0CECE" w:themeFill="background2" w:themeFillShade="E6"/>
            <w:tcMar>
              <w:left w:w="28" w:type="dxa"/>
              <w:right w:w="28" w:type="dxa"/>
            </w:tcMar>
            <w:vAlign w:val="center"/>
          </w:tcPr>
          <w:p w14:paraId="2A8E0E29" w14:textId="77777777" w:rsidR="005C6E88" w:rsidRPr="009E6200" w:rsidRDefault="005C6E88" w:rsidP="007B46F5">
            <w:pPr>
              <w:pStyle w:val="SDText"/>
              <w:jc w:val="both"/>
              <w:rPr>
                <w:rFonts w:cs="Times New Roman"/>
                <w:sz w:val="16"/>
                <w:szCs w:val="16"/>
                <w:lang w:eastAsia="ru-RU"/>
              </w:rPr>
            </w:pPr>
          </w:p>
        </w:tc>
        <w:tc>
          <w:tcPr>
            <w:tcW w:w="174" w:type="pct"/>
            <w:vMerge/>
            <w:shd w:val="clear" w:color="auto" w:fill="D0CECE" w:themeFill="background2" w:themeFillShade="E6"/>
          </w:tcPr>
          <w:p w14:paraId="26C205AD" w14:textId="77777777" w:rsidR="005C6E88" w:rsidRPr="009E6200" w:rsidRDefault="005C6E88" w:rsidP="007B46F5">
            <w:pPr>
              <w:pStyle w:val="SDText"/>
              <w:jc w:val="both"/>
              <w:rPr>
                <w:rFonts w:cs="Times New Roman"/>
                <w:sz w:val="16"/>
                <w:szCs w:val="16"/>
                <w:lang w:eastAsia="ru-RU"/>
              </w:rPr>
            </w:pPr>
          </w:p>
        </w:tc>
      </w:tr>
      <w:tr w:rsidR="006C66C2" w:rsidRPr="009E6200" w14:paraId="1532896B" w14:textId="77777777" w:rsidTr="00992857">
        <w:trPr>
          <w:cantSplit/>
          <w:trHeight w:val="170"/>
          <w:tblHeader/>
        </w:trPr>
        <w:tc>
          <w:tcPr>
            <w:tcW w:w="1355" w:type="pct"/>
            <w:shd w:val="clear" w:color="auto" w:fill="D0CECE" w:themeFill="background2" w:themeFillShade="E6"/>
            <w:tcMar>
              <w:left w:w="28" w:type="dxa"/>
              <w:right w:w="28" w:type="dxa"/>
            </w:tcMar>
            <w:vAlign w:val="center"/>
          </w:tcPr>
          <w:p w14:paraId="1C807C76"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Допустимый интервал</w:t>
            </w:r>
          </w:p>
        </w:tc>
        <w:tc>
          <w:tcPr>
            <w:tcW w:w="278" w:type="pct"/>
            <w:shd w:val="clear" w:color="auto" w:fill="D0CECE" w:themeFill="background2" w:themeFillShade="E6"/>
            <w:tcMar>
              <w:left w:w="28" w:type="dxa"/>
              <w:right w:w="28" w:type="dxa"/>
            </w:tcMar>
            <w:vAlign w:val="center"/>
          </w:tcPr>
          <w:p w14:paraId="08338A85"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w:t>
            </w:r>
          </w:p>
        </w:tc>
        <w:tc>
          <w:tcPr>
            <w:tcW w:w="400" w:type="pct"/>
            <w:shd w:val="clear" w:color="auto" w:fill="D0CECE" w:themeFill="background2" w:themeFillShade="E6"/>
            <w:tcMar>
              <w:left w:w="28" w:type="dxa"/>
              <w:right w:w="28" w:type="dxa"/>
            </w:tcMar>
            <w:vAlign w:val="center"/>
          </w:tcPr>
          <w:p w14:paraId="3C55C704"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w:t>
            </w:r>
          </w:p>
        </w:tc>
        <w:tc>
          <w:tcPr>
            <w:tcW w:w="133" w:type="pct"/>
            <w:shd w:val="clear" w:color="auto" w:fill="D0CECE" w:themeFill="background2" w:themeFillShade="E6"/>
            <w:tcMar>
              <w:left w:w="28" w:type="dxa"/>
              <w:right w:w="28" w:type="dxa"/>
            </w:tcMar>
            <w:vAlign w:val="center"/>
          </w:tcPr>
          <w:p w14:paraId="41C0AEDB"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±4</w:t>
            </w:r>
          </w:p>
        </w:tc>
        <w:tc>
          <w:tcPr>
            <w:tcW w:w="133" w:type="pct"/>
            <w:shd w:val="clear" w:color="auto" w:fill="D0CECE" w:themeFill="background2" w:themeFillShade="E6"/>
            <w:tcMar>
              <w:left w:w="28" w:type="dxa"/>
              <w:right w:w="28" w:type="dxa"/>
            </w:tcMar>
            <w:vAlign w:val="center"/>
          </w:tcPr>
          <w:p w14:paraId="1800EF90"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±4</w:t>
            </w:r>
          </w:p>
        </w:tc>
        <w:tc>
          <w:tcPr>
            <w:tcW w:w="133" w:type="pct"/>
            <w:shd w:val="clear" w:color="auto" w:fill="D0CECE" w:themeFill="background2" w:themeFillShade="E6"/>
            <w:tcMar>
              <w:left w:w="28" w:type="dxa"/>
              <w:right w:w="28" w:type="dxa"/>
            </w:tcMar>
            <w:vAlign w:val="center"/>
          </w:tcPr>
          <w:p w14:paraId="76F31F48"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±4</w:t>
            </w:r>
          </w:p>
        </w:tc>
        <w:tc>
          <w:tcPr>
            <w:tcW w:w="133" w:type="pct"/>
            <w:shd w:val="clear" w:color="auto" w:fill="D0CECE" w:themeFill="background2" w:themeFillShade="E6"/>
            <w:tcMar>
              <w:left w:w="28" w:type="dxa"/>
              <w:right w:w="28" w:type="dxa"/>
            </w:tcMar>
            <w:vAlign w:val="center"/>
          </w:tcPr>
          <w:p w14:paraId="6804014B"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±4</w:t>
            </w:r>
          </w:p>
        </w:tc>
        <w:tc>
          <w:tcPr>
            <w:tcW w:w="133" w:type="pct"/>
            <w:shd w:val="clear" w:color="auto" w:fill="D0CECE" w:themeFill="background2" w:themeFillShade="E6"/>
            <w:tcMar>
              <w:left w:w="28" w:type="dxa"/>
              <w:right w:w="28" w:type="dxa"/>
            </w:tcMar>
            <w:vAlign w:val="center"/>
          </w:tcPr>
          <w:p w14:paraId="7CB28910"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±4</w:t>
            </w:r>
          </w:p>
        </w:tc>
        <w:tc>
          <w:tcPr>
            <w:tcW w:w="133" w:type="pct"/>
            <w:shd w:val="clear" w:color="auto" w:fill="D0CECE" w:themeFill="background2" w:themeFillShade="E6"/>
            <w:tcMar>
              <w:left w:w="28" w:type="dxa"/>
              <w:right w:w="28" w:type="dxa"/>
            </w:tcMar>
            <w:vAlign w:val="center"/>
          </w:tcPr>
          <w:p w14:paraId="68411D73"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±4</w:t>
            </w:r>
          </w:p>
        </w:tc>
        <w:tc>
          <w:tcPr>
            <w:tcW w:w="133" w:type="pct"/>
            <w:shd w:val="clear" w:color="auto" w:fill="D0CECE" w:themeFill="background2" w:themeFillShade="E6"/>
            <w:tcMar>
              <w:left w:w="28" w:type="dxa"/>
              <w:right w:w="28" w:type="dxa"/>
            </w:tcMar>
            <w:vAlign w:val="center"/>
          </w:tcPr>
          <w:p w14:paraId="2513C1AF"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±4</w:t>
            </w:r>
          </w:p>
        </w:tc>
        <w:tc>
          <w:tcPr>
            <w:tcW w:w="190" w:type="pct"/>
            <w:shd w:val="clear" w:color="auto" w:fill="D0CECE" w:themeFill="background2" w:themeFillShade="E6"/>
            <w:tcMar>
              <w:left w:w="28" w:type="dxa"/>
              <w:right w:w="28" w:type="dxa"/>
            </w:tcMar>
            <w:vAlign w:val="center"/>
          </w:tcPr>
          <w:p w14:paraId="01FA288D"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±4</w:t>
            </w:r>
          </w:p>
        </w:tc>
        <w:tc>
          <w:tcPr>
            <w:tcW w:w="133" w:type="pct"/>
            <w:shd w:val="clear" w:color="auto" w:fill="D0CECE" w:themeFill="background2" w:themeFillShade="E6"/>
            <w:tcMar>
              <w:left w:w="28" w:type="dxa"/>
              <w:right w:w="28" w:type="dxa"/>
            </w:tcMar>
            <w:vAlign w:val="center"/>
          </w:tcPr>
          <w:p w14:paraId="74F251C2"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±4</w:t>
            </w:r>
          </w:p>
        </w:tc>
        <w:tc>
          <w:tcPr>
            <w:tcW w:w="133" w:type="pct"/>
            <w:shd w:val="clear" w:color="auto" w:fill="D0CECE" w:themeFill="background2" w:themeFillShade="E6"/>
            <w:tcMar>
              <w:left w:w="28" w:type="dxa"/>
              <w:right w:w="28" w:type="dxa"/>
            </w:tcMar>
            <w:vAlign w:val="center"/>
          </w:tcPr>
          <w:p w14:paraId="0F376396"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±4</w:t>
            </w:r>
          </w:p>
        </w:tc>
        <w:tc>
          <w:tcPr>
            <w:tcW w:w="190" w:type="pct"/>
            <w:shd w:val="clear" w:color="auto" w:fill="D0CECE" w:themeFill="background2" w:themeFillShade="E6"/>
            <w:tcMar>
              <w:left w:w="28" w:type="dxa"/>
              <w:right w:w="28" w:type="dxa"/>
            </w:tcMar>
            <w:vAlign w:val="center"/>
          </w:tcPr>
          <w:p w14:paraId="5AF42F75"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±4</w:t>
            </w:r>
          </w:p>
        </w:tc>
        <w:tc>
          <w:tcPr>
            <w:tcW w:w="133" w:type="pct"/>
            <w:shd w:val="clear" w:color="auto" w:fill="D0CECE" w:themeFill="background2" w:themeFillShade="E6"/>
            <w:tcMar>
              <w:left w:w="28" w:type="dxa"/>
              <w:right w:w="28" w:type="dxa"/>
            </w:tcMar>
            <w:vAlign w:val="center"/>
          </w:tcPr>
          <w:p w14:paraId="64CD7DA8"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±4</w:t>
            </w:r>
          </w:p>
        </w:tc>
        <w:tc>
          <w:tcPr>
            <w:tcW w:w="133" w:type="pct"/>
            <w:shd w:val="clear" w:color="auto" w:fill="D0CECE" w:themeFill="background2" w:themeFillShade="E6"/>
            <w:tcMar>
              <w:left w:w="28" w:type="dxa"/>
              <w:right w:w="28" w:type="dxa"/>
            </w:tcMar>
            <w:vAlign w:val="center"/>
          </w:tcPr>
          <w:p w14:paraId="3A5A9449"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±4</w:t>
            </w:r>
          </w:p>
        </w:tc>
        <w:tc>
          <w:tcPr>
            <w:tcW w:w="190" w:type="pct"/>
            <w:shd w:val="clear" w:color="auto" w:fill="D0CECE" w:themeFill="background2" w:themeFillShade="E6"/>
            <w:tcMar>
              <w:left w:w="28" w:type="dxa"/>
              <w:right w:w="28" w:type="dxa"/>
            </w:tcMar>
            <w:vAlign w:val="center"/>
          </w:tcPr>
          <w:p w14:paraId="3FF790D5"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±4</w:t>
            </w:r>
          </w:p>
        </w:tc>
        <w:tc>
          <w:tcPr>
            <w:tcW w:w="133" w:type="pct"/>
            <w:shd w:val="clear" w:color="auto" w:fill="D0CECE" w:themeFill="background2" w:themeFillShade="E6"/>
            <w:tcMar>
              <w:left w:w="28" w:type="dxa"/>
              <w:right w:w="28" w:type="dxa"/>
            </w:tcMar>
            <w:vAlign w:val="center"/>
          </w:tcPr>
          <w:p w14:paraId="177C0CD4"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±4</w:t>
            </w:r>
          </w:p>
        </w:tc>
        <w:tc>
          <w:tcPr>
            <w:tcW w:w="133" w:type="pct"/>
            <w:shd w:val="clear" w:color="auto" w:fill="D0CECE" w:themeFill="background2" w:themeFillShade="E6"/>
            <w:tcMar>
              <w:left w:w="28" w:type="dxa"/>
              <w:right w:w="28" w:type="dxa"/>
            </w:tcMar>
            <w:vAlign w:val="center"/>
          </w:tcPr>
          <w:p w14:paraId="0D04E581"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±4</w:t>
            </w:r>
          </w:p>
        </w:tc>
        <w:tc>
          <w:tcPr>
            <w:tcW w:w="190" w:type="pct"/>
            <w:shd w:val="clear" w:color="auto" w:fill="D0CECE" w:themeFill="background2" w:themeFillShade="E6"/>
            <w:tcMar>
              <w:left w:w="28" w:type="dxa"/>
              <w:right w:w="28" w:type="dxa"/>
            </w:tcMar>
            <w:vAlign w:val="center"/>
          </w:tcPr>
          <w:p w14:paraId="0FE53A17"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±4</w:t>
            </w:r>
          </w:p>
        </w:tc>
        <w:tc>
          <w:tcPr>
            <w:tcW w:w="191" w:type="pct"/>
            <w:shd w:val="clear" w:color="auto" w:fill="D0CECE" w:themeFill="background2" w:themeFillShade="E6"/>
            <w:vAlign w:val="center"/>
          </w:tcPr>
          <w:p w14:paraId="67F24EFB"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±4</w:t>
            </w:r>
          </w:p>
        </w:tc>
        <w:tc>
          <w:tcPr>
            <w:tcW w:w="118" w:type="pct"/>
            <w:vMerge/>
            <w:shd w:val="clear" w:color="auto" w:fill="D0CECE" w:themeFill="background2" w:themeFillShade="E6"/>
            <w:tcMar>
              <w:left w:w="28" w:type="dxa"/>
              <w:right w:w="28" w:type="dxa"/>
            </w:tcMar>
            <w:vAlign w:val="center"/>
          </w:tcPr>
          <w:p w14:paraId="55CCF017" w14:textId="77777777" w:rsidR="005C6E88" w:rsidRPr="009E6200" w:rsidRDefault="005C6E88" w:rsidP="007B46F5">
            <w:pPr>
              <w:pStyle w:val="SDText"/>
              <w:jc w:val="both"/>
              <w:rPr>
                <w:rFonts w:cs="Times New Roman"/>
                <w:sz w:val="16"/>
                <w:szCs w:val="16"/>
                <w:lang w:eastAsia="ru-RU"/>
              </w:rPr>
            </w:pPr>
          </w:p>
        </w:tc>
        <w:tc>
          <w:tcPr>
            <w:tcW w:w="174" w:type="pct"/>
            <w:vMerge/>
            <w:shd w:val="clear" w:color="auto" w:fill="D0CECE" w:themeFill="background2" w:themeFillShade="E6"/>
          </w:tcPr>
          <w:p w14:paraId="32237454" w14:textId="77777777" w:rsidR="005C6E88" w:rsidRPr="009E6200" w:rsidRDefault="005C6E88" w:rsidP="007B46F5">
            <w:pPr>
              <w:pStyle w:val="SDText"/>
              <w:jc w:val="both"/>
              <w:rPr>
                <w:rFonts w:cs="Times New Roman"/>
                <w:sz w:val="16"/>
                <w:szCs w:val="16"/>
                <w:lang w:eastAsia="ru-RU"/>
              </w:rPr>
            </w:pPr>
          </w:p>
        </w:tc>
      </w:tr>
      <w:tr w:rsidR="006C66C2" w:rsidRPr="009E6200" w14:paraId="10223812" w14:textId="77777777" w:rsidTr="00992857">
        <w:trPr>
          <w:cantSplit/>
          <w:trHeight w:val="218"/>
          <w:tblHeader/>
        </w:trPr>
        <w:tc>
          <w:tcPr>
            <w:tcW w:w="1355" w:type="pct"/>
            <w:shd w:val="clear" w:color="auto" w:fill="D0CECE" w:themeFill="background2" w:themeFillShade="E6"/>
            <w:tcMar>
              <w:left w:w="28" w:type="dxa"/>
              <w:right w:w="28" w:type="dxa"/>
            </w:tcMar>
            <w:vAlign w:val="center"/>
          </w:tcPr>
          <w:p w14:paraId="4ECE8B9D"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Неделя</w:t>
            </w:r>
          </w:p>
        </w:tc>
        <w:tc>
          <w:tcPr>
            <w:tcW w:w="278" w:type="pct"/>
            <w:shd w:val="clear" w:color="auto" w:fill="D0CECE" w:themeFill="background2" w:themeFillShade="E6"/>
            <w:tcMar>
              <w:left w:w="28" w:type="dxa"/>
              <w:right w:w="28" w:type="dxa"/>
            </w:tcMar>
            <w:vAlign w:val="center"/>
          </w:tcPr>
          <w:p w14:paraId="64CED349"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0</w:t>
            </w:r>
          </w:p>
        </w:tc>
        <w:tc>
          <w:tcPr>
            <w:tcW w:w="400" w:type="pct"/>
            <w:shd w:val="clear" w:color="auto" w:fill="D0CECE" w:themeFill="background2" w:themeFillShade="E6"/>
            <w:tcMar>
              <w:left w:w="28" w:type="dxa"/>
              <w:right w:w="28" w:type="dxa"/>
            </w:tcMar>
            <w:vAlign w:val="center"/>
          </w:tcPr>
          <w:p w14:paraId="6D8C7BC5"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1</w:t>
            </w:r>
          </w:p>
        </w:tc>
        <w:tc>
          <w:tcPr>
            <w:tcW w:w="133" w:type="pct"/>
            <w:shd w:val="clear" w:color="auto" w:fill="D0CECE" w:themeFill="background2" w:themeFillShade="E6"/>
            <w:tcMar>
              <w:left w:w="28" w:type="dxa"/>
              <w:right w:w="28" w:type="dxa"/>
            </w:tcMar>
            <w:vAlign w:val="center"/>
          </w:tcPr>
          <w:p w14:paraId="4175361E"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4</w:t>
            </w:r>
          </w:p>
        </w:tc>
        <w:tc>
          <w:tcPr>
            <w:tcW w:w="133" w:type="pct"/>
            <w:shd w:val="clear" w:color="auto" w:fill="D0CECE" w:themeFill="background2" w:themeFillShade="E6"/>
            <w:tcMar>
              <w:left w:w="28" w:type="dxa"/>
              <w:right w:w="28" w:type="dxa"/>
            </w:tcMar>
            <w:vAlign w:val="center"/>
          </w:tcPr>
          <w:p w14:paraId="48A9F8FC"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7</w:t>
            </w:r>
          </w:p>
        </w:tc>
        <w:tc>
          <w:tcPr>
            <w:tcW w:w="133" w:type="pct"/>
            <w:shd w:val="clear" w:color="auto" w:fill="D0CECE" w:themeFill="background2" w:themeFillShade="E6"/>
            <w:tcMar>
              <w:left w:w="28" w:type="dxa"/>
              <w:right w:w="28" w:type="dxa"/>
            </w:tcMar>
            <w:vAlign w:val="center"/>
          </w:tcPr>
          <w:p w14:paraId="3BC1BE74"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10</w:t>
            </w:r>
          </w:p>
        </w:tc>
        <w:tc>
          <w:tcPr>
            <w:tcW w:w="133" w:type="pct"/>
            <w:shd w:val="clear" w:color="auto" w:fill="D0CECE" w:themeFill="background2" w:themeFillShade="E6"/>
            <w:tcMar>
              <w:left w:w="28" w:type="dxa"/>
              <w:right w:w="28" w:type="dxa"/>
            </w:tcMar>
            <w:vAlign w:val="center"/>
          </w:tcPr>
          <w:p w14:paraId="12B438FE"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13</w:t>
            </w:r>
          </w:p>
        </w:tc>
        <w:tc>
          <w:tcPr>
            <w:tcW w:w="133" w:type="pct"/>
            <w:shd w:val="clear" w:color="auto" w:fill="D0CECE" w:themeFill="background2" w:themeFillShade="E6"/>
            <w:tcMar>
              <w:left w:w="28" w:type="dxa"/>
              <w:right w:w="28" w:type="dxa"/>
            </w:tcMar>
            <w:vAlign w:val="center"/>
          </w:tcPr>
          <w:p w14:paraId="26FB1B60"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16</w:t>
            </w:r>
          </w:p>
        </w:tc>
        <w:tc>
          <w:tcPr>
            <w:tcW w:w="133" w:type="pct"/>
            <w:shd w:val="clear" w:color="auto" w:fill="D0CECE" w:themeFill="background2" w:themeFillShade="E6"/>
            <w:tcMar>
              <w:left w:w="28" w:type="dxa"/>
              <w:right w:w="28" w:type="dxa"/>
            </w:tcMar>
            <w:vAlign w:val="center"/>
          </w:tcPr>
          <w:p w14:paraId="0A560712"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19</w:t>
            </w:r>
          </w:p>
        </w:tc>
        <w:tc>
          <w:tcPr>
            <w:tcW w:w="133" w:type="pct"/>
            <w:shd w:val="clear" w:color="auto" w:fill="D0CECE" w:themeFill="background2" w:themeFillShade="E6"/>
            <w:tcMar>
              <w:left w:w="28" w:type="dxa"/>
              <w:right w:w="28" w:type="dxa"/>
            </w:tcMar>
            <w:vAlign w:val="center"/>
          </w:tcPr>
          <w:p w14:paraId="215A052C"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22</w:t>
            </w:r>
          </w:p>
        </w:tc>
        <w:tc>
          <w:tcPr>
            <w:tcW w:w="190" w:type="pct"/>
            <w:shd w:val="clear" w:color="auto" w:fill="D0CECE" w:themeFill="background2" w:themeFillShade="E6"/>
            <w:tcMar>
              <w:left w:w="28" w:type="dxa"/>
              <w:right w:w="28" w:type="dxa"/>
            </w:tcMar>
            <w:vAlign w:val="center"/>
          </w:tcPr>
          <w:p w14:paraId="15853557"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25</w:t>
            </w:r>
          </w:p>
        </w:tc>
        <w:tc>
          <w:tcPr>
            <w:tcW w:w="133" w:type="pct"/>
            <w:shd w:val="clear" w:color="auto" w:fill="D0CECE" w:themeFill="background2" w:themeFillShade="E6"/>
            <w:tcMar>
              <w:left w:w="28" w:type="dxa"/>
              <w:right w:w="28" w:type="dxa"/>
            </w:tcMar>
            <w:vAlign w:val="center"/>
          </w:tcPr>
          <w:p w14:paraId="325C019B"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28</w:t>
            </w:r>
          </w:p>
        </w:tc>
        <w:tc>
          <w:tcPr>
            <w:tcW w:w="133" w:type="pct"/>
            <w:shd w:val="clear" w:color="auto" w:fill="D0CECE" w:themeFill="background2" w:themeFillShade="E6"/>
            <w:tcMar>
              <w:left w:w="28" w:type="dxa"/>
              <w:right w:w="28" w:type="dxa"/>
            </w:tcMar>
            <w:vAlign w:val="center"/>
          </w:tcPr>
          <w:p w14:paraId="0EB6573A"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31</w:t>
            </w:r>
          </w:p>
        </w:tc>
        <w:tc>
          <w:tcPr>
            <w:tcW w:w="190" w:type="pct"/>
            <w:shd w:val="clear" w:color="auto" w:fill="D0CECE" w:themeFill="background2" w:themeFillShade="E6"/>
            <w:tcMar>
              <w:left w:w="28" w:type="dxa"/>
              <w:right w:w="28" w:type="dxa"/>
            </w:tcMar>
            <w:vAlign w:val="center"/>
          </w:tcPr>
          <w:p w14:paraId="043CFD3A"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34</w:t>
            </w:r>
          </w:p>
        </w:tc>
        <w:tc>
          <w:tcPr>
            <w:tcW w:w="133" w:type="pct"/>
            <w:shd w:val="clear" w:color="auto" w:fill="D0CECE" w:themeFill="background2" w:themeFillShade="E6"/>
            <w:tcMar>
              <w:left w:w="28" w:type="dxa"/>
              <w:right w:w="28" w:type="dxa"/>
            </w:tcMar>
            <w:vAlign w:val="center"/>
          </w:tcPr>
          <w:p w14:paraId="32CB538B"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37</w:t>
            </w:r>
          </w:p>
        </w:tc>
        <w:tc>
          <w:tcPr>
            <w:tcW w:w="133" w:type="pct"/>
            <w:shd w:val="clear" w:color="auto" w:fill="D0CECE" w:themeFill="background2" w:themeFillShade="E6"/>
            <w:tcMar>
              <w:left w:w="28" w:type="dxa"/>
              <w:right w:w="28" w:type="dxa"/>
            </w:tcMar>
            <w:vAlign w:val="center"/>
          </w:tcPr>
          <w:p w14:paraId="3D50BB30"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40</w:t>
            </w:r>
          </w:p>
        </w:tc>
        <w:tc>
          <w:tcPr>
            <w:tcW w:w="190" w:type="pct"/>
            <w:shd w:val="clear" w:color="auto" w:fill="D0CECE" w:themeFill="background2" w:themeFillShade="E6"/>
            <w:tcMar>
              <w:left w:w="28" w:type="dxa"/>
              <w:right w:w="28" w:type="dxa"/>
            </w:tcMar>
            <w:vAlign w:val="center"/>
          </w:tcPr>
          <w:p w14:paraId="5D29E30C"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43</w:t>
            </w:r>
          </w:p>
        </w:tc>
        <w:tc>
          <w:tcPr>
            <w:tcW w:w="133" w:type="pct"/>
            <w:shd w:val="clear" w:color="auto" w:fill="D0CECE" w:themeFill="background2" w:themeFillShade="E6"/>
            <w:tcMar>
              <w:left w:w="28" w:type="dxa"/>
              <w:right w:w="28" w:type="dxa"/>
            </w:tcMar>
            <w:vAlign w:val="center"/>
          </w:tcPr>
          <w:p w14:paraId="2AF82F8F"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46</w:t>
            </w:r>
          </w:p>
        </w:tc>
        <w:tc>
          <w:tcPr>
            <w:tcW w:w="133" w:type="pct"/>
            <w:shd w:val="clear" w:color="auto" w:fill="D0CECE" w:themeFill="background2" w:themeFillShade="E6"/>
            <w:tcMar>
              <w:left w:w="28" w:type="dxa"/>
              <w:right w:w="28" w:type="dxa"/>
            </w:tcMar>
            <w:vAlign w:val="center"/>
          </w:tcPr>
          <w:p w14:paraId="0E453F85"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49</w:t>
            </w:r>
          </w:p>
        </w:tc>
        <w:tc>
          <w:tcPr>
            <w:tcW w:w="190" w:type="pct"/>
            <w:shd w:val="clear" w:color="auto" w:fill="D0CECE" w:themeFill="background2" w:themeFillShade="E6"/>
            <w:tcMar>
              <w:left w:w="28" w:type="dxa"/>
              <w:right w:w="28" w:type="dxa"/>
            </w:tcMar>
            <w:vAlign w:val="center"/>
          </w:tcPr>
          <w:p w14:paraId="11A27822"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52</w:t>
            </w:r>
          </w:p>
        </w:tc>
        <w:tc>
          <w:tcPr>
            <w:tcW w:w="191" w:type="pct"/>
            <w:shd w:val="clear" w:color="auto" w:fill="D0CECE" w:themeFill="background2" w:themeFillShade="E6"/>
            <w:vAlign w:val="center"/>
          </w:tcPr>
          <w:p w14:paraId="20E76747"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55+</w:t>
            </w:r>
          </w:p>
        </w:tc>
        <w:tc>
          <w:tcPr>
            <w:tcW w:w="118" w:type="pct"/>
            <w:vMerge/>
            <w:shd w:val="clear" w:color="auto" w:fill="D0CECE" w:themeFill="background2" w:themeFillShade="E6"/>
            <w:tcMar>
              <w:left w:w="28" w:type="dxa"/>
              <w:right w:w="28" w:type="dxa"/>
            </w:tcMar>
            <w:vAlign w:val="center"/>
          </w:tcPr>
          <w:p w14:paraId="6871C7BD" w14:textId="77777777" w:rsidR="005C6E88" w:rsidRPr="009E6200" w:rsidRDefault="005C6E88" w:rsidP="007B46F5">
            <w:pPr>
              <w:pStyle w:val="SDText"/>
              <w:jc w:val="both"/>
              <w:rPr>
                <w:rFonts w:cs="Times New Roman"/>
                <w:sz w:val="16"/>
                <w:szCs w:val="16"/>
                <w:lang w:eastAsia="ru-RU"/>
              </w:rPr>
            </w:pPr>
          </w:p>
        </w:tc>
        <w:tc>
          <w:tcPr>
            <w:tcW w:w="174" w:type="pct"/>
            <w:vMerge/>
            <w:shd w:val="clear" w:color="auto" w:fill="D0CECE" w:themeFill="background2" w:themeFillShade="E6"/>
          </w:tcPr>
          <w:p w14:paraId="7008794B" w14:textId="77777777" w:rsidR="005C6E88" w:rsidRPr="009E6200" w:rsidRDefault="005C6E88" w:rsidP="007B46F5">
            <w:pPr>
              <w:pStyle w:val="SDText"/>
              <w:jc w:val="both"/>
              <w:rPr>
                <w:rFonts w:cs="Times New Roman"/>
                <w:sz w:val="16"/>
                <w:szCs w:val="16"/>
                <w:lang w:eastAsia="ru-RU"/>
              </w:rPr>
            </w:pPr>
          </w:p>
        </w:tc>
      </w:tr>
      <w:tr w:rsidR="006C66C2" w:rsidRPr="009E6200" w14:paraId="18638313" w14:textId="77777777" w:rsidTr="00992857">
        <w:trPr>
          <w:cantSplit/>
          <w:trHeight w:val="218"/>
          <w:tblHeader/>
        </w:trPr>
        <w:tc>
          <w:tcPr>
            <w:tcW w:w="1355" w:type="pct"/>
            <w:shd w:val="clear" w:color="auto" w:fill="D0CECE" w:themeFill="background2" w:themeFillShade="E6"/>
            <w:tcMar>
              <w:left w:w="28" w:type="dxa"/>
              <w:right w:w="28" w:type="dxa"/>
            </w:tcMar>
            <w:vAlign w:val="center"/>
          </w:tcPr>
          <w:p w14:paraId="1AF5A46C" w14:textId="77777777" w:rsidR="001002FC" w:rsidRPr="009E6200" w:rsidRDefault="001002FC" w:rsidP="007B46F5">
            <w:pPr>
              <w:pStyle w:val="SDText"/>
              <w:jc w:val="both"/>
              <w:rPr>
                <w:rFonts w:cs="Times New Roman"/>
                <w:b/>
                <w:sz w:val="16"/>
                <w:szCs w:val="16"/>
                <w:lang w:eastAsia="ru-RU"/>
              </w:rPr>
            </w:pPr>
          </w:p>
        </w:tc>
        <w:tc>
          <w:tcPr>
            <w:tcW w:w="278" w:type="pct"/>
            <w:shd w:val="clear" w:color="auto" w:fill="D0CECE" w:themeFill="background2" w:themeFillShade="E6"/>
            <w:tcMar>
              <w:left w:w="28" w:type="dxa"/>
              <w:right w:w="28" w:type="dxa"/>
            </w:tcMar>
            <w:vAlign w:val="center"/>
          </w:tcPr>
          <w:p w14:paraId="5CB186BE" w14:textId="77777777" w:rsidR="001002FC" w:rsidRPr="009E6200" w:rsidRDefault="001002FC" w:rsidP="007B46F5">
            <w:pPr>
              <w:pStyle w:val="SDText"/>
              <w:jc w:val="both"/>
              <w:rPr>
                <w:rFonts w:cs="Times New Roman"/>
                <w:sz w:val="16"/>
                <w:szCs w:val="16"/>
                <w:lang w:eastAsia="ru-RU"/>
              </w:rPr>
            </w:pPr>
          </w:p>
        </w:tc>
        <w:tc>
          <w:tcPr>
            <w:tcW w:w="400" w:type="pct"/>
            <w:shd w:val="clear" w:color="auto" w:fill="D0CECE" w:themeFill="background2" w:themeFillShade="E6"/>
            <w:tcMar>
              <w:left w:w="28" w:type="dxa"/>
              <w:right w:w="28" w:type="dxa"/>
            </w:tcMar>
            <w:vAlign w:val="center"/>
          </w:tcPr>
          <w:p w14:paraId="218B1A1E" w14:textId="77777777" w:rsidR="001002FC" w:rsidRPr="009E6200" w:rsidRDefault="001002FC" w:rsidP="007B46F5">
            <w:pPr>
              <w:pStyle w:val="SDText"/>
              <w:jc w:val="both"/>
              <w:rPr>
                <w:rFonts w:cs="Times New Roman"/>
                <w:sz w:val="16"/>
                <w:szCs w:val="16"/>
                <w:lang w:eastAsia="ru-RU"/>
              </w:rPr>
            </w:pPr>
          </w:p>
        </w:tc>
        <w:tc>
          <w:tcPr>
            <w:tcW w:w="133" w:type="pct"/>
            <w:shd w:val="clear" w:color="auto" w:fill="D0CECE" w:themeFill="background2" w:themeFillShade="E6"/>
            <w:tcMar>
              <w:left w:w="28" w:type="dxa"/>
              <w:right w:w="28" w:type="dxa"/>
            </w:tcMar>
            <w:vAlign w:val="center"/>
          </w:tcPr>
          <w:p w14:paraId="7075A45F" w14:textId="77777777" w:rsidR="001002FC" w:rsidRPr="009E6200" w:rsidRDefault="001002FC" w:rsidP="007B46F5">
            <w:pPr>
              <w:pStyle w:val="SDText"/>
              <w:jc w:val="both"/>
              <w:rPr>
                <w:rFonts w:cs="Times New Roman"/>
                <w:sz w:val="16"/>
                <w:szCs w:val="16"/>
                <w:lang w:eastAsia="ru-RU"/>
              </w:rPr>
            </w:pPr>
          </w:p>
        </w:tc>
        <w:tc>
          <w:tcPr>
            <w:tcW w:w="133" w:type="pct"/>
            <w:shd w:val="clear" w:color="auto" w:fill="D0CECE" w:themeFill="background2" w:themeFillShade="E6"/>
            <w:tcMar>
              <w:left w:w="28" w:type="dxa"/>
              <w:right w:w="28" w:type="dxa"/>
            </w:tcMar>
            <w:vAlign w:val="center"/>
          </w:tcPr>
          <w:p w14:paraId="6C2FC88B" w14:textId="77777777" w:rsidR="001002FC" w:rsidRPr="009E6200" w:rsidRDefault="001002FC" w:rsidP="007B46F5">
            <w:pPr>
              <w:pStyle w:val="SDText"/>
              <w:jc w:val="both"/>
              <w:rPr>
                <w:rFonts w:cs="Times New Roman"/>
                <w:sz w:val="16"/>
                <w:szCs w:val="16"/>
                <w:lang w:eastAsia="ru-RU"/>
              </w:rPr>
            </w:pPr>
          </w:p>
        </w:tc>
        <w:tc>
          <w:tcPr>
            <w:tcW w:w="133" w:type="pct"/>
            <w:shd w:val="clear" w:color="auto" w:fill="D0CECE" w:themeFill="background2" w:themeFillShade="E6"/>
            <w:tcMar>
              <w:left w:w="28" w:type="dxa"/>
              <w:right w:w="28" w:type="dxa"/>
            </w:tcMar>
            <w:vAlign w:val="center"/>
          </w:tcPr>
          <w:p w14:paraId="002D7C67" w14:textId="77777777" w:rsidR="001002FC" w:rsidRPr="009E6200" w:rsidRDefault="001002FC" w:rsidP="007B46F5">
            <w:pPr>
              <w:pStyle w:val="SDText"/>
              <w:jc w:val="both"/>
              <w:rPr>
                <w:rFonts w:cs="Times New Roman"/>
                <w:sz w:val="16"/>
                <w:szCs w:val="16"/>
                <w:lang w:eastAsia="ru-RU"/>
              </w:rPr>
            </w:pPr>
          </w:p>
        </w:tc>
        <w:tc>
          <w:tcPr>
            <w:tcW w:w="133" w:type="pct"/>
            <w:shd w:val="clear" w:color="auto" w:fill="D0CECE" w:themeFill="background2" w:themeFillShade="E6"/>
            <w:tcMar>
              <w:left w:w="28" w:type="dxa"/>
              <w:right w:w="28" w:type="dxa"/>
            </w:tcMar>
            <w:vAlign w:val="center"/>
          </w:tcPr>
          <w:p w14:paraId="6C0A314A" w14:textId="77777777" w:rsidR="001002FC" w:rsidRPr="009E6200" w:rsidRDefault="001002FC" w:rsidP="007B46F5">
            <w:pPr>
              <w:pStyle w:val="SDText"/>
              <w:jc w:val="both"/>
              <w:rPr>
                <w:rFonts w:cs="Times New Roman"/>
                <w:sz w:val="16"/>
                <w:szCs w:val="16"/>
                <w:lang w:eastAsia="ru-RU"/>
              </w:rPr>
            </w:pPr>
          </w:p>
        </w:tc>
        <w:tc>
          <w:tcPr>
            <w:tcW w:w="133" w:type="pct"/>
            <w:shd w:val="clear" w:color="auto" w:fill="D0CECE" w:themeFill="background2" w:themeFillShade="E6"/>
            <w:tcMar>
              <w:left w:w="28" w:type="dxa"/>
              <w:right w:w="28" w:type="dxa"/>
            </w:tcMar>
            <w:vAlign w:val="center"/>
          </w:tcPr>
          <w:p w14:paraId="5E11D4BA" w14:textId="77777777" w:rsidR="001002FC" w:rsidRPr="009E6200" w:rsidRDefault="001002FC" w:rsidP="007B46F5">
            <w:pPr>
              <w:pStyle w:val="SDText"/>
              <w:jc w:val="both"/>
              <w:rPr>
                <w:rFonts w:cs="Times New Roman"/>
                <w:sz w:val="16"/>
                <w:szCs w:val="16"/>
                <w:lang w:eastAsia="ru-RU"/>
              </w:rPr>
            </w:pPr>
          </w:p>
        </w:tc>
        <w:tc>
          <w:tcPr>
            <w:tcW w:w="133" w:type="pct"/>
            <w:shd w:val="clear" w:color="auto" w:fill="D0CECE" w:themeFill="background2" w:themeFillShade="E6"/>
            <w:tcMar>
              <w:left w:w="28" w:type="dxa"/>
              <w:right w:w="28" w:type="dxa"/>
            </w:tcMar>
            <w:vAlign w:val="center"/>
          </w:tcPr>
          <w:p w14:paraId="6D1ABA8F" w14:textId="77777777" w:rsidR="001002FC" w:rsidRPr="009E6200" w:rsidRDefault="001002FC" w:rsidP="007B46F5">
            <w:pPr>
              <w:pStyle w:val="SDText"/>
              <w:jc w:val="both"/>
              <w:rPr>
                <w:rFonts w:cs="Times New Roman"/>
                <w:sz w:val="16"/>
                <w:szCs w:val="16"/>
                <w:lang w:eastAsia="ru-RU"/>
              </w:rPr>
            </w:pPr>
          </w:p>
        </w:tc>
        <w:tc>
          <w:tcPr>
            <w:tcW w:w="133" w:type="pct"/>
            <w:shd w:val="clear" w:color="auto" w:fill="D0CECE" w:themeFill="background2" w:themeFillShade="E6"/>
            <w:tcMar>
              <w:left w:w="28" w:type="dxa"/>
              <w:right w:w="28" w:type="dxa"/>
            </w:tcMar>
            <w:vAlign w:val="center"/>
          </w:tcPr>
          <w:p w14:paraId="3573FBBB" w14:textId="77777777" w:rsidR="001002FC" w:rsidRPr="009E6200" w:rsidRDefault="001002FC" w:rsidP="007B46F5">
            <w:pPr>
              <w:pStyle w:val="SDText"/>
              <w:jc w:val="both"/>
              <w:rPr>
                <w:rFonts w:cs="Times New Roman"/>
                <w:sz w:val="16"/>
                <w:szCs w:val="16"/>
                <w:lang w:eastAsia="ru-RU"/>
              </w:rPr>
            </w:pPr>
          </w:p>
        </w:tc>
        <w:tc>
          <w:tcPr>
            <w:tcW w:w="190" w:type="pct"/>
            <w:shd w:val="clear" w:color="auto" w:fill="D0CECE" w:themeFill="background2" w:themeFillShade="E6"/>
            <w:tcMar>
              <w:left w:w="28" w:type="dxa"/>
              <w:right w:w="28" w:type="dxa"/>
            </w:tcMar>
            <w:vAlign w:val="center"/>
          </w:tcPr>
          <w:p w14:paraId="3D8D1178" w14:textId="77777777" w:rsidR="001002FC" w:rsidRPr="009E6200" w:rsidRDefault="001002FC" w:rsidP="007B46F5">
            <w:pPr>
              <w:pStyle w:val="SDText"/>
              <w:jc w:val="both"/>
              <w:rPr>
                <w:rFonts w:cs="Times New Roman"/>
                <w:sz w:val="16"/>
                <w:szCs w:val="16"/>
                <w:lang w:eastAsia="ru-RU"/>
              </w:rPr>
            </w:pPr>
          </w:p>
        </w:tc>
        <w:tc>
          <w:tcPr>
            <w:tcW w:w="133" w:type="pct"/>
            <w:shd w:val="clear" w:color="auto" w:fill="D0CECE" w:themeFill="background2" w:themeFillShade="E6"/>
            <w:tcMar>
              <w:left w:w="28" w:type="dxa"/>
              <w:right w:w="28" w:type="dxa"/>
            </w:tcMar>
            <w:vAlign w:val="center"/>
          </w:tcPr>
          <w:p w14:paraId="67E40EF2" w14:textId="77777777" w:rsidR="001002FC" w:rsidRPr="009E6200" w:rsidRDefault="001002FC" w:rsidP="007B46F5">
            <w:pPr>
              <w:pStyle w:val="SDText"/>
              <w:jc w:val="both"/>
              <w:rPr>
                <w:rFonts w:cs="Times New Roman"/>
                <w:sz w:val="16"/>
                <w:szCs w:val="16"/>
                <w:lang w:eastAsia="ru-RU"/>
              </w:rPr>
            </w:pPr>
          </w:p>
        </w:tc>
        <w:tc>
          <w:tcPr>
            <w:tcW w:w="133" w:type="pct"/>
            <w:shd w:val="clear" w:color="auto" w:fill="D0CECE" w:themeFill="background2" w:themeFillShade="E6"/>
            <w:tcMar>
              <w:left w:w="28" w:type="dxa"/>
              <w:right w:w="28" w:type="dxa"/>
            </w:tcMar>
            <w:vAlign w:val="center"/>
          </w:tcPr>
          <w:p w14:paraId="331E3866" w14:textId="77777777" w:rsidR="001002FC" w:rsidRPr="009E6200" w:rsidRDefault="001002FC" w:rsidP="007B46F5">
            <w:pPr>
              <w:pStyle w:val="SDText"/>
              <w:jc w:val="both"/>
              <w:rPr>
                <w:rFonts w:cs="Times New Roman"/>
                <w:sz w:val="16"/>
                <w:szCs w:val="16"/>
                <w:lang w:eastAsia="ru-RU"/>
              </w:rPr>
            </w:pPr>
          </w:p>
        </w:tc>
        <w:tc>
          <w:tcPr>
            <w:tcW w:w="190" w:type="pct"/>
            <w:shd w:val="clear" w:color="auto" w:fill="D0CECE" w:themeFill="background2" w:themeFillShade="E6"/>
            <w:tcMar>
              <w:left w:w="28" w:type="dxa"/>
              <w:right w:w="28" w:type="dxa"/>
            </w:tcMar>
            <w:vAlign w:val="center"/>
          </w:tcPr>
          <w:p w14:paraId="29667CC5" w14:textId="77777777" w:rsidR="001002FC" w:rsidRPr="009E6200" w:rsidRDefault="001002FC" w:rsidP="007B46F5">
            <w:pPr>
              <w:pStyle w:val="SDText"/>
              <w:jc w:val="both"/>
              <w:rPr>
                <w:rFonts w:cs="Times New Roman"/>
                <w:sz w:val="16"/>
                <w:szCs w:val="16"/>
                <w:lang w:eastAsia="ru-RU"/>
              </w:rPr>
            </w:pPr>
          </w:p>
        </w:tc>
        <w:tc>
          <w:tcPr>
            <w:tcW w:w="133" w:type="pct"/>
            <w:shd w:val="clear" w:color="auto" w:fill="D0CECE" w:themeFill="background2" w:themeFillShade="E6"/>
            <w:tcMar>
              <w:left w:w="28" w:type="dxa"/>
              <w:right w:w="28" w:type="dxa"/>
            </w:tcMar>
            <w:vAlign w:val="center"/>
          </w:tcPr>
          <w:p w14:paraId="5BCD51A1" w14:textId="77777777" w:rsidR="001002FC" w:rsidRPr="009E6200" w:rsidRDefault="001002FC" w:rsidP="007B46F5">
            <w:pPr>
              <w:pStyle w:val="SDText"/>
              <w:jc w:val="both"/>
              <w:rPr>
                <w:rFonts w:cs="Times New Roman"/>
                <w:sz w:val="16"/>
                <w:szCs w:val="16"/>
                <w:lang w:eastAsia="ru-RU"/>
              </w:rPr>
            </w:pPr>
          </w:p>
        </w:tc>
        <w:tc>
          <w:tcPr>
            <w:tcW w:w="133" w:type="pct"/>
            <w:shd w:val="clear" w:color="auto" w:fill="D0CECE" w:themeFill="background2" w:themeFillShade="E6"/>
            <w:tcMar>
              <w:left w:w="28" w:type="dxa"/>
              <w:right w:w="28" w:type="dxa"/>
            </w:tcMar>
            <w:vAlign w:val="center"/>
          </w:tcPr>
          <w:p w14:paraId="6EC172F0" w14:textId="77777777" w:rsidR="001002FC" w:rsidRPr="009E6200" w:rsidRDefault="001002FC" w:rsidP="007B46F5">
            <w:pPr>
              <w:pStyle w:val="SDText"/>
              <w:jc w:val="both"/>
              <w:rPr>
                <w:rFonts w:cs="Times New Roman"/>
                <w:sz w:val="16"/>
                <w:szCs w:val="16"/>
                <w:lang w:eastAsia="ru-RU"/>
              </w:rPr>
            </w:pPr>
          </w:p>
        </w:tc>
        <w:tc>
          <w:tcPr>
            <w:tcW w:w="190" w:type="pct"/>
            <w:shd w:val="clear" w:color="auto" w:fill="D0CECE" w:themeFill="background2" w:themeFillShade="E6"/>
            <w:tcMar>
              <w:left w:w="28" w:type="dxa"/>
              <w:right w:w="28" w:type="dxa"/>
            </w:tcMar>
            <w:vAlign w:val="center"/>
          </w:tcPr>
          <w:p w14:paraId="0E635F25" w14:textId="77777777" w:rsidR="001002FC" w:rsidRPr="009E6200" w:rsidRDefault="001002FC" w:rsidP="007B46F5">
            <w:pPr>
              <w:pStyle w:val="SDText"/>
              <w:jc w:val="both"/>
              <w:rPr>
                <w:rFonts w:cs="Times New Roman"/>
                <w:sz w:val="16"/>
                <w:szCs w:val="16"/>
                <w:lang w:eastAsia="ru-RU"/>
              </w:rPr>
            </w:pPr>
          </w:p>
        </w:tc>
        <w:tc>
          <w:tcPr>
            <w:tcW w:w="133" w:type="pct"/>
            <w:shd w:val="clear" w:color="auto" w:fill="D0CECE" w:themeFill="background2" w:themeFillShade="E6"/>
            <w:tcMar>
              <w:left w:w="28" w:type="dxa"/>
              <w:right w:w="28" w:type="dxa"/>
            </w:tcMar>
            <w:vAlign w:val="center"/>
          </w:tcPr>
          <w:p w14:paraId="1545CEF5" w14:textId="77777777" w:rsidR="001002FC" w:rsidRPr="009E6200" w:rsidRDefault="001002FC" w:rsidP="007B46F5">
            <w:pPr>
              <w:pStyle w:val="SDText"/>
              <w:jc w:val="both"/>
              <w:rPr>
                <w:rFonts w:cs="Times New Roman"/>
                <w:sz w:val="16"/>
                <w:szCs w:val="16"/>
                <w:lang w:eastAsia="ru-RU"/>
              </w:rPr>
            </w:pPr>
          </w:p>
        </w:tc>
        <w:tc>
          <w:tcPr>
            <w:tcW w:w="133" w:type="pct"/>
            <w:shd w:val="clear" w:color="auto" w:fill="D0CECE" w:themeFill="background2" w:themeFillShade="E6"/>
            <w:tcMar>
              <w:left w:w="28" w:type="dxa"/>
              <w:right w:w="28" w:type="dxa"/>
            </w:tcMar>
            <w:vAlign w:val="center"/>
          </w:tcPr>
          <w:p w14:paraId="32214F8B" w14:textId="77777777" w:rsidR="001002FC" w:rsidRPr="009E6200" w:rsidRDefault="001002FC" w:rsidP="007B46F5">
            <w:pPr>
              <w:pStyle w:val="SDText"/>
              <w:jc w:val="both"/>
              <w:rPr>
                <w:rFonts w:cs="Times New Roman"/>
                <w:sz w:val="16"/>
                <w:szCs w:val="16"/>
                <w:lang w:eastAsia="ru-RU"/>
              </w:rPr>
            </w:pPr>
          </w:p>
        </w:tc>
        <w:tc>
          <w:tcPr>
            <w:tcW w:w="190" w:type="pct"/>
            <w:shd w:val="clear" w:color="auto" w:fill="D0CECE" w:themeFill="background2" w:themeFillShade="E6"/>
            <w:tcMar>
              <w:left w:w="28" w:type="dxa"/>
              <w:right w:w="28" w:type="dxa"/>
            </w:tcMar>
            <w:vAlign w:val="center"/>
          </w:tcPr>
          <w:p w14:paraId="42F5465C" w14:textId="77777777" w:rsidR="001002FC" w:rsidRPr="009E6200" w:rsidRDefault="001002FC" w:rsidP="007B46F5">
            <w:pPr>
              <w:pStyle w:val="SDText"/>
              <w:jc w:val="both"/>
              <w:rPr>
                <w:rFonts w:cs="Times New Roman"/>
                <w:sz w:val="16"/>
                <w:szCs w:val="16"/>
                <w:lang w:eastAsia="ru-RU"/>
              </w:rPr>
            </w:pPr>
          </w:p>
        </w:tc>
        <w:tc>
          <w:tcPr>
            <w:tcW w:w="191" w:type="pct"/>
            <w:shd w:val="clear" w:color="auto" w:fill="D0CECE" w:themeFill="background2" w:themeFillShade="E6"/>
            <w:vAlign w:val="center"/>
          </w:tcPr>
          <w:p w14:paraId="56992078" w14:textId="77777777" w:rsidR="001002FC" w:rsidRPr="009E6200" w:rsidRDefault="001002FC" w:rsidP="007B46F5">
            <w:pPr>
              <w:pStyle w:val="SDText"/>
              <w:jc w:val="both"/>
              <w:rPr>
                <w:rFonts w:cs="Times New Roman"/>
                <w:sz w:val="16"/>
                <w:szCs w:val="16"/>
                <w:lang w:eastAsia="ru-RU"/>
              </w:rPr>
            </w:pPr>
          </w:p>
        </w:tc>
        <w:tc>
          <w:tcPr>
            <w:tcW w:w="118" w:type="pct"/>
            <w:shd w:val="clear" w:color="auto" w:fill="D0CECE" w:themeFill="background2" w:themeFillShade="E6"/>
            <w:tcMar>
              <w:left w:w="28" w:type="dxa"/>
              <w:right w:w="28" w:type="dxa"/>
            </w:tcMar>
            <w:vAlign w:val="center"/>
          </w:tcPr>
          <w:p w14:paraId="4B7F8EC2" w14:textId="77777777" w:rsidR="001002FC" w:rsidRPr="009E6200" w:rsidRDefault="001002FC" w:rsidP="007B46F5">
            <w:pPr>
              <w:pStyle w:val="SDText"/>
              <w:jc w:val="both"/>
              <w:rPr>
                <w:rFonts w:cs="Times New Roman"/>
                <w:sz w:val="16"/>
                <w:szCs w:val="16"/>
                <w:lang w:eastAsia="ru-RU"/>
              </w:rPr>
            </w:pPr>
          </w:p>
        </w:tc>
        <w:tc>
          <w:tcPr>
            <w:tcW w:w="174" w:type="pct"/>
            <w:shd w:val="clear" w:color="auto" w:fill="D0CECE" w:themeFill="background2" w:themeFillShade="E6"/>
          </w:tcPr>
          <w:p w14:paraId="77948948" w14:textId="77777777" w:rsidR="001002FC" w:rsidRPr="009E6200" w:rsidRDefault="001002FC" w:rsidP="007B46F5">
            <w:pPr>
              <w:pStyle w:val="SDText"/>
              <w:jc w:val="both"/>
              <w:rPr>
                <w:rFonts w:cs="Times New Roman"/>
                <w:sz w:val="16"/>
                <w:szCs w:val="16"/>
                <w:lang w:eastAsia="ru-RU"/>
              </w:rPr>
            </w:pPr>
          </w:p>
        </w:tc>
      </w:tr>
      <w:tr w:rsidR="005C6E88" w:rsidRPr="009E6200" w14:paraId="3DBB5F8C" w14:textId="77777777" w:rsidTr="00992857">
        <w:trPr>
          <w:cantSplit/>
          <w:trHeight w:val="170"/>
        </w:trPr>
        <w:tc>
          <w:tcPr>
            <w:tcW w:w="1355" w:type="pct"/>
            <w:tcMar>
              <w:left w:w="28" w:type="dxa"/>
              <w:right w:w="28" w:type="dxa"/>
            </w:tcMar>
            <w:vAlign w:val="center"/>
          </w:tcPr>
          <w:p w14:paraId="0BCDCDE7"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Подписание формы информированного согласия</w:t>
            </w:r>
          </w:p>
        </w:tc>
        <w:tc>
          <w:tcPr>
            <w:tcW w:w="278" w:type="pct"/>
            <w:shd w:val="clear" w:color="auto" w:fill="auto"/>
            <w:tcMar>
              <w:left w:w="28" w:type="dxa"/>
              <w:right w:w="28" w:type="dxa"/>
            </w:tcMar>
            <w:vAlign w:val="center"/>
          </w:tcPr>
          <w:p w14:paraId="7160D5B5"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val="en-US" w:eastAsia="ru-RU"/>
              </w:rPr>
              <w:t>●</w:t>
            </w:r>
          </w:p>
        </w:tc>
        <w:tc>
          <w:tcPr>
            <w:tcW w:w="400" w:type="pct"/>
            <w:tcMar>
              <w:left w:w="28" w:type="dxa"/>
              <w:right w:w="28" w:type="dxa"/>
            </w:tcMar>
            <w:vAlign w:val="center"/>
          </w:tcPr>
          <w:p w14:paraId="2AF362D6"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56237CBD"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2A754610"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700DA0C3"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55DD4795"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25100AF4"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7380F4B9"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3539655A"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75F2092E"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61572198"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66B0B608"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24444DBD"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6B6716A9"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6CDD4AC7"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008A9807"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5FF6EF07"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1F3CB903"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77926262" w14:textId="77777777" w:rsidR="005C6E88" w:rsidRPr="009E6200" w:rsidRDefault="005C6E88" w:rsidP="007B46F5">
            <w:pPr>
              <w:pStyle w:val="SDText"/>
              <w:jc w:val="both"/>
              <w:rPr>
                <w:rFonts w:cs="Times New Roman"/>
                <w:b/>
                <w:sz w:val="16"/>
                <w:szCs w:val="16"/>
                <w:lang w:eastAsia="ru-RU"/>
              </w:rPr>
            </w:pPr>
          </w:p>
        </w:tc>
        <w:tc>
          <w:tcPr>
            <w:tcW w:w="191" w:type="pct"/>
            <w:vAlign w:val="center"/>
          </w:tcPr>
          <w:p w14:paraId="45D52F94" w14:textId="77777777" w:rsidR="005C6E88" w:rsidRPr="009E6200" w:rsidRDefault="005C6E88" w:rsidP="007B46F5">
            <w:pPr>
              <w:pStyle w:val="SDText"/>
              <w:jc w:val="both"/>
              <w:rPr>
                <w:rFonts w:cs="Times New Roman"/>
                <w:b/>
                <w:sz w:val="16"/>
                <w:szCs w:val="16"/>
                <w:lang w:eastAsia="ru-RU"/>
              </w:rPr>
            </w:pPr>
          </w:p>
        </w:tc>
        <w:tc>
          <w:tcPr>
            <w:tcW w:w="118" w:type="pct"/>
            <w:tcMar>
              <w:left w:w="28" w:type="dxa"/>
              <w:right w:w="28" w:type="dxa"/>
            </w:tcMar>
            <w:vAlign w:val="center"/>
          </w:tcPr>
          <w:p w14:paraId="1E8F22D9" w14:textId="77777777" w:rsidR="005C6E88" w:rsidRPr="009E6200" w:rsidRDefault="005C6E88" w:rsidP="007B46F5">
            <w:pPr>
              <w:pStyle w:val="SDText"/>
              <w:jc w:val="both"/>
              <w:rPr>
                <w:rFonts w:cs="Times New Roman"/>
                <w:b/>
                <w:sz w:val="16"/>
                <w:szCs w:val="16"/>
                <w:lang w:eastAsia="ru-RU"/>
              </w:rPr>
            </w:pPr>
          </w:p>
        </w:tc>
        <w:tc>
          <w:tcPr>
            <w:tcW w:w="174" w:type="pct"/>
          </w:tcPr>
          <w:p w14:paraId="7438AFC0" w14:textId="77777777" w:rsidR="005C6E88" w:rsidRPr="009E6200" w:rsidRDefault="005C6E88" w:rsidP="007B46F5">
            <w:pPr>
              <w:pStyle w:val="SDText"/>
              <w:jc w:val="both"/>
              <w:rPr>
                <w:rFonts w:cs="Times New Roman"/>
                <w:b/>
                <w:sz w:val="16"/>
                <w:szCs w:val="16"/>
                <w:lang w:eastAsia="ru-RU"/>
              </w:rPr>
            </w:pPr>
          </w:p>
        </w:tc>
      </w:tr>
      <w:tr w:rsidR="005C6E88" w:rsidRPr="009E6200" w14:paraId="10E0DCCA" w14:textId="77777777" w:rsidTr="00992857">
        <w:trPr>
          <w:cantSplit/>
          <w:trHeight w:val="170"/>
        </w:trPr>
        <w:tc>
          <w:tcPr>
            <w:tcW w:w="1355" w:type="pct"/>
            <w:tcMar>
              <w:left w:w="28" w:type="dxa"/>
              <w:right w:w="28" w:type="dxa"/>
            </w:tcMar>
            <w:vAlign w:val="center"/>
          </w:tcPr>
          <w:p w14:paraId="584D4F01"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rPr>
              <w:t>Сбор анамнестических, демографических и антропометрических</w:t>
            </w:r>
            <w:r w:rsidRPr="0085192F">
              <w:rPr>
                <w:rStyle w:val="FootnoteReference"/>
              </w:rPr>
              <w:footnoteReference w:id="6"/>
            </w:r>
            <w:r w:rsidRPr="009E6200">
              <w:rPr>
                <w:rFonts w:cs="Times New Roman"/>
                <w:sz w:val="16"/>
                <w:szCs w:val="16"/>
              </w:rPr>
              <w:t xml:space="preserve"> данных</w:t>
            </w:r>
          </w:p>
        </w:tc>
        <w:tc>
          <w:tcPr>
            <w:tcW w:w="278" w:type="pct"/>
            <w:tcMar>
              <w:left w:w="28" w:type="dxa"/>
              <w:right w:w="28" w:type="dxa"/>
            </w:tcMar>
            <w:vAlign w:val="center"/>
          </w:tcPr>
          <w:p w14:paraId="28DCCEB4"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400" w:type="pct"/>
            <w:tcMar>
              <w:left w:w="28" w:type="dxa"/>
              <w:right w:w="28" w:type="dxa"/>
            </w:tcMar>
            <w:vAlign w:val="center"/>
          </w:tcPr>
          <w:p w14:paraId="39F2941A" w14:textId="77777777" w:rsidR="005C6E88" w:rsidRPr="009E6200" w:rsidRDefault="005C6E88" w:rsidP="007B46F5">
            <w:pPr>
              <w:pStyle w:val="SDText"/>
              <w:jc w:val="both"/>
              <w:rPr>
                <w:rFonts w:cs="Times New Roman"/>
                <w:b/>
                <w:sz w:val="16"/>
                <w:szCs w:val="16"/>
                <w:lang w:val="en-US" w:eastAsia="ru-RU"/>
              </w:rPr>
            </w:pPr>
          </w:p>
        </w:tc>
        <w:tc>
          <w:tcPr>
            <w:tcW w:w="133" w:type="pct"/>
            <w:tcMar>
              <w:left w:w="28" w:type="dxa"/>
              <w:right w:w="28" w:type="dxa"/>
            </w:tcMar>
            <w:vAlign w:val="center"/>
          </w:tcPr>
          <w:p w14:paraId="2A287294"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6CC05607"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29B14893"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1139F6F6"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77C400BF"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355DA73C"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64E56869"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4FE36626"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61D2B01F"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6ABB79D0"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353D17A0"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03C020A8"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7CB1841A"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4125C6B1"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614447D8"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1385179E"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73E7BC52" w14:textId="77777777" w:rsidR="005C6E88" w:rsidRPr="009E6200" w:rsidRDefault="005C6E88" w:rsidP="007B46F5">
            <w:pPr>
              <w:pStyle w:val="SDText"/>
              <w:jc w:val="both"/>
              <w:rPr>
                <w:rFonts w:cs="Times New Roman"/>
                <w:b/>
                <w:sz w:val="16"/>
                <w:szCs w:val="16"/>
                <w:lang w:eastAsia="ru-RU"/>
              </w:rPr>
            </w:pPr>
          </w:p>
        </w:tc>
        <w:tc>
          <w:tcPr>
            <w:tcW w:w="191" w:type="pct"/>
            <w:vAlign w:val="center"/>
          </w:tcPr>
          <w:p w14:paraId="1C309146" w14:textId="77777777" w:rsidR="005C6E88" w:rsidRPr="009E6200" w:rsidRDefault="005C6E88" w:rsidP="007B46F5">
            <w:pPr>
              <w:pStyle w:val="SDText"/>
              <w:jc w:val="both"/>
              <w:rPr>
                <w:rFonts w:cs="Times New Roman"/>
                <w:b/>
                <w:sz w:val="16"/>
                <w:szCs w:val="16"/>
                <w:lang w:eastAsia="ru-RU"/>
              </w:rPr>
            </w:pPr>
          </w:p>
        </w:tc>
        <w:tc>
          <w:tcPr>
            <w:tcW w:w="118" w:type="pct"/>
            <w:tcMar>
              <w:left w:w="28" w:type="dxa"/>
              <w:right w:w="28" w:type="dxa"/>
            </w:tcMar>
            <w:vAlign w:val="center"/>
          </w:tcPr>
          <w:p w14:paraId="0E41EB19" w14:textId="77777777" w:rsidR="005C6E88" w:rsidRPr="009E6200" w:rsidRDefault="005C6E88" w:rsidP="007B46F5">
            <w:pPr>
              <w:pStyle w:val="SDText"/>
              <w:jc w:val="both"/>
              <w:rPr>
                <w:rFonts w:cs="Times New Roman"/>
                <w:b/>
                <w:sz w:val="16"/>
                <w:szCs w:val="16"/>
                <w:lang w:eastAsia="ru-RU"/>
              </w:rPr>
            </w:pPr>
          </w:p>
        </w:tc>
        <w:tc>
          <w:tcPr>
            <w:tcW w:w="174" w:type="pct"/>
          </w:tcPr>
          <w:p w14:paraId="11E4C832" w14:textId="77777777" w:rsidR="005C6E88" w:rsidRPr="009E6200" w:rsidRDefault="005C6E88" w:rsidP="007B46F5">
            <w:pPr>
              <w:pStyle w:val="SDText"/>
              <w:jc w:val="both"/>
              <w:rPr>
                <w:rFonts w:cs="Times New Roman"/>
                <w:b/>
                <w:sz w:val="16"/>
                <w:szCs w:val="16"/>
                <w:lang w:eastAsia="ru-RU"/>
              </w:rPr>
            </w:pPr>
          </w:p>
        </w:tc>
      </w:tr>
      <w:tr w:rsidR="005C6E88" w:rsidRPr="009E6200" w14:paraId="6971969F" w14:textId="77777777" w:rsidTr="0005126A">
        <w:trPr>
          <w:cantSplit/>
          <w:trHeight w:val="170"/>
        </w:trPr>
        <w:tc>
          <w:tcPr>
            <w:tcW w:w="1355" w:type="pct"/>
            <w:shd w:val="clear" w:color="auto" w:fill="92D050"/>
            <w:tcMar>
              <w:left w:w="28" w:type="dxa"/>
              <w:right w:w="28" w:type="dxa"/>
            </w:tcMar>
            <w:vAlign w:val="center"/>
          </w:tcPr>
          <w:p w14:paraId="1D82F4D2"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Коагулограмма</w:t>
            </w:r>
            <w:r w:rsidRPr="0085192F">
              <w:rPr>
                <w:rStyle w:val="FootnoteReference"/>
              </w:rPr>
              <w:footnoteReference w:id="7"/>
            </w:r>
          </w:p>
        </w:tc>
        <w:tc>
          <w:tcPr>
            <w:tcW w:w="278" w:type="pct"/>
            <w:shd w:val="clear" w:color="auto" w:fill="92D050"/>
            <w:tcMar>
              <w:left w:w="28" w:type="dxa"/>
              <w:right w:w="28" w:type="dxa"/>
            </w:tcMar>
            <w:vAlign w:val="center"/>
          </w:tcPr>
          <w:p w14:paraId="43F6E20C"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400" w:type="pct"/>
            <w:shd w:val="clear" w:color="auto" w:fill="92D050"/>
            <w:tcMar>
              <w:left w:w="28" w:type="dxa"/>
              <w:right w:w="28" w:type="dxa"/>
            </w:tcMar>
            <w:vAlign w:val="center"/>
          </w:tcPr>
          <w:p w14:paraId="714AC451" w14:textId="77777777" w:rsidR="005C6E88" w:rsidRPr="009E6200" w:rsidRDefault="005C6E88" w:rsidP="007B46F5">
            <w:pPr>
              <w:pStyle w:val="SDText"/>
              <w:jc w:val="both"/>
              <w:rPr>
                <w:rFonts w:cs="Times New Roman"/>
                <w:b/>
                <w:sz w:val="16"/>
                <w:szCs w:val="16"/>
                <w:lang w:eastAsia="ru-RU"/>
              </w:rPr>
            </w:pPr>
          </w:p>
        </w:tc>
        <w:tc>
          <w:tcPr>
            <w:tcW w:w="133" w:type="pct"/>
            <w:shd w:val="clear" w:color="auto" w:fill="92D050"/>
            <w:tcMar>
              <w:left w:w="28" w:type="dxa"/>
              <w:right w:w="28" w:type="dxa"/>
            </w:tcMar>
            <w:vAlign w:val="center"/>
          </w:tcPr>
          <w:p w14:paraId="5C5A4F16" w14:textId="77777777" w:rsidR="005C6E88" w:rsidRPr="009E6200" w:rsidRDefault="005C6E88" w:rsidP="007B46F5">
            <w:pPr>
              <w:pStyle w:val="SDText"/>
              <w:jc w:val="both"/>
              <w:rPr>
                <w:rFonts w:cs="Times New Roman"/>
                <w:b/>
                <w:sz w:val="16"/>
                <w:szCs w:val="16"/>
                <w:lang w:eastAsia="ru-RU"/>
              </w:rPr>
            </w:pPr>
          </w:p>
        </w:tc>
        <w:tc>
          <w:tcPr>
            <w:tcW w:w="133" w:type="pct"/>
            <w:shd w:val="clear" w:color="auto" w:fill="92D050"/>
            <w:tcMar>
              <w:left w:w="28" w:type="dxa"/>
              <w:right w:w="28" w:type="dxa"/>
            </w:tcMar>
            <w:vAlign w:val="center"/>
          </w:tcPr>
          <w:p w14:paraId="0F98DBFB" w14:textId="77777777" w:rsidR="005C6E88" w:rsidRPr="009E6200" w:rsidRDefault="005C6E88" w:rsidP="007B46F5">
            <w:pPr>
              <w:pStyle w:val="SDText"/>
              <w:jc w:val="both"/>
              <w:rPr>
                <w:rFonts w:cs="Times New Roman"/>
                <w:b/>
                <w:sz w:val="16"/>
                <w:szCs w:val="16"/>
                <w:lang w:eastAsia="ru-RU"/>
              </w:rPr>
            </w:pPr>
          </w:p>
        </w:tc>
        <w:tc>
          <w:tcPr>
            <w:tcW w:w="133" w:type="pct"/>
            <w:shd w:val="clear" w:color="auto" w:fill="92D050"/>
            <w:tcMar>
              <w:left w:w="28" w:type="dxa"/>
              <w:right w:w="28" w:type="dxa"/>
            </w:tcMar>
            <w:vAlign w:val="center"/>
          </w:tcPr>
          <w:p w14:paraId="763BEF9E" w14:textId="77777777" w:rsidR="005C6E88" w:rsidRPr="009E6200" w:rsidRDefault="005C6E88" w:rsidP="007B46F5">
            <w:pPr>
              <w:pStyle w:val="SDText"/>
              <w:jc w:val="both"/>
              <w:rPr>
                <w:rFonts w:cs="Times New Roman"/>
                <w:b/>
                <w:sz w:val="16"/>
                <w:szCs w:val="16"/>
                <w:lang w:eastAsia="ru-RU"/>
              </w:rPr>
            </w:pPr>
          </w:p>
        </w:tc>
        <w:tc>
          <w:tcPr>
            <w:tcW w:w="133" w:type="pct"/>
            <w:shd w:val="clear" w:color="auto" w:fill="92D050"/>
            <w:tcMar>
              <w:left w:w="28" w:type="dxa"/>
              <w:right w:w="28" w:type="dxa"/>
            </w:tcMar>
            <w:vAlign w:val="center"/>
          </w:tcPr>
          <w:p w14:paraId="74646C84" w14:textId="6D2230B3" w:rsidR="005C6E88" w:rsidRPr="009E6200" w:rsidRDefault="00C628AD"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shd w:val="clear" w:color="auto" w:fill="92D050"/>
            <w:tcMar>
              <w:left w:w="28" w:type="dxa"/>
              <w:right w:w="28" w:type="dxa"/>
            </w:tcMar>
            <w:vAlign w:val="center"/>
          </w:tcPr>
          <w:p w14:paraId="4BA4085A" w14:textId="77777777" w:rsidR="005C6E88" w:rsidRPr="009E6200" w:rsidRDefault="005C6E88" w:rsidP="007B46F5">
            <w:pPr>
              <w:pStyle w:val="SDText"/>
              <w:jc w:val="both"/>
              <w:rPr>
                <w:rFonts w:cs="Times New Roman"/>
                <w:b/>
                <w:sz w:val="16"/>
                <w:szCs w:val="16"/>
                <w:lang w:eastAsia="ru-RU"/>
              </w:rPr>
            </w:pPr>
          </w:p>
        </w:tc>
        <w:tc>
          <w:tcPr>
            <w:tcW w:w="133" w:type="pct"/>
            <w:shd w:val="clear" w:color="auto" w:fill="92D050"/>
            <w:tcMar>
              <w:left w:w="28" w:type="dxa"/>
              <w:right w:w="28" w:type="dxa"/>
            </w:tcMar>
            <w:vAlign w:val="center"/>
          </w:tcPr>
          <w:p w14:paraId="6EE13D09" w14:textId="77777777" w:rsidR="005C6E88" w:rsidRPr="009E6200" w:rsidRDefault="005C6E88" w:rsidP="007B46F5">
            <w:pPr>
              <w:pStyle w:val="SDText"/>
              <w:jc w:val="both"/>
              <w:rPr>
                <w:rFonts w:cs="Times New Roman"/>
                <w:b/>
                <w:sz w:val="16"/>
                <w:szCs w:val="16"/>
                <w:lang w:eastAsia="ru-RU"/>
              </w:rPr>
            </w:pPr>
          </w:p>
        </w:tc>
        <w:tc>
          <w:tcPr>
            <w:tcW w:w="133" w:type="pct"/>
            <w:shd w:val="clear" w:color="auto" w:fill="92D050"/>
            <w:tcMar>
              <w:left w:w="28" w:type="dxa"/>
              <w:right w:w="28" w:type="dxa"/>
            </w:tcMar>
            <w:vAlign w:val="center"/>
          </w:tcPr>
          <w:p w14:paraId="51EF6207" w14:textId="77777777" w:rsidR="005C6E88" w:rsidRPr="009E6200" w:rsidRDefault="005C6E88" w:rsidP="007B46F5">
            <w:pPr>
              <w:pStyle w:val="SDText"/>
              <w:jc w:val="both"/>
              <w:rPr>
                <w:rFonts w:cs="Times New Roman"/>
                <w:b/>
                <w:sz w:val="16"/>
                <w:szCs w:val="16"/>
                <w:lang w:eastAsia="ru-RU"/>
              </w:rPr>
            </w:pPr>
          </w:p>
        </w:tc>
        <w:tc>
          <w:tcPr>
            <w:tcW w:w="190" w:type="pct"/>
            <w:shd w:val="clear" w:color="auto" w:fill="92D050"/>
            <w:tcMar>
              <w:left w:w="28" w:type="dxa"/>
              <w:right w:w="28" w:type="dxa"/>
            </w:tcMar>
            <w:vAlign w:val="center"/>
          </w:tcPr>
          <w:p w14:paraId="679085C6" w14:textId="2BE9E414" w:rsidR="005C6E88" w:rsidRPr="009E6200" w:rsidRDefault="00C628AD"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2E68F7F7"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0BFD7BF3"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1688DC1E" w14:textId="2C95B349" w:rsidR="005C6E88" w:rsidRPr="009E6200" w:rsidRDefault="00C628AD"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1B711F47"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5DC998FE"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19FF3CF0" w14:textId="32B212C5" w:rsidR="005C6E88" w:rsidRPr="009E6200" w:rsidRDefault="00C628AD"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6FD195E8"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5670D380"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416EB6D5" w14:textId="4B12DC07" w:rsidR="005C6E88" w:rsidRPr="009E6200" w:rsidRDefault="00C628AD"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1" w:type="pct"/>
            <w:vAlign w:val="center"/>
          </w:tcPr>
          <w:p w14:paraId="4F68E158" w14:textId="77777777" w:rsidR="005C6E88" w:rsidRPr="009E6200" w:rsidRDefault="005C6E88" w:rsidP="007B46F5">
            <w:pPr>
              <w:pStyle w:val="SDText"/>
              <w:jc w:val="both"/>
              <w:rPr>
                <w:rFonts w:cs="Times New Roman"/>
                <w:b/>
                <w:sz w:val="16"/>
                <w:szCs w:val="16"/>
                <w:lang w:eastAsia="ru-RU"/>
              </w:rPr>
            </w:pPr>
          </w:p>
        </w:tc>
        <w:tc>
          <w:tcPr>
            <w:tcW w:w="118" w:type="pct"/>
            <w:tcMar>
              <w:left w:w="28" w:type="dxa"/>
              <w:right w:w="28" w:type="dxa"/>
            </w:tcMar>
            <w:vAlign w:val="center"/>
          </w:tcPr>
          <w:p w14:paraId="0599D041" w14:textId="77777777" w:rsidR="005C6E88" w:rsidRPr="009E6200" w:rsidRDefault="005C6E88" w:rsidP="007B46F5">
            <w:pPr>
              <w:pStyle w:val="SDText"/>
              <w:jc w:val="both"/>
              <w:rPr>
                <w:rFonts w:cs="Times New Roman"/>
                <w:b/>
                <w:sz w:val="16"/>
                <w:szCs w:val="16"/>
                <w:lang w:eastAsia="ru-RU"/>
              </w:rPr>
            </w:pPr>
          </w:p>
        </w:tc>
        <w:tc>
          <w:tcPr>
            <w:tcW w:w="174" w:type="pct"/>
          </w:tcPr>
          <w:p w14:paraId="78D6F493" w14:textId="77777777" w:rsidR="005C6E88" w:rsidRPr="009E6200" w:rsidRDefault="005C6E88" w:rsidP="007B46F5">
            <w:pPr>
              <w:pStyle w:val="SDText"/>
              <w:jc w:val="both"/>
              <w:rPr>
                <w:rFonts w:cs="Times New Roman"/>
                <w:b/>
                <w:sz w:val="16"/>
                <w:szCs w:val="16"/>
                <w:lang w:eastAsia="ru-RU"/>
              </w:rPr>
            </w:pPr>
          </w:p>
        </w:tc>
      </w:tr>
      <w:tr w:rsidR="005C6E88" w:rsidRPr="009E6200" w14:paraId="2AD2C810" w14:textId="77777777" w:rsidTr="0005126A">
        <w:trPr>
          <w:cantSplit/>
          <w:trHeight w:val="170"/>
        </w:trPr>
        <w:tc>
          <w:tcPr>
            <w:tcW w:w="1355" w:type="pct"/>
            <w:shd w:val="clear" w:color="auto" w:fill="92D050"/>
            <w:tcMar>
              <w:left w:w="28" w:type="dxa"/>
              <w:right w:w="28" w:type="dxa"/>
            </w:tcMar>
            <w:vAlign w:val="center"/>
          </w:tcPr>
          <w:p w14:paraId="45AC4F44"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Серологический анализ крови</w:t>
            </w:r>
            <w:r w:rsidRPr="0085192F">
              <w:rPr>
                <w:rStyle w:val="FootnoteReference"/>
              </w:rPr>
              <w:footnoteReference w:id="8"/>
            </w:r>
          </w:p>
        </w:tc>
        <w:tc>
          <w:tcPr>
            <w:tcW w:w="278" w:type="pct"/>
            <w:shd w:val="clear" w:color="auto" w:fill="92D050"/>
            <w:tcMar>
              <w:left w:w="28" w:type="dxa"/>
              <w:right w:w="28" w:type="dxa"/>
            </w:tcMar>
            <w:vAlign w:val="center"/>
          </w:tcPr>
          <w:p w14:paraId="7E69C70E"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400" w:type="pct"/>
            <w:shd w:val="clear" w:color="auto" w:fill="92D050"/>
            <w:tcMar>
              <w:left w:w="28" w:type="dxa"/>
              <w:right w:w="28" w:type="dxa"/>
            </w:tcMar>
            <w:vAlign w:val="center"/>
          </w:tcPr>
          <w:p w14:paraId="3B065EBF" w14:textId="77777777" w:rsidR="005C6E88" w:rsidRPr="009E6200" w:rsidRDefault="005C6E88" w:rsidP="007B46F5">
            <w:pPr>
              <w:pStyle w:val="SDText"/>
              <w:jc w:val="both"/>
              <w:rPr>
                <w:rFonts w:cs="Times New Roman"/>
                <w:b/>
                <w:sz w:val="16"/>
                <w:szCs w:val="16"/>
                <w:lang w:eastAsia="ru-RU"/>
              </w:rPr>
            </w:pPr>
          </w:p>
        </w:tc>
        <w:tc>
          <w:tcPr>
            <w:tcW w:w="133" w:type="pct"/>
            <w:shd w:val="clear" w:color="auto" w:fill="92D050"/>
            <w:tcMar>
              <w:left w:w="28" w:type="dxa"/>
              <w:right w:w="28" w:type="dxa"/>
            </w:tcMar>
            <w:vAlign w:val="center"/>
          </w:tcPr>
          <w:p w14:paraId="7E6D8632" w14:textId="77777777" w:rsidR="005C6E88" w:rsidRPr="009E6200" w:rsidRDefault="005C6E88" w:rsidP="007B46F5">
            <w:pPr>
              <w:pStyle w:val="SDText"/>
              <w:jc w:val="both"/>
              <w:rPr>
                <w:rFonts w:cs="Times New Roman"/>
                <w:b/>
                <w:sz w:val="16"/>
                <w:szCs w:val="16"/>
                <w:lang w:eastAsia="ru-RU"/>
              </w:rPr>
            </w:pPr>
          </w:p>
        </w:tc>
        <w:tc>
          <w:tcPr>
            <w:tcW w:w="133" w:type="pct"/>
            <w:shd w:val="clear" w:color="auto" w:fill="92D050"/>
            <w:tcMar>
              <w:left w:w="28" w:type="dxa"/>
              <w:right w:w="28" w:type="dxa"/>
            </w:tcMar>
            <w:vAlign w:val="center"/>
          </w:tcPr>
          <w:p w14:paraId="4AC230F0" w14:textId="77777777" w:rsidR="005C6E88" w:rsidRPr="009E6200" w:rsidRDefault="005C6E88" w:rsidP="007B46F5">
            <w:pPr>
              <w:pStyle w:val="SDText"/>
              <w:jc w:val="both"/>
              <w:rPr>
                <w:rFonts w:cs="Times New Roman"/>
                <w:b/>
                <w:sz w:val="16"/>
                <w:szCs w:val="16"/>
                <w:lang w:eastAsia="ru-RU"/>
              </w:rPr>
            </w:pPr>
          </w:p>
        </w:tc>
        <w:tc>
          <w:tcPr>
            <w:tcW w:w="133" w:type="pct"/>
            <w:shd w:val="clear" w:color="auto" w:fill="92D050"/>
            <w:tcMar>
              <w:left w:w="28" w:type="dxa"/>
              <w:right w:w="28" w:type="dxa"/>
            </w:tcMar>
            <w:vAlign w:val="center"/>
          </w:tcPr>
          <w:p w14:paraId="16DC3BEF" w14:textId="77777777" w:rsidR="005C6E88" w:rsidRPr="009E6200" w:rsidRDefault="005C6E88" w:rsidP="007B46F5">
            <w:pPr>
              <w:pStyle w:val="SDText"/>
              <w:jc w:val="both"/>
              <w:rPr>
                <w:rFonts w:cs="Times New Roman"/>
                <w:b/>
                <w:sz w:val="16"/>
                <w:szCs w:val="16"/>
                <w:lang w:eastAsia="ru-RU"/>
              </w:rPr>
            </w:pPr>
          </w:p>
        </w:tc>
        <w:tc>
          <w:tcPr>
            <w:tcW w:w="133" w:type="pct"/>
            <w:shd w:val="clear" w:color="auto" w:fill="92D050"/>
            <w:tcMar>
              <w:left w:w="28" w:type="dxa"/>
              <w:right w:w="28" w:type="dxa"/>
            </w:tcMar>
            <w:vAlign w:val="center"/>
          </w:tcPr>
          <w:p w14:paraId="19F40403" w14:textId="77777777" w:rsidR="005C6E88" w:rsidRPr="009E6200" w:rsidRDefault="005C6E88" w:rsidP="007B46F5">
            <w:pPr>
              <w:pStyle w:val="SDText"/>
              <w:jc w:val="both"/>
              <w:rPr>
                <w:rFonts w:cs="Times New Roman"/>
                <w:b/>
                <w:sz w:val="16"/>
                <w:szCs w:val="16"/>
                <w:lang w:eastAsia="ru-RU"/>
              </w:rPr>
            </w:pPr>
          </w:p>
        </w:tc>
        <w:tc>
          <w:tcPr>
            <w:tcW w:w="133" w:type="pct"/>
            <w:shd w:val="clear" w:color="auto" w:fill="92D050"/>
            <w:tcMar>
              <w:left w:w="28" w:type="dxa"/>
              <w:right w:w="28" w:type="dxa"/>
            </w:tcMar>
            <w:vAlign w:val="center"/>
          </w:tcPr>
          <w:p w14:paraId="414AA5CE" w14:textId="77777777" w:rsidR="005C6E88" w:rsidRPr="009E6200" w:rsidRDefault="005C6E88" w:rsidP="007B46F5">
            <w:pPr>
              <w:pStyle w:val="SDText"/>
              <w:jc w:val="both"/>
              <w:rPr>
                <w:rFonts w:cs="Times New Roman"/>
                <w:b/>
                <w:sz w:val="16"/>
                <w:szCs w:val="16"/>
                <w:lang w:eastAsia="ru-RU"/>
              </w:rPr>
            </w:pPr>
          </w:p>
        </w:tc>
        <w:tc>
          <w:tcPr>
            <w:tcW w:w="133" w:type="pct"/>
            <w:shd w:val="clear" w:color="auto" w:fill="92D050"/>
            <w:tcMar>
              <w:left w:w="28" w:type="dxa"/>
              <w:right w:w="28" w:type="dxa"/>
            </w:tcMar>
            <w:vAlign w:val="center"/>
          </w:tcPr>
          <w:p w14:paraId="67C7AAF2" w14:textId="77777777" w:rsidR="005C6E88" w:rsidRPr="009E6200" w:rsidRDefault="005C6E88" w:rsidP="007B46F5">
            <w:pPr>
              <w:pStyle w:val="SDText"/>
              <w:jc w:val="both"/>
              <w:rPr>
                <w:rFonts w:cs="Times New Roman"/>
                <w:b/>
                <w:sz w:val="16"/>
                <w:szCs w:val="16"/>
                <w:lang w:eastAsia="ru-RU"/>
              </w:rPr>
            </w:pPr>
          </w:p>
        </w:tc>
        <w:tc>
          <w:tcPr>
            <w:tcW w:w="133" w:type="pct"/>
            <w:shd w:val="clear" w:color="auto" w:fill="92D050"/>
            <w:tcMar>
              <w:left w:w="28" w:type="dxa"/>
              <w:right w:w="28" w:type="dxa"/>
            </w:tcMar>
            <w:vAlign w:val="center"/>
          </w:tcPr>
          <w:p w14:paraId="71F60151" w14:textId="77777777" w:rsidR="005C6E88" w:rsidRPr="009E6200" w:rsidRDefault="005C6E88" w:rsidP="007B46F5">
            <w:pPr>
              <w:pStyle w:val="SDText"/>
              <w:jc w:val="both"/>
              <w:rPr>
                <w:rFonts w:cs="Times New Roman"/>
                <w:b/>
                <w:sz w:val="16"/>
                <w:szCs w:val="16"/>
                <w:lang w:eastAsia="ru-RU"/>
              </w:rPr>
            </w:pPr>
          </w:p>
        </w:tc>
        <w:tc>
          <w:tcPr>
            <w:tcW w:w="190" w:type="pct"/>
            <w:shd w:val="clear" w:color="auto" w:fill="92D050"/>
            <w:tcMar>
              <w:left w:w="28" w:type="dxa"/>
              <w:right w:w="28" w:type="dxa"/>
            </w:tcMar>
            <w:vAlign w:val="center"/>
          </w:tcPr>
          <w:p w14:paraId="059D86DA"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074B0794"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646E7CF3"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7DBC5B5A"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3E098D2C"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0F79A608"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48E33A9A"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504BFA8A"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0DD75CBF"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1A0DD259" w14:textId="77777777" w:rsidR="005C6E88" w:rsidRPr="009E6200" w:rsidRDefault="005C6E88" w:rsidP="007B46F5">
            <w:pPr>
              <w:pStyle w:val="SDText"/>
              <w:jc w:val="both"/>
              <w:rPr>
                <w:rFonts w:cs="Times New Roman"/>
                <w:b/>
                <w:sz w:val="16"/>
                <w:szCs w:val="16"/>
                <w:lang w:eastAsia="ru-RU"/>
              </w:rPr>
            </w:pPr>
          </w:p>
        </w:tc>
        <w:tc>
          <w:tcPr>
            <w:tcW w:w="191" w:type="pct"/>
            <w:vAlign w:val="center"/>
          </w:tcPr>
          <w:p w14:paraId="1F4B5456" w14:textId="77777777" w:rsidR="005C6E88" w:rsidRPr="009E6200" w:rsidRDefault="005C6E88" w:rsidP="007B46F5">
            <w:pPr>
              <w:pStyle w:val="SDText"/>
              <w:jc w:val="both"/>
              <w:rPr>
                <w:rFonts w:cs="Times New Roman"/>
                <w:b/>
                <w:sz w:val="16"/>
                <w:szCs w:val="16"/>
                <w:lang w:eastAsia="ru-RU"/>
              </w:rPr>
            </w:pPr>
          </w:p>
        </w:tc>
        <w:tc>
          <w:tcPr>
            <w:tcW w:w="118" w:type="pct"/>
            <w:tcMar>
              <w:left w:w="28" w:type="dxa"/>
              <w:right w:w="28" w:type="dxa"/>
            </w:tcMar>
            <w:vAlign w:val="center"/>
          </w:tcPr>
          <w:p w14:paraId="27EF1CF8" w14:textId="77777777" w:rsidR="005C6E88" w:rsidRPr="009E6200" w:rsidRDefault="005C6E88" w:rsidP="007B46F5">
            <w:pPr>
              <w:pStyle w:val="SDText"/>
              <w:jc w:val="both"/>
              <w:rPr>
                <w:rFonts w:cs="Times New Roman"/>
                <w:b/>
                <w:sz w:val="16"/>
                <w:szCs w:val="16"/>
                <w:lang w:eastAsia="ru-RU"/>
              </w:rPr>
            </w:pPr>
          </w:p>
        </w:tc>
        <w:tc>
          <w:tcPr>
            <w:tcW w:w="174" w:type="pct"/>
          </w:tcPr>
          <w:p w14:paraId="1B3712A3" w14:textId="77777777" w:rsidR="005C6E88" w:rsidRPr="009E6200" w:rsidRDefault="005C6E88" w:rsidP="007B46F5">
            <w:pPr>
              <w:pStyle w:val="SDText"/>
              <w:jc w:val="both"/>
              <w:rPr>
                <w:rFonts w:cs="Times New Roman"/>
                <w:b/>
                <w:sz w:val="16"/>
                <w:szCs w:val="16"/>
                <w:lang w:eastAsia="ru-RU"/>
              </w:rPr>
            </w:pPr>
          </w:p>
        </w:tc>
      </w:tr>
      <w:tr w:rsidR="005C6E88" w:rsidRPr="009E6200" w14:paraId="1A15B37E" w14:textId="77777777" w:rsidTr="00992857">
        <w:trPr>
          <w:cantSplit/>
          <w:trHeight w:val="170"/>
        </w:trPr>
        <w:tc>
          <w:tcPr>
            <w:tcW w:w="1355" w:type="pct"/>
            <w:tcMar>
              <w:left w:w="28" w:type="dxa"/>
              <w:right w:w="28" w:type="dxa"/>
            </w:tcMar>
            <w:vAlign w:val="center"/>
          </w:tcPr>
          <w:p w14:paraId="7351E746"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Биопсия первичной опухоли или метастаза</w:t>
            </w:r>
            <w:r w:rsidRPr="0085192F">
              <w:rPr>
                <w:rStyle w:val="FootnoteReference"/>
              </w:rPr>
              <w:footnoteReference w:id="9"/>
            </w:r>
          </w:p>
        </w:tc>
        <w:tc>
          <w:tcPr>
            <w:tcW w:w="278" w:type="pct"/>
            <w:tcMar>
              <w:left w:w="28" w:type="dxa"/>
              <w:right w:w="28" w:type="dxa"/>
            </w:tcMar>
            <w:vAlign w:val="center"/>
          </w:tcPr>
          <w:p w14:paraId="282263FD"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400" w:type="pct"/>
            <w:tcMar>
              <w:left w:w="28" w:type="dxa"/>
              <w:right w:w="28" w:type="dxa"/>
            </w:tcMar>
            <w:vAlign w:val="center"/>
          </w:tcPr>
          <w:p w14:paraId="4A62A89E"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45EB88B8"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77E8D415"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3A1D1048"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08066E4E"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79C25922"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2FE27366"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1D71E83F"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35E78AB6"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0EC12915"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2351D09D"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14BCE38A"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2D71EA11"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062D6C37"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179D2BE3"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03A955E5"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1250EF09"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45EEF2A1" w14:textId="77777777" w:rsidR="005C6E88" w:rsidRPr="009E6200" w:rsidRDefault="005C6E88" w:rsidP="007B46F5">
            <w:pPr>
              <w:pStyle w:val="SDText"/>
              <w:jc w:val="both"/>
              <w:rPr>
                <w:rFonts w:cs="Times New Roman"/>
                <w:b/>
                <w:sz w:val="16"/>
                <w:szCs w:val="16"/>
                <w:lang w:eastAsia="ru-RU"/>
              </w:rPr>
            </w:pPr>
          </w:p>
        </w:tc>
        <w:tc>
          <w:tcPr>
            <w:tcW w:w="191" w:type="pct"/>
            <w:vAlign w:val="center"/>
          </w:tcPr>
          <w:p w14:paraId="7ADED377" w14:textId="77777777" w:rsidR="005C6E88" w:rsidRPr="009E6200" w:rsidRDefault="005C6E88" w:rsidP="007B46F5">
            <w:pPr>
              <w:pStyle w:val="SDText"/>
              <w:jc w:val="both"/>
              <w:rPr>
                <w:rFonts w:cs="Times New Roman"/>
                <w:b/>
                <w:sz w:val="16"/>
                <w:szCs w:val="16"/>
                <w:lang w:eastAsia="ru-RU"/>
              </w:rPr>
            </w:pPr>
          </w:p>
        </w:tc>
        <w:tc>
          <w:tcPr>
            <w:tcW w:w="118" w:type="pct"/>
            <w:tcMar>
              <w:left w:w="28" w:type="dxa"/>
              <w:right w:w="28" w:type="dxa"/>
            </w:tcMar>
            <w:vAlign w:val="center"/>
          </w:tcPr>
          <w:p w14:paraId="51637949" w14:textId="77777777" w:rsidR="005C6E88" w:rsidRPr="009E6200" w:rsidRDefault="005C6E88" w:rsidP="007B46F5">
            <w:pPr>
              <w:pStyle w:val="SDText"/>
              <w:jc w:val="both"/>
              <w:rPr>
                <w:rFonts w:cs="Times New Roman"/>
                <w:b/>
                <w:sz w:val="16"/>
                <w:szCs w:val="16"/>
                <w:lang w:eastAsia="ru-RU"/>
              </w:rPr>
            </w:pPr>
          </w:p>
        </w:tc>
        <w:tc>
          <w:tcPr>
            <w:tcW w:w="174" w:type="pct"/>
          </w:tcPr>
          <w:p w14:paraId="7030C580" w14:textId="77777777" w:rsidR="005C6E88" w:rsidRPr="009E6200" w:rsidRDefault="005C6E88" w:rsidP="007B46F5">
            <w:pPr>
              <w:pStyle w:val="SDText"/>
              <w:jc w:val="both"/>
              <w:rPr>
                <w:rFonts w:cs="Times New Roman"/>
                <w:b/>
                <w:sz w:val="16"/>
                <w:szCs w:val="16"/>
                <w:lang w:eastAsia="ru-RU"/>
              </w:rPr>
            </w:pPr>
          </w:p>
        </w:tc>
      </w:tr>
      <w:tr w:rsidR="005C6E88" w:rsidRPr="009E6200" w14:paraId="08B0FB89" w14:textId="77777777" w:rsidTr="00992857">
        <w:trPr>
          <w:cantSplit/>
          <w:trHeight w:val="170"/>
        </w:trPr>
        <w:tc>
          <w:tcPr>
            <w:tcW w:w="1355" w:type="pct"/>
            <w:tcMar>
              <w:left w:w="28" w:type="dxa"/>
              <w:right w:w="28" w:type="dxa"/>
            </w:tcMar>
            <w:vAlign w:val="center"/>
          </w:tcPr>
          <w:p w14:paraId="4D93A324" w14:textId="5F5D3EB9" w:rsidR="005C6E88" w:rsidRPr="009E6200" w:rsidRDefault="003722FF" w:rsidP="007B46F5">
            <w:pPr>
              <w:pStyle w:val="SDText"/>
              <w:jc w:val="both"/>
              <w:rPr>
                <w:rFonts w:cs="Times New Roman"/>
                <w:sz w:val="16"/>
                <w:szCs w:val="16"/>
                <w:lang w:eastAsia="ru-RU"/>
              </w:rPr>
            </w:pPr>
            <w:r w:rsidRPr="003722FF">
              <w:rPr>
                <w:rFonts w:eastAsia="Times New Roman" w:cs="Times New Roman"/>
                <w:vertAlign w:val="superscript"/>
              </w:rPr>
              <w:footnoteReference w:id="10"/>
            </w:r>
          </w:p>
        </w:tc>
        <w:tc>
          <w:tcPr>
            <w:tcW w:w="278" w:type="pct"/>
            <w:tcMar>
              <w:left w:w="28" w:type="dxa"/>
              <w:right w:w="28" w:type="dxa"/>
            </w:tcMar>
            <w:vAlign w:val="center"/>
          </w:tcPr>
          <w:p w14:paraId="33E68906"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400" w:type="pct"/>
            <w:tcMar>
              <w:left w:w="28" w:type="dxa"/>
              <w:right w:w="28" w:type="dxa"/>
            </w:tcMar>
            <w:vAlign w:val="center"/>
          </w:tcPr>
          <w:p w14:paraId="2E238911"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244E1B82"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638204E5"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0E02A7A7"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16E658B5"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1DE5E395"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17589E14"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3DB51BAA"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67F31DA6"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74C561C9"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53455F38"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2762C348"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12EA7621"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47C282B7"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0C1D7F33"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62A57D66"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01C8A2E7"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091E1A2A" w14:textId="77777777" w:rsidR="005C6E88" w:rsidRPr="009E6200" w:rsidRDefault="005C6E88" w:rsidP="007B46F5">
            <w:pPr>
              <w:pStyle w:val="SDText"/>
              <w:jc w:val="both"/>
              <w:rPr>
                <w:rFonts w:cs="Times New Roman"/>
                <w:b/>
                <w:sz w:val="16"/>
                <w:szCs w:val="16"/>
                <w:lang w:eastAsia="ru-RU"/>
              </w:rPr>
            </w:pPr>
          </w:p>
        </w:tc>
        <w:tc>
          <w:tcPr>
            <w:tcW w:w="191" w:type="pct"/>
            <w:vAlign w:val="center"/>
          </w:tcPr>
          <w:p w14:paraId="62DE711C" w14:textId="77777777" w:rsidR="005C6E88" w:rsidRPr="009E6200" w:rsidRDefault="005C6E88" w:rsidP="007B46F5">
            <w:pPr>
              <w:pStyle w:val="SDText"/>
              <w:jc w:val="both"/>
              <w:rPr>
                <w:rFonts w:cs="Times New Roman"/>
                <w:b/>
                <w:sz w:val="16"/>
                <w:szCs w:val="16"/>
                <w:lang w:eastAsia="ru-RU"/>
              </w:rPr>
            </w:pPr>
          </w:p>
        </w:tc>
        <w:tc>
          <w:tcPr>
            <w:tcW w:w="118" w:type="pct"/>
            <w:tcMar>
              <w:left w:w="28" w:type="dxa"/>
              <w:right w:w="28" w:type="dxa"/>
            </w:tcMar>
            <w:vAlign w:val="center"/>
          </w:tcPr>
          <w:p w14:paraId="0AA62452" w14:textId="77777777" w:rsidR="005C6E88" w:rsidRPr="009E6200" w:rsidRDefault="005C6E88" w:rsidP="007B46F5">
            <w:pPr>
              <w:pStyle w:val="SDText"/>
              <w:jc w:val="both"/>
              <w:rPr>
                <w:rFonts w:cs="Times New Roman"/>
                <w:b/>
                <w:sz w:val="16"/>
                <w:szCs w:val="16"/>
                <w:lang w:eastAsia="ru-RU"/>
              </w:rPr>
            </w:pPr>
          </w:p>
        </w:tc>
        <w:tc>
          <w:tcPr>
            <w:tcW w:w="174" w:type="pct"/>
          </w:tcPr>
          <w:p w14:paraId="22CC0A39" w14:textId="77777777" w:rsidR="005C6E88" w:rsidRPr="009E6200" w:rsidRDefault="005C6E88" w:rsidP="007B46F5">
            <w:pPr>
              <w:pStyle w:val="SDText"/>
              <w:jc w:val="both"/>
              <w:rPr>
                <w:rFonts w:cs="Times New Roman"/>
                <w:b/>
                <w:sz w:val="16"/>
                <w:szCs w:val="16"/>
                <w:lang w:eastAsia="ru-RU"/>
              </w:rPr>
            </w:pPr>
          </w:p>
        </w:tc>
      </w:tr>
      <w:tr w:rsidR="005C6E88" w:rsidRPr="009E6200" w14:paraId="01138E61" w14:textId="77777777" w:rsidTr="00992857">
        <w:trPr>
          <w:cantSplit/>
          <w:trHeight w:val="170"/>
        </w:trPr>
        <w:tc>
          <w:tcPr>
            <w:tcW w:w="1355" w:type="pct"/>
            <w:tcMar>
              <w:left w:w="28" w:type="dxa"/>
              <w:right w:w="28" w:type="dxa"/>
            </w:tcMar>
            <w:vAlign w:val="center"/>
          </w:tcPr>
          <w:p w14:paraId="08AE6D8C"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Оценка статуса курения</w:t>
            </w:r>
          </w:p>
        </w:tc>
        <w:tc>
          <w:tcPr>
            <w:tcW w:w="278" w:type="pct"/>
            <w:tcMar>
              <w:left w:w="28" w:type="dxa"/>
              <w:right w:w="28" w:type="dxa"/>
            </w:tcMar>
            <w:vAlign w:val="center"/>
          </w:tcPr>
          <w:p w14:paraId="26AD3EDF"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400" w:type="pct"/>
            <w:tcMar>
              <w:left w:w="28" w:type="dxa"/>
              <w:right w:w="28" w:type="dxa"/>
            </w:tcMar>
            <w:vAlign w:val="center"/>
          </w:tcPr>
          <w:p w14:paraId="5F51AE87"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5BA14FC0"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567D695E"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24401537"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497A9F32"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003A0E32"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4E3F3D26"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6B19C25B"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56420655"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3DF9CCA9"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332D4ACF"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6B9BB1C0"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4EFF08B0"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28FD1E2F"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117BA72D"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4FC9225E"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723852C0"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75CB9173" w14:textId="77777777" w:rsidR="005C6E88" w:rsidRPr="009E6200" w:rsidRDefault="005C6E88" w:rsidP="007B46F5">
            <w:pPr>
              <w:pStyle w:val="SDText"/>
              <w:jc w:val="both"/>
              <w:rPr>
                <w:rFonts w:cs="Times New Roman"/>
                <w:b/>
                <w:sz w:val="16"/>
                <w:szCs w:val="16"/>
                <w:lang w:eastAsia="ru-RU"/>
              </w:rPr>
            </w:pPr>
          </w:p>
        </w:tc>
        <w:tc>
          <w:tcPr>
            <w:tcW w:w="191" w:type="pct"/>
            <w:vAlign w:val="center"/>
          </w:tcPr>
          <w:p w14:paraId="1D97D2CE" w14:textId="77777777" w:rsidR="005C6E88" w:rsidRPr="009E6200" w:rsidRDefault="005C6E88" w:rsidP="007B46F5">
            <w:pPr>
              <w:pStyle w:val="SDText"/>
              <w:jc w:val="both"/>
              <w:rPr>
                <w:rFonts w:cs="Times New Roman"/>
                <w:b/>
                <w:sz w:val="16"/>
                <w:szCs w:val="16"/>
                <w:lang w:eastAsia="ru-RU"/>
              </w:rPr>
            </w:pPr>
          </w:p>
        </w:tc>
        <w:tc>
          <w:tcPr>
            <w:tcW w:w="118" w:type="pct"/>
            <w:tcMar>
              <w:left w:w="28" w:type="dxa"/>
              <w:right w:w="28" w:type="dxa"/>
            </w:tcMar>
            <w:vAlign w:val="center"/>
          </w:tcPr>
          <w:p w14:paraId="647EDD35" w14:textId="77777777" w:rsidR="005C6E88" w:rsidRPr="009E6200" w:rsidRDefault="005C6E88" w:rsidP="007B46F5">
            <w:pPr>
              <w:pStyle w:val="SDText"/>
              <w:jc w:val="both"/>
              <w:rPr>
                <w:rFonts w:cs="Times New Roman"/>
                <w:b/>
                <w:sz w:val="16"/>
                <w:szCs w:val="16"/>
                <w:lang w:eastAsia="ru-RU"/>
              </w:rPr>
            </w:pPr>
          </w:p>
        </w:tc>
        <w:tc>
          <w:tcPr>
            <w:tcW w:w="174" w:type="pct"/>
          </w:tcPr>
          <w:p w14:paraId="71F9392E" w14:textId="77777777" w:rsidR="005C6E88" w:rsidRPr="009E6200" w:rsidRDefault="005C6E88" w:rsidP="007B46F5">
            <w:pPr>
              <w:pStyle w:val="SDText"/>
              <w:jc w:val="both"/>
              <w:rPr>
                <w:rFonts w:cs="Times New Roman"/>
                <w:b/>
                <w:sz w:val="16"/>
                <w:szCs w:val="16"/>
                <w:lang w:eastAsia="ru-RU"/>
              </w:rPr>
            </w:pPr>
          </w:p>
        </w:tc>
      </w:tr>
      <w:tr w:rsidR="005C6E88" w:rsidRPr="009E6200" w14:paraId="78E3183A" w14:textId="77777777" w:rsidTr="00992857">
        <w:trPr>
          <w:cantSplit/>
          <w:trHeight w:val="170"/>
        </w:trPr>
        <w:tc>
          <w:tcPr>
            <w:tcW w:w="1355" w:type="pct"/>
            <w:tcMar>
              <w:left w:w="28" w:type="dxa"/>
              <w:right w:w="28" w:type="dxa"/>
            </w:tcMar>
            <w:vAlign w:val="center"/>
          </w:tcPr>
          <w:p w14:paraId="6649CBAB"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Оценка критериев включения/невключения</w:t>
            </w:r>
          </w:p>
        </w:tc>
        <w:tc>
          <w:tcPr>
            <w:tcW w:w="278" w:type="pct"/>
            <w:tcMar>
              <w:left w:w="28" w:type="dxa"/>
              <w:right w:w="28" w:type="dxa"/>
            </w:tcMar>
            <w:vAlign w:val="center"/>
          </w:tcPr>
          <w:p w14:paraId="38175450"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400" w:type="pct"/>
            <w:tcMar>
              <w:left w:w="28" w:type="dxa"/>
              <w:right w:w="28" w:type="dxa"/>
            </w:tcMar>
            <w:vAlign w:val="center"/>
          </w:tcPr>
          <w:p w14:paraId="720A434C"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0EC4AA55"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29C72BC3"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58E6AA1C"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2418DEF2"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692DBD88"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1ACCFF86"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4573677C"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7755D589"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32EDF2A4"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6D823972"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37E2A946"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0D84BAC6"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37FDF753"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25060A3D"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73C38CE4"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3000F2A7"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2F69B2D5" w14:textId="77777777" w:rsidR="005C6E88" w:rsidRPr="009E6200" w:rsidRDefault="005C6E88" w:rsidP="007B46F5">
            <w:pPr>
              <w:pStyle w:val="SDText"/>
              <w:jc w:val="both"/>
              <w:rPr>
                <w:rFonts w:cs="Times New Roman"/>
                <w:b/>
                <w:sz w:val="16"/>
                <w:szCs w:val="16"/>
                <w:lang w:eastAsia="ru-RU"/>
              </w:rPr>
            </w:pPr>
          </w:p>
        </w:tc>
        <w:tc>
          <w:tcPr>
            <w:tcW w:w="191" w:type="pct"/>
            <w:vAlign w:val="center"/>
          </w:tcPr>
          <w:p w14:paraId="04FE57C5" w14:textId="77777777" w:rsidR="005C6E88" w:rsidRPr="009E6200" w:rsidRDefault="005C6E88" w:rsidP="007B46F5">
            <w:pPr>
              <w:pStyle w:val="SDText"/>
              <w:jc w:val="both"/>
              <w:rPr>
                <w:rFonts w:cs="Times New Roman"/>
                <w:b/>
                <w:sz w:val="16"/>
                <w:szCs w:val="16"/>
                <w:lang w:eastAsia="ru-RU"/>
              </w:rPr>
            </w:pPr>
          </w:p>
        </w:tc>
        <w:tc>
          <w:tcPr>
            <w:tcW w:w="118" w:type="pct"/>
            <w:tcMar>
              <w:left w:w="28" w:type="dxa"/>
              <w:right w:w="28" w:type="dxa"/>
            </w:tcMar>
            <w:vAlign w:val="center"/>
          </w:tcPr>
          <w:p w14:paraId="2C79D17F" w14:textId="77777777" w:rsidR="005C6E88" w:rsidRPr="009E6200" w:rsidRDefault="005C6E88" w:rsidP="007B46F5">
            <w:pPr>
              <w:pStyle w:val="SDText"/>
              <w:jc w:val="both"/>
              <w:rPr>
                <w:rFonts w:cs="Times New Roman"/>
                <w:b/>
                <w:sz w:val="16"/>
                <w:szCs w:val="16"/>
                <w:lang w:eastAsia="ru-RU"/>
              </w:rPr>
            </w:pPr>
          </w:p>
        </w:tc>
        <w:tc>
          <w:tcPr>
            <w:tcW w:w="174" w:type="pct"/>
          </w:tcPr>
          <w:p w14:paraId="5866C010" w14:textId="77777777" w:rsidR="005C6E88" w:rsidRPr="009E6200" w:rsidRDefault="005C6E88" w:rsidP="007B46F5">
            <w:pPr>
              <w:pStyle w:val="SDText"/>
              <w:jc w:val="both"/>
              <w:rPr>
                <w:rFonts w:cs="Times New Roman"/>
                <w:b/>
                <w:sz w:val="16"/>
                <w:szCs w:val="16"/>
                <w:lang w:eastAsia="ru-RU"/>
              </w:rPr>
            </w:pPr>
          </w:p>
        </w:tc>
      </w:tr>
      <w:tr w:rsidR="005C6E88" w:rsidRPr="009E6200" w14:paraId="35EE5EE1" w14:textId="77777777" w:rsidTr="00992857">
        <w:trPr>
          <w:cantSplit/>
          <w:trHeight w:val="170"/>
        </w:trPr>
        <w:tc>
          <w:tcPr>
            <w:tcW w:w="1355" w:type="pct"/>
            <w:tcMar>
              <w:left w:w="28" w:type="dxa"/>
              <w:right w:w="28" w:type="dxa"/>
            </w:tcMar>
            <w:vAlign w:val="center"/>
          </w:tcPr>
          <w:p w14:paraId="3B2550EC"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Сбор жалоб</w:t>
            </w:r>
          </w:p>
        </w:tc>
        <w:tc>
          <w:tcPr>
            <w:tcW w:w="278" w:type="pct"/>
            <w:shd w:val="clear" w:color="auto" w:fill="auto"/>
            <w:tcMar>
              <w:left w:w="28" w:type="dxa"/>
              <w:right w:w="28" w:type="dxa"/>
            </w:tcMar>
            <w:vAlign w:val="center"/>
          </w:tcPr>
          <w:p w14:paraId="219E3E49"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400" w:type="pct"/>
            <w:tcMar>
              <w:left w:w="28" w:type="dxa"/>
              <w:right w:w="28" w:type="dxa"/>
            </w:tcMar>
            <w:vAlign w:val="center"/>
          </w:tcPr>
          <w:p w14:paraId="4EC8341C"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7183FBD9"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6F61A053"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0F5090F5"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20D5C3C6"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43C44252"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5B3110E4"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0461D126"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0" w:type="pct"/>
            <w:tcMar>
              <w:left w:w="28" w:type="dxa"/>
              <w:right w:w="28" w:type="dxa"/>
            </w:tcMar>
            <w:vAlign w:val="center"/>
          </w:tcPr>
          <w:p w14:paraId="37A15BDF"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444E5546"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0C2A416A"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0" w:type="pct"/>
            <w:tcMar>
              <w:left w:w="28" w:type="dxa"/>
              <w:right w:w="28" w:type="dxa"/>
            </w:tcMar>
            <w:vAlign w:val="center"/>
          </w:tcPr>
          <w:p w14:paraId="4C1C30F6"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708F22B5"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3E3375B0"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0" w:type="pct"/>
            <w:tcMar>
              <w:left w:w="28" w:type="dxa"/>
              <w:right w:w="28" w:type="dxa"/>
            </w:tcMar>
            <w:vAlign w:val="center"/>
          </w:tcPr>
          <w:p w14:paraId="5736A532"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666C5B35"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65F3FD9B"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0" w:type="pct"/>
            <w:tcMar>
              <w:left w:w="28" w:type="dxa"/>
              <w:right w:w="28" w:type="dxa"/>
            </w:tcMar>
            <w:vAlign w:val="center"/>
          </w:tcPr>
          <w:p w14:paraId="5C551F17"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1" w:type="pct"/>
            <w:vAlign w:val="center"/>
          </w:tcPr>
          <w:p w14:paraId="489691E4"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18" w:type="pct"/>
            <w:tcMar>
              <w:left w:w="28" w:type="dxa"/>
              <w:right w:w="28" w:type="dxa"/>
            </w:tcMar>
            <w:vAlign w:val="center"/>
          </w:tcPr>
          <w:p w14:paraId="5367BE2E"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74" w:type="pct"/>
            <w:vAlign w:val="center"/>
          </w:tcPr>
          <w:p w14:paraId="4DF7C932"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r>
      <w:tr w:rsidR="005C6E88" w:rsidRPr="009E6200" w14:paraId="0B8EFDF7" w14:textId="77777777" w:rsidTr="00992857">
        <w:trPr>
          <w:cantSplit/>
          <w:trHeight w:val="170"/>
        </w:trPr>
        <w:tc>
          <w:tcPr>
            <w:tcW w:w="1355" w:type="pct"/>
            <w:tcMar>
              <w:left w:w="28" w:type="dxa"/>
              <w:right w:w="28" w:type="dxa"/>
            </w:tcMar>
            <w:vAlign w:val="center"/>
          </w:tcPr>
          <w:p w14:paraId="14BA9DCE" w14:textId="77777777" w:rsidR="005C6E88" w:rsidRPr="009E6200" w:rsidRDefault="005C6E88" w:rsidP="007B46F5">
            <w:pPr>
              <w:pStyle w:val="SDText"/>
              <w:jc w:val="both"/>
              <w:rPr>
                <w:rFonts w:cs="Times New Roman"/>
                <w:sz w:val="16"/>
                <w:szCs w:val="16"/>
              </w:rPr>
            </w:pPr>
            <w:r w:rsidRPr="009E6200">
              <w:rPr>
                <w:rFonts w:cs="Times New Roman"/>
                <w:sz w:val="16"/>
                <w:szCs w:val="16"/>
              </w:rPr>
              <w:t>Измерение массы тела</w:t>
            </w:r>
          </w:p>
        </w:tc>
        <w:tc>
          <w:tcPr>
            <w:tcW w:w="278" w:type="pct"/>
            <w:tcMar>
              <w:left w:w="28" w:type="dxa"/>
              <w:right w:w="28" w:type="dxa"/>
            </w:tcMar>
            <w:vAlign w:val="center"/>
          </w:tcPr>
          <w:p w14:paraId="5644A6ED" w14:textId="135CFE0B" w:rsidR="005C6E88" w:rsidRPr="009E6200" w:rsidRDefault="005C6E88" w:rsidP="007B46F5">
            <w:pPr>
              <w:pStyle w:val="SDText"/>
              <w:jc w:val="both"/>
              <w:rPr>
                <w:rFonts w:cs="Times New Roman"/>
                <w:b/>
                <w:sz w:val="16"/>
                <w:szCs w:val="16"/>
                <w:lang w:eastAsia="ru-RU"/>
              </w:rPr>
            </w:pPr>
          </w:p>
        </w:tc>
        <w:tc>
          <w:tcPr>
            <w:tcW w:w="400" w:type="pct"/>
            <w:tcMar>
              <w:left w:w="28" w:type="dxa"/>
              <w:right w:w="28" w:type="dxa"/>
            </w:tcMar>
            <w:vAlign w:val="center"/>
          </w:tcPr>
          <w:p w14:paraId="22C4A9B1" w14:textId="77777777" w:rsidR="005C6E88" w:rsidRPr="009E6200" w:rsidRDefault="005C6E88" w:rsidP="007B46F5">
            <w:pPr>
              <w:pStyle w:val="SDText"/>
              <w:jc w:val="both"/>
              <w:rPr>
                <w:rFonts w:cs="Times New Roman"/>
                <w:b/>
                <w:sz w:val="16"/>
                <w:szCs w:val="16"/>
                <w:lang w:val="en-US" w:eastAsia="ru-RU"/>
              </w:rPr>
            </w:pPr>
            <w:r w:rsidRPr="009E6200">
              <w:rPr>
                <w:rFonts w:cs="Times New Roman"/>
                <w:b/>
                <w:sz w:val="16"/>
                <w:szCs w:val="16"/>
                <w:lang w:eastAsia="ru-RU"/>
              </w:rPr>
              <w:t>●</w:t>
            </w:r>
          </w:p>
        </w:tc>
        <w:tc>
          <w:tcPr>
            <w:tcW w:w="133" w:type="pct"/>
            <w:tcMar>
              <w:left w:w="28" w:type="dxa"/>
              <w:right w:w="28" w:type="dxa"/>
            </w:tcMar>
            <w:vAlign w:val="center"/>
          </w:tcPr>
          <w:p w14:paraId="6DAEABBD"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60FF5397"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3E36B148"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533BE06F"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3B1DF4E4"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07489E42"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07EBEBC6"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0" w:type="pct"/>
            <w:tcMar>
              <w:left w:w="28" w:type="dxa"/>
              <w:right w:w="28" w:type="dxa"/>
            </w:tcMar>
            <w:vAlign w:val="center"/>
          </w:tcPr>
          <w:p w14:paraId="00C0BB56"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7CDF92C1"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280DDF04"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0" w:type="pct"/>
            <w:tcMar>
              <w:left w:w="28" w:type="dxa"/>
              <w:right w:w="28" w:type="dxa"/>
            </w:tcMar>
            <w:vAlign w:val="center"/>
          </w:tcPr>
          <w:p w14:paraId="373166DC"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7D43C78E"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2C4B9749"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0" w:type="pct"/>
            <w:tcMar>
              <w:left w:w="28" w:type="dxa"/>
              <w:right w:w="28" w:type="dxa"/>
            </w:tcMar>
            <w:vAlign w:val="center"/>
          </w:tcPr>
          <w:p w14:paraId="6AF7995E"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37C3A0C9"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66FC1FC0"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0" w:type="pct"/>
            <w:tcMar>
              <w:left w:w="28" w:type="dxa"/>
              <w:right w:w="28" w:type="dxa"/>
            </w:tcMar>
            <w:vAlign w:val="center"/>
          </w:tcPr>
          <w:p w14:paraId="715AF5B1"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1" w:type="pct"/>
            <w:vAlign w:val="center"/>
          </w:tcPr>
          <w:p w14:paraId="49908B8D"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18" w:type="pct"/>
            <w:tcMar>
              <w:left w:w="28" w:type="dxa"/>
              <w:right w:w="28" w:type="dxa"/>
            </w:tcMar>
            <w:vAlign w:val="center"/>
          </w:tcPr>
          <w:p w14:paraId="49466AA0"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74" w:type="pct"/>
            <w:vAlign w:val="center"/>
          </w:tcPr>
          <w:p w14:paraId="2D756420"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r>
      <w:tr w:rsidR="005C6E88" w:rsidRPr="009E6200" w14:paraId="6F17DE7C" w14:textId="77777777" w:rsidTr="00992857">
        <w:trPr>
          <w:cantSplit/>
          <w:trHeight w:val="170"/>
        </w:trPr>
        <w:tc>
          <w:tcPr>
            <w:tcW w:w="1355" w:type="pct"/>
            <w:tcMar>
              <w:left w:w="28" w:type="dxa"/>
              <w:right w:w="28" w:type="dxa"/>
            </w:tcMar>
            <w:vAlign w:val="center"/>
          </w:tcPr>
          <w:p w14:paraId="07B19426"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rPr>
              <w:t>Регистрация сопутствующей терапии</w:t>
            </w:r>
          </w:p>
        </w:tc>
        <w:tc>
          <w:tcPr>
            <w:tcW w:w="278" w:type="pct"/>
            <w:tcMar>
              <w:left w:w="28" w:type="dxa"/>
              <w:right w:w="28" w:type="dxa"/>
            </w:tcMar>
            <w:vAlign w:val="center"/>
          </w:tcPr>
          <w:p w14:paraId="428D17BF"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400" w:type="pct"/>
            <w:tcMar>
              <w:left w:w="28" w:type="dxa"/>
              <w:right w:w="28" w:type="dxa"/>
            </w:tcMar>
            <w:vAlign w:val="center"/>
          </w:tcPr>
          <w:p w14:paraId="39D4DF17"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367F53FE"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4DC5FA8F"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3F2A1E22"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4DD2E48E"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2E96EC23"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6EEDB84E"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30C46E04"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0" w:type="pct"/>
            <w:tcMar>
              <w:left w:w="28" w:type="dxa"/>
              <w:right w:w="28" w:type="dxa"/>
            </w:tcMar>
            <w:vAlign w:val="center"/>
          </w:tcPr>
          <w:p w14:paraId="7ABD55A8"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4C8C15CD"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352D3868"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0" w:type="pct"/>
            <w:tcMar>
              <w:left w:w="28" w:type="dxa"/>
              <w:right w:w="28" w:type="dxa"/>
            </w:tcMar>
            <w:vAlign w:val="center"/>
          </w:tcPr>
          <w:p w14:paraId="22D9CCF1"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18980741"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1B5B09F4"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0" w:type="pct"/>
            <w:tcMar>
              <w:left w:w="28" w:type="dxa"/>
              <w:right w:w="28" w:type="dxa"/>
            </w:tcMar>
            <w:vAlign w:val="center"/>
          </w:tcPr>
          <w:p w14:paraId="0E99981B"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356CFBB5"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31011590"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0" w:type="pct"/>
            <w:tcMar>
              <w:left w:w="28" w:type="dxa"/>
              <w:right w:w="28" w:type="dxa"/>
            </w:tcMar>
            <w:vAlign w:val="center"/>
          </w:tcPr>
          <w:p w14:paraId="11A501BE"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1" w:type="pct"/>
            <w:vAlign w:val="center"/>
          </w:tcPr>
          <w:p w14:paraId="024093FE"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18" w:type="pct"/>
            <w:tcMar>
              <w:left w:w="28" w:type="dxa"/>
              <w:right w:w="28" w:type="dxa"/>
            </w:tcMar>
            <w:vAlign w:val="center"/>
          </w:tcPr>
          <w:p w14:paraId="027A3312"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74" w:type="pct"/>
            <w:vAlign w:val="center"/>
          </w:tcPr>
          <w:p w14:paraId="2505EB12"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r>
      <w:tr w:rsidR="005C6E88" w:rsidRPr="009E6200" w14:paraId="2C61E716" w14:textId="77777777" w:rsidTr="0005126A">
        <w:trPr>
          <w:cantSplit/>
          <w:trHeight w:val="170"/>
        </w:trPr>
        <w:tc>
          <w:tcPr>
            <w:tcW w:w="1355" w:type="pct"/>
            <w:shd w:val="clear" w:color="auto" w:fill="92D050"/>
            <w:tcMar>
              <w:left w:w="28" w:type="dxa"/>
              <w:right w:w="28" w:type="dxa"/>
            </w:tcMar>
            <w:vAlign w:val="center"/>
          </w:tcPr>
          <w:p w14:paraId="01BF2227"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Физикальный осмотр</w:t>
            </w:r>
          </w:p>
        </w:tc>
        <w:tc>
          <w:tcPr>
            <w:tcW w:w="278" w:type="pct"/>
            <w:shd w:val="clear" w:color="auto" w:fill="92D050"/>
            <w:tcMar>
              <w:left w:w="28" w:type="dxa"/>
              <w:right w:w="28" w:type="dxa"/>
            </w:tcMar>
            <w:vAlign w:val="center"/>
          </w:tcPr>
          <w:p w14:paraId="1C8DE340"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400" w:type="pct"/>
            <w:shd w:val="clear" w:color="auto" w:fill="92D050"/>
            <w:tcMar>
              <w:left w:w="28" w:type="dxa"/>
              <w:right w:w="28" w:type="dxa"/>
            </w:tcMar>
            <w:vAlign w:val="center"/>
          </w:tcPr>
          <w:p w14:paraId="0A53C0C2"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shd w:val="clear" w:color="auto" w:fill="92D050"/>
            <w:tcMar>
              <w:left w:w="28" w:type="dxa"/>
              <w:right w:w="28" w:type="dxa"/>
            </w:tcMar>
            <w:vAlign w:val="center"/>
          </w:tcPr>
          <w:p w14:paraId="4A1686ED"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shd w:val="clear" w:color="auto" w:fill="92D050"/>
            <w:tcMar>
              <w:left w:w="28" w:type="dxa"/>
              <w:right w:w="28" w:type="dxa"/>
            </w:tcMar>
            <w:vAlign w:val="center"/>
          </w:tcPr>
          <w:p w14:paraId="5D4311A1"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shd w:val="clear" w:color="auto" w:fill="92D050"/>
            <w:tcMar>
              <w:left w:w="28" w:type="dxa"/>
              <w:right w:w="28" w:type="dxa"/>
            </w:tcMar>
            <w:vAlign w:val="center"/>
          </w:tcPr>
          <w:p w14:paraId="71083E07"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shd w:val="clear" w:color="auto" w:fill="92D050"/>
            <w:tcMar>
              <w:left w:w="28" w:type="dxa"/>
              <w:right w:w="28" w:type="dxa"/>
            </w:tcMar>
            <w:vAlign w:val="center"/>
          </w:tcPr>
          <w:p w14:paraId="64408C00"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shd w:val="clear" w:color="auto" w:fill="92D050"/>
            <w:tcMar>
              <w:left w:w="28" w:type="dxa"/>
              <w:right w:w="28" w:type="dxa"/>
            </w:tcMar>
            <w:vAlign w:val="center"/>
          </w:tcPr>
          <w:p w14:paraId="1B47C6C6"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shd w:val="clear" w:color="auto" w:fill="92D050"/>
            <w:tcMar>
              <w:left w:w="28" w:type="dxa"/>
              <w:right w:w="28" w:type="dxa"/>
            </w:tcMar>
            <w:vAlign w:val="center"/>
          </w:tcPr>
          <w:p w14:paraId="2BA16D8D"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shd w:val="clear" w:color="auto" w:fill="92D050"/>
            <w:tcMar>
              <w:left w:w="28" w:type="dxa"/>
              <w:right w:w="28" w:type="dxa"/>
            </w:tcMar>
            <w:vAlign w:val="center"/>
          </w:tcPr>
          <w:p w14:paraId="6AF488F8"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0" w:type="pct"/>
            <w:shd w:val="clear" w:color="auto" w:fill="92D050"/>
            <w:tcMar>
              <w:left w:w="28" w:type="dxa"/>
              <w:right w:w="28" w:type="dxa"/>
            </w:tcMar>
            <w:vAlign w:val="center"/>
          </w:tcPr>
          <w:p w14:paraId="42378EA0"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686765C4"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61B801A5"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0" w:type="pct"/>
            <w:tcMar>
              <w:left w:w="28" w:type="dxa"/>
              <w:right w:w="28" w:type="dxa"/>
            </w:tcMar>
            <w:vAlign w:val="center"/>
          </w:tcPr>
          <w:p w14:paraId="6B23F0EE"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5CDEBA11"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679515AF"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0" w:type="pct"/>
            <w:tcMar>
              <w:left w:w="28" w:type="dxa"/>
              <w:right w:w="28" w:type="dxa"/>
            </w:tcMar>
            <w:vAlign w:val="center"/>
          </w:tcPr>
          <w:p w14:paraId="5D6DCFE9"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58CE08B7"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733143F9"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0" w:type="pct"/>
            <w:tcMar>
              <w:left w:w="28" w:type="dxa"/>
              <w:right w:w="28" w:type="dxa"/>
            </w:tcMar>
            <w:vAlign w:val="center"/>
          </w:tcPr>
          <w:p w14:paraId="44098C16"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1" w:type="pct"/>
            <w:vAlign w:val="center"/>
          </w:tcPr>
          <w:p w14:paraId="3D4FFFBC"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18" w:type="pct"/>
            <w:tcMar>
              <w:left w:w="28" w:type="dxa"/>
              <w:right w:w="28" w:type="dxa"/>
            </w:tcMar>
            <w:vAlign w:val="center"/>
          </w:tcPr>
          <w:p w14:paraId="41129DAC"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74" w:type="pct"/>
            <w:vAlign w:val="center"/>
          </w:tcPr>
          <w:p w14:paraId="0237A92D"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r>
      <w:tr w:rsidR="005C6E88" w:rsidRPr="009E6200" w14:paraId="4CBB0B22" w14:textId="77777777" w:rsidTr="00992857">
        <w:trPr>
          <w:cantSplit/>
          <w:trHeight w:val="170"/>
        </w:trPr>
        <w:tc>
          <w:tcPr>
            <w:tcW w:w="1355" w:type="pct"/>
            <w:tcMar>
              <w:left w:w="28" w:type="dxa"/>
              <w:right w:w="28" w:type="dxa"/>
            </w:tcMar>
            <w:vAlign w:val="center"/>
          </w:tcPr>
          <w:p w14:paraId="42EAF243" w14:textId="77777777" w:rsidR="005C6E88" w:rsidRPr="009E6200" w:rsidRDefault="005C6E88" w:rsidP="007B46F5">
            <w:pPr>
              <w:pStyle w:val="SDText"/>
              <w:jc w:val="both"/>
              <w:rPr>
                <w:rFonts w:cs="Times New Roman"/>
                <w:sz w:val="16"/>
                <w:szCs w:val="16"/>
                <w:lang w:val="en-US" w:eastAsia="ru-RU"/>
              </w:rPr>
            </w:pPr>
            <w:r w:rsidRPr="009E6200">
              <w:rPr>
                <w:rFonts w:cs="Times New Roman"/>
                <w:sz w:val="16"/>
                <w:szCs w:val="16"/>
                <w:lang w:eastAsia="ru-RU"/>
              </w:rPr>
              <w:t xml:space="preserve">Оценка статуса по </w:t>
            </w:r>
            <w:r w:rsidRPr="009E6200">
              <w:rPr>
                <w:rFonts w:cs="Times New Roman"/>
                <w:sz w:val="16"/>
                <w:szCs w:val="16"/>
                <w:lang w:val="en-US" w:eastAsia="ru-RU"/>
              </w:rPr>
              <w:t>ECOG</w:t>
            </w:r>
          </w:p>
        </w:tc>
        <w:tc>
          <w:tcPr>
            <w:tcW w:w="278" w:type="pct"/>
            <w:tcMar>
              <w:left w:w="28" w:type="dxa"/>
              <w:right w:w="28" w:type="dxa"/>
            </w:tcMar>
            <w:vAlign w:val="center"/>
          </w:tcPr>
          <w:p w14:paraId="4A5CD8D2"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400" w:type="pct"/>
            <w:tcMar>
              <w:left w:w="28" w:type="dxa"/>
              <w:right w:w="28" w:type="dxa"/>
            </w:tcMar>
            <w:vAlign w:val="center"/>
          </w:tcPr>
          <w:p w14:paraId="66F6BA04"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224B2178"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374FAF4B"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07049AA7"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56ADBA4E"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61D120AB"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2EDF3443"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43E4B6A5"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0" w:type="pct"/>
            <w:tcMar>
              <w:left w:w="28" w:type="dxa"/>
              <w:right w:w="28" w:type="dxa"/>
            </w:tcMar>
            <w:vAlign w:val="center"/>
          </w:tcPr>
          <w:p w14:paraId="383FBCA5"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0034E494"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0831C50E"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0" w:type="pct"/>
            <w:tcMar>
              <w:left w:w="28" w:type="dxa"/>
              <w:right w:w="28" w:type="dxa"/>
            </w:tcMar>
            <w:vAlign w:val="center"/>
          </w:tcPr>
          <w:p w14:paraId="786161E8"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4AF5F5DC"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58E5DBE7"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0" w:type="pct"/>
            <w:tcMar>
              <w:left w:w="28" w:type="dxa"/>
              <w:right w:w="28" w:type="dxa"/>
            </w:tcMar>
            <w:vAlign w:val="center"/>
          </w:tcPr>
          <w:p w14:paraId="053204BD"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6AEC75A3"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0C69EA26"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0" w:type="pct"/>
            <w:tcMar>
              <w:left w:w="28" w:type="dxa"/>
              <w:right w:w="28" w:type="dxa"/>
            </w:tcMar>
            <w:vAlign w:val="center"/>
          </w:tcPr>
          <w:p w14:paraId="56487810"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1" w:type="pct"/>
            <w:vAlign w:val="center"/>
          </w:tcPr>
          <w:p w14:paraId="3532E9DC"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18" w:type="pct"/>
            <w:tcMar>
              <w:left w:w="28" w:type="dxa"/>
              <w:right w:w="28" w:type="dxa"/>
            </w:tcMar>
            <w:vAlign w:val="center"/>
          </w:tcPr>
          <w:p w14:paraId="7D4273E9"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74" w:type="pct"/>
            <w:vAlign w:val="center"/>
          </w:tcPr>
          <w:p w14:paraId="7965AD6C"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r>
      <w:tr w:rsidR="005C6E88" w:rsidRPr="009E6200" w14:paraId="7455A0B2" w14:textId="77777777" w:rsidTr="0005126A">
        <w:trPr>
          <w:cantSplit/>
          <w:trHeight w:val="170"/>
        </w:trPr>
        <w:tc>
          <w:tcPr>
            <w:tcW w:w="1355" w:type="pct"/>
            <w:shd w:val="clear" w:color="auto" w:fill="92D050"/>
            <w:tcMar>
              <w:left w:w="28" w:type="dxa"/>
              <w:right w:w="28" w:type="dxa"/>
            </w:tcMar>
            <w:vAlign w:val="center"/>
          </w:tcPr>
          <w:p w14:paraId="3EA6FDC7" w14:textId="3BC49E1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Оценка основных жизненных показателей</w:t>
            </w:r>
            <w:r w:rsidR="001002FC">
              <w:rPr>
                <w:rStyle w:val="FootnoteReference"/>
                <w:rFonts w:cs="Times New Roman"/>
                <w:sz w:val="16"/>
                <w:szCs w:val="16"/>
                <w:lang w:eastAsia="ru-RU"/>
              </w:rPr>
              <w:footnoteReference w:id="11"/>
            </w:r>
          </w:p>
        </w:tc>
        <w:tc>
          <w:tcPr>
            <w:tcW w:w="278" w:type="pct"/>
            <w:shd w:val="clear" w:color="auto" w:fill="92D050"/>
            <w:tcMar>
              <w:left w:w="28" w:type="dxa"/>
              <w:right w:w="28" w:type="dxa"/>
            </w:tcMar>
            <w:vAlign w:val="center"/>
          </w:tcPr>
          <w:p w14:paraId="2762A0BF"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400" w:type="pct"/>
            <w:shd w:val="clear" w:color="auto" w:fill="92D050"/>
            <w:tcMar>
              <w:left w:w="28" w:type="dxa"/>
              <w:right w:w="28" w:type="dxa"/>
            </w:tcMar>
            <w:vAlign w:val="center"/>
          </w:tcPr>
          <w:p w14:paraId="0DBD96FB"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shd w:val="clear" w:color="auto" w:fill="92D050"/>
            <w:tcMar>
              <w:left w:w="28" w:type="dxa"/>
              <w:right w:w="28" w:type="dxa"/>
            </w:tcMar>
            <w:vAlign w:val="center"/>
          </w:tcPr>
          <w:p w14:paraId="3D55DB9F"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shd w:val="clear" w:color="auto" w:fill="92D050"/>
            <w:tcMar>
              <w:left w:w="28" w:type="dxa"/>
              <w:right w:w="28" w:type="dxa"/>
            </w:tcMar>
            <w:vAlign w:val="center"/>
          </w:tcPr>
          <w:p w14:paraId="21D744B2"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shd w:val="clear" w:color="auto" w:fill="92D050"/>
            <w:tcMar>
              <w:left w:w="28" w:type="dxa"/>
              <w:right w:w="28" w:type="dxa"/>
            </w:tcMar>
            <w:vAlign w:val="center"/>
          </w:tcPr>
          <w:p w14:paraId="5A7323A6"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shd w:val="clear" w:color="auto" w:fill="92D050"/>
            <w:tcMar>
              <w:left w:w="28" w:type="dxa"/>
              <w:right w:w="28" w:type="dxa"/>
            </w:tcMar>
            <w:vAlign w:val="center"/>
          </w:tcPr>
          <w:p w14:paraId="0E2B7FFC"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shd w:val="clear" w:color="auto" w:fill="92D050"/>
            <w:tcMar>
              <w:left w:w="28" w:type="dxa"/>
              <w:right w:w="28" w:type="dxa"/>
            </w:tcMar>
            <w:vAlign w:val="center"/>
          </w:tcPr>
          <w:p w14:paraId="35D99082"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shd w:val="clear" w:color="auto" w:fill="92D050"/>
            <w:tcMar>
              <w:left w:w="28" w:type="dxa"/>
              <w:right w:w="28" w:type="dxa"/>
            </w:tcMar>
            <w:vAlign w:val="center"/>
          </w:tcPr>
          <w:p w14:paraId="76899A46"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shd w:val="clear" w:color="auto" w:fill="92D050"/>
            <w:tcMar>
              <w:left w:w="28" w:type="dxa"/>
              <w:right w:w="28" w:type="dxa"/>
            </w:tcMar>
            <w:vAlign w:val="center"/>
          </w:tcPr>
          <w:p w14:paraId="17F06179"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0" w:type="pct"/>
            <w:shd w:val="clear" w:color="auto" w:fill="92D050"/>
            <w:tcMar>
              <w:left w:w="28" w:type="dxa"/>
              <w:right w:w="28" w:type="dxa"/>
            </w:tcMar>
            <w:vAlign w:val="center"/>
          </w:tcPr>
          <w:p w14:paraId="7BD8241D"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2DEE5F7A"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2CD19760"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0" w:type="pct"/>
            <w:tcMar>
              <w:left w:w="28" w:type="dxa"/>
              <w:right w:w="28" w:type="dxa"/>
            </w:tcMar>
            <w:vAlign w:val="center"/>
          </w:tcPr>
          <w:p w14:paraId="7FA8FF5C"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11596330"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2D3ED82B"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0" w:type="pct"/>
            <w:tcMar>
              <w:left w:w="28" w:type="dxa"/>
              <w:right w:w="28" w:type="dxa"/>
            </w:tcMar>
            <w:vAlign w:val="center"/>
          </w:tcPr>
          <w:p w14:paraId="5EF7B825"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60604B11"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692CAD08"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0" w:type="pct"/>
            <w:tcMar>
              <w:left w:w="28" w:type="dxa"/>
              <w:right w:w="28" w:type="dxa"/>
            </w:tcMar>
            <w:vAlign w:val="center"/>
          </w:tcPr>
          <w:p w14:paraId="71F6EE49"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1" w:type="pct"/>
            <w:vAlign w:val="center"/>
          </w:tcPr>
          <w:p w14:paraId="29205351"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18" w:type="pct"/>
            <w:tcMar>
              <w:left w:w="28" w:type="dxa"/>
              <w:right w:w="28" w:type="dxa"/>
            </w:tcMar>
            <w:vAlign w:val="center"/>
          </w:tcPr>
          <w:p w14:paraId="58291A60"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74" w:type="pct"/>
            <w:vAlign w:val="center"/>
          </w:tcPr>
          <w:p w14:paraId="3BE5A772"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r>
      <w:tr w:rsidR="006C66C2" w:rsidRPr="009E6200" w14:paraId="1BD32C90" w14:textId="77777777" w:rsidTr="0005126A">
        <w:trPr>
          <w:cantSplit/>
          <w:trHeight w:val="170"/>
        </w:trPr>
        <w:tc>
          <w:tcPr>
            <w:tcW w:w="1355" w:type="pct"/>
            <w:shd w:val="clear" w:color="auto" w:fill="92D050"/>
            <w:tcMar>
              <w:left w:w="28" w:type="dxa"/>
              <w:right w:w="28" w:type="dxa"/>
            </w:tcMar>
            <w:vAlign w:val="center"/>
          </w:tcPr>
          <w:p w14:paraId="1402B62B" w14:textId="2ABD1A6A" w:rsidR="006C66C2" w:rsidRPr="008C68D8" w:rsidRDefault="006C66C2" w:rsidP="007B46F5">
            <w:pPr>
              <w:pStyle w:val="SDText"/>
              <w:jc w:val="both"/>
              <w:rPr>
                <w:rFonts w:cs="Times New Roman"/>
                <w:sz w:val="16"/>
                <w:szCs w:val="16"/>
                <w:vertAlign w:val="superscript"/>
                <w:lang w:eastAsia="ru-RU"/>
              </w:rPr>
            </w:pPr>
            <w:r w:rsidRPr="009E6200">
              <w:rPr>
                <w:rFonts w:cs="Times New Roman"/>
                <w:sz w:val="16"/>
                <w:szCs w:val="16"/>
                <w:lang w:eastAsia="ru-RU"/>
              </w:rPr>
              <w:t>Клинический анализ крови</w:t>
            </w:r>
            <w:r w:rsidRPr="00695820">
              <w:rPr>
                <w:rStyle w:val="FootnoteReference"/>
              </w:rPr>
              <w:footnoteReference w:id="12"/>
            </w:r>
            <w:r w:rsidRPr="005B15A5">
              <w:rPr>
                <w:rFonts w:cs="Times New Roman"/>
                <w:sz w:val="16"/>
                <w:szCs w:val="16"/>
                <w:vertAlign w:val="superscript"/>
                <w:lang w:eastAsia="ru-RU"/>
              </w:rPr>
              <w:t>,</w:t>
            </w:r>
            <w:r>
              <w:rPr>
                <w:rStyle w:val="FootnoteReference"/>
              </w:rPr>
              <w:footnoteReference w:id="13"/>
            </w:r>
            <w:r w:rsidRPr="008C68D8">
              <w:rPr>
                <w:vertAlign w:val="superscript"/>
              </w:rPr>
              <w:t>,14</w:t>
            </w:r>
          </w:p>
        </w:tc>
        <w:tc>
          <w:tcPr>
            <w:tcW w:w="278" w:type="pct"/>
            <w:shd w:val="clear" w:color="auto" w:fill="92D050"/>
            <w:tcMar>
              <w:left w:w="28" w:type="dxa"/>
              <w:right w:w="28" w:type="dxa"/>
            </w:tcMar>
            <w:vAlign w:val="center"/>
          </w:tcPr>
          <w:p w14:paraId="47133982" w14:textId="77777777" w:rsidR="006C66C2" w:rsidRPr="009E6200" w:rsidRDefault="006C66C2" w:rsidP="007B46F5">
            <w:pPr>
              <w:pStyle w:val="SDText"/>
              <w:jc w:val="both"/>
              <w:rPr>
                <w:rFonts w:cs="Times New Roman"/>
                <w:b/>
                <w:sz w:val="16"/>
                <w:szCs w:val="16"/>
                <w:lang w:eastAsia="ru-RU"/>
              </w:rPr>
            </w:pPr>
            <w:r w:rsidRPr="009E6200">
              <w:rPr>
                <w:rFonts w:cs="Times New Roman"/>
                <w:b/>
                <w:sz w:val="16"/>
                <w:szCs w:val="16"/>
                <w:lang w:eastAsia="ru-RU"/>
              </w:rPr>
              <w:t>●</w:t>
            </w:r>
          </w:p>
        </w:tc>
        <w:tc>
          <w:tcPr>
            <w:tcW w:w="400" w:type="pct"/>
            <w:shd w:val="clear" w:color="auto" w:fill="92D050"/>
            <w:tcMar>
              <w:left w:w="28" w:type="dxa"/>
              <w:right w:w="28" w:type="dxa"/>
            </w:tcMar>
            <w:vAlign w:val="center"/>
          </w:tcPr>
          <w:p w14:paraId="4791F84F" w14:textId="77777777" w:rsidR="006C66C2" w:rsidRPr="009E6200" w:rsidRDefault="006C66C2" w:rsidP="007B46F5">
            <w:pPr>
              <w:pStyle w:val="SDText"/>
              <w:jc w:val="both"/>
              <w:rPr>
                <w:rFonts w:cs="Times New Roman"/>
                <w:b/>
                <w:sz w:val="16"/>
                <w:szCs w:val="16"/>
                <w:lang w:eastAsia="ru-RU"/>
              </w:rPr>
            </w:pPr>
            <w:r w:rsidRPr="009E6200">
              <w:rPr>
                <w:rFonts w:cs="Times New Roman"/>
                <w:b/>
                <w:sz w:val="16"/>
                <w:szCs w:val="16"/>
                <w:lang w:eastAsia="ru-RU"/>
              </w:rPr>
              <w:t>●</w:t>
            </w:r>
            <w:bookmarkStart w:id="119" w:name="_Ref16013098"/>
            <w:r w:rsidRPr="001D206A">
              <w:rPr>
                <w:rStyle w:val="FootnoteReference"/>
                <w:sz w:val="20"/>
                <w:szCs w:val="16"/>
              </w:rPr>
              <w:footnoteReference w:id="14"/>
            </w:r>
            <w:bookmarkEnd w:id="119"/>
          </w:p>
        </w:tc>
        <w:tc>
          <w:tcPr>
            <w:tcW w:w="133" w:type="pct"/>
            <w:shd w:val="clear" w:color="auto" w:fill="92D050"/>
            <w:tcMar>
              <w:left w:w="28" w:type="dxa"/>
              <w:right w:w="28" w:type="dxa"/>
            </w:tcMar>
            <w:vAlign w:val="center"/>
          </w:tcPr>
          <w:p w14:paraId="45EFBE7F" w14:textId="0879C6CD" w:rsidR="006C66C2" w:rsidRPr="008C68D8" w:rsidRDefault="006C66C2" w:rsidP="007B46F5">
            <w:pPr>
              <w:pStyle w:val="SDText"/>
              <w:jc w:val="both"/>
              <w:rPr>
                <w:rFonts w:cs="Times New Roman"/>
                <w:b/>
                <w:sz w:val="20"/>
                <w:szCs w:val="20"/>
                <w:vertAlign w:val="superscript"/>
                <w:lang w:val="en-US" w:eastAsia="ru-RU"/>
              </w:rPr>
            </w:pPr>
            <w:r w:rsidRPr="009E6200">
              <w:rPr>
                <w:rFonts w:cs="Times New Roman"/>
                <w:b/>
                <w:sz w:val="16"/>
                <w:szCs w:val="16"/>
                <w:lang w:eastAsia="ru-RU"/>
              </w:rPr>
              <w:t>●</w:t>
            </w:r>
            <w:r>
              <w:rPr>
                <w:rFonts w:cs="Times New Roman"/>
                <w:b/>
                <w:sz w:val="20"/>
                <w:szCs w:val="20"/>
                <w:vertAlign w:val="superscript"/>
                <w:lang w:val="en-US" w:eastAsia="ru-RU"/>
              </w:rPr>
              <w:t>11</w:t>
            </w:r>
          </w:p>
        </w:tc>
        <w:tc>
          <w:tcPr>
            <w:tcW w:w="133" w:type="pct"/>
            <w:shd w:val="clear" w:color="auto" w:fill="92D050"/>
            <w:tcMar>
              <w:left w:w="28" w:type="dxa"/>
              <w:right w:w="28" w:type="dxa"/>
            </w:tcMar>
          </w:tcPr>
          <w:p w14:paraId="196BF923" w14:textId="03EF6A8E" w:rsidR="006C66C2" w:rsidRPr="009E6200" w:rsidRDefault="006C66C2" w:rsidP="007B46F5">
            <w:pPr>
              <w:pStyle w:val="SDText"/>
              <w:jc w:val="both"/>
              <w:rPr>
                <w:rFonts w:cs="Times New Roman"/>
                <w:b/>
                <w:sz w:val="16"/>
                <w:szCs w:val="16"/>
                <w:lang w:eastAsia="ru-RU"/>
              </w:rPr>
            </w:pPr>
            <w:r w:rsidRPr="00C370BF">
              <w:rPr>
                <w:rFonts w:cs="Times New Roman"/>
                <w:b/>
                <w:sz w:val="16"/>
                <w:szCs w:val="16"/>
                <w:lang w:eastAsia="ru-RU"/>
              </w:rPr>
              <w:t>●</w:t>
            </w:r>
            <w:r w:rsidRPr="00C370BF">
              <w:rPr>
                <w:rFonts w:cs="Times New Roman"/>
                <w:b/>
                <w:sz w:val="20"/>
                <w:szCs w:val="20"/>
                <w:vertAlign w:val="superscript"/>
                <w:lang w:val="en-US" w:eastAsia="ru-RU"/>
              </w:rPr>
              <w:t>11</w:t>
            </w:r>
          </w:p>
        </w:tc>
        <w:tc>
          <w:tcPr>
            <w:tcW w:w="133" w:type="pct"/>
            <w:shd w:val="clear" w:color="auto" w:fill="92D050"/>
            <w:tcMar>
              <w:left w:w="28" w:type="dxa"/>
              <w:right w:w="28" w:type="dxa"/>
            </w:tcMar>
          </w:tcPr>
          <w:p w14:paraId="5E4175E0" w14:textId="7A4E881D" w:rsidR="006C66C2" w:rsidRPr="009E6200" w:rsidRDefault="006C66C2" w:rsidP="007B46F5">
            <w:pPr>
              <w:pStyle w:val="SDText"/>
              <w:jc w:val="both"/>
              <w:rPr>
                <w:rFonts w:cs="Times New Roman"/>
                <w:b/>
                <w:sz w:val="16"/>
                <w:szCs w:val="16"/>
                <w:lang w:eastAsia="ru-RU"/>
              </w:rPr>
            </w:pPr>
            <w:r w:rsidRPr="00C370BF">
              <w:rPr>
                <w:rFonts w:cs="Times New Roman"/>
                <w:b/>
                <w:sz w:val="16"/>
                <w:szCs w:val="16"/>
                <w:lang w:eastAsia="ru-RU"/>
              </w:rPr>
              <w:t>●</w:t>
            </w:r>
            <w:r w:rsidRPr="00C370BF">
              <w:rPr>
                <w:rFonts w:cs="Times New Roman"/>
                <w:b/>
                <w:sz w:val="20"/>
                <w:szCs w:val="20"/>
                <w:vertAlign w:val="superscript"/>
                <w:lang w:val="en-US" w:eastAsia="ru-RU"/>
              </w:rPr>
              <w:t>11</w:t>
            </w:r>
          </w:p>
        </w:tc>
        <w:tc>
          <w:tcPr>
            <w:tcW w:w="133" w:type="pct"/>
            <w:shd w:val="clear" w:color="auto" w:fill="92D050"/>
            <w:tcMar>
              <w:left w:w="28" w:type="dxa"/>
              <w:right w:w="28" w:type="dxa"/>
            </w:tcMar>
          </w:tcPr>
          <w:p w14:paraId="1053FB21" w14:textId="24037CF1" w:rsidR="006C66C2" w:rsidRPr="009E6200" w:rsidRDefault="006C66C2" w:rsidP="007B46F5">
            <w:pPr>
              <w:pStyle w:val="SDText"/>
              <w:jc w:val="both"/>
              <w:rPr>
                <w:rFonts w:cs="Times New Roman"/>
                <w:b/>
                <w:sz w:val="16"/>
                <w:szCs w:val="16"/>
                <w:lang w:eastAsia="ru-RU"/>
              </w:rPr>
            </w:pPr>
            <w:r w:rsidRPr="00C370BF">
              <w:rPr>
                <w:rFonts w:cs="Times New Roman"/>
                <w:b/>
                <w:sz w:val="16"/>
                <w:szCs w:val="16"/>
                <w:lang w:eastAsia="ru-RU"/>
              </w:rPr>
              <w:t>●</w:t>
            </w:r>
            <w:r w:rsidRPr="00C370BF">
              <w:rPr>
                <w:rFonts w:cs="Times New Roman"/>
                <w:b/>
                <w:sz w:val="20"/>
                <w:szCs w:val="20"/>
                <w:vertAlign w:val="superscript"/>
                <w:lang w:val="en-US" w:eastAsia="ru-RU"/>
              </w:rPr>
              <w:t>11</w:t>
            </w:r>
          </w:p>
        </w:tc>
        <w:tc>
          <w:tcPr>
            <w:tcW w:w="133" w:type="pct"/>
            <w:shd w:val="clear" w:color="auto" w:fill="92D050"/>
            <w:tcMar>
              <w:left w:w="28" w:type="dxa"/>
              <w:right w:w="28" w:type="dxa"/>
            </w:tcMar>
          </w:tcPr>
          <w:p w14:paraId="00D5D1EC" w14:textId="4B013553" w:rsidR="006C66C2" w:rsidRPr="009E6200" w:rsidRDefault="006C66C2" w:rsidP="007B46F5">
            <w:pPr>
              <w:pStyle w:val="SDText"/>
              <w:jc w:val="both"/>
              <w:rPr>
                <w:rFonts w:cs="Times New Roman"/>
                <w:b/>
                <w:sz w:val="16"/>
                <w:szCs w:val="16"/>
                <w:lang w:eastAsia="ru-RU"/>
              </w:rPr>
            </w:pPr>
            <w:r w:rsidRPr="00C370BF">
              <w:rPr>
                <w:rFonts w:cs="Times New Roman"/>
                <w:b/>
                <w:sz w:val="16"/>
                <w:szCs w:val="16"/>
                <w:lang w:eastAsia="ru-RU"/>
              </w:rPr>
              <w:t>●</w:t>
            </w:r>
            <w:r w:rsidRPr="00C370BF">
              <w:rPr>
                <w:rFonts w:cs="Times New Roman"/>
                <w:b/>
                <w:sz w:val="20"/>
                <w:szCs w:val="20"/>
                <w:vertAlign w:val="superscript"/>
                <w:lang w:val="en-US" w:eastAsia="ru-RU"/>
              </w:rPr>
              <w:t>11</w:t>
            </w:r>
          </w:p>
        </w:tc>
        <w:tc>
          <w:tcPr>
            <w:tcW w:w="133" w:type="pct"/>
            <w:shd w:val="clear" w:color="auto" w:fill="92D050"/>
            <w:tcMar>
              <w:left w:w="28" w:type="dxa"/>
              <w:right w:w="28" w:type="dxa"/>
            </w:tcMar>
          </w:tcPr>
          <w:p w14:paraId="25E2EF4D" w14:textId="5149F535" w:rsidR="006C66C2" w:rsidRPr="009E6200" w:rsidRDefault="006C66C2" w:rsidP="007B46F5">
            <w:pPr>
              <w:pStyle w:val="SDText"/>
              <w:jc w:val="both"/>
              <w:rPr>
                <w:rFonts w:cs="Times New Roman"/>
                <w:b/>
                <w:sz w:val="16"/>
                <w:szCs w:val="16"/>
                <w:lang w:eastAsia="ru-RU"/>
              </w:rPr>
            </w:pPr>
            <w:r w:rsidRPr="00C370BF">
              <w:rPr>
                <w:rFonts w:cs="Times New Roman"/>
                <w:b/>
                <w:sz w:val="16"/>
                <w:szCs w:val="16"/>
                <w:lang w:eastAsia="ru-RU"/>
              </w:rPr>
              <w:t>●</w:t>
            </w:r>
            <w:r w:rsidRPr="00C370BF">
              <w:rPr>
                <w:rFonts w:cs="Times New Roman"/>
                <w:b/>
                <w:sz w:val="20"/>
                <w:szCs w:val="20"/>
                <w:vertAlign w:val="superscript"/>
                <w:lang w:val="en-US" w:eastAsia="ru-RU"/>
              </w:rPr>
              <w:t>11</w:t>
            </w:r>
          </w:p>
        </w:tc>
        <w:tc>
          <w:tcPr>
            <w:tcW w:w="133" w:type="pct"/>
            <w:shd w:val="clear" w:color="auto" w:fill="92D050"/>
            <w:tcMar>
              <w:left w:w="28" w:type="dxa"/>
              <w:right w:w="28" w:type="dxa"/>
            </w:tcMar>
          </w:tcPr>
          <w:p w14:paraId="0E032908" w14:textId="4C85D190" w:rsidR="006C66C2" w:rsidRPr="009E6200" w:rsidRDefault="006C66C2" w:rsidP="007B46F5">
            <w:pPr>
              <w:pStyle w:val="SDText"/>
              <w:jc w:val="both"/>
              <w:rPr>
                <w:rFonts w:cs="Times New Roman"/>
                <w:b/>
                <w:sz w:val="16"/>
                <w:szCs w:val="16"/>
                <w:lang w:eastAsia="ru-RU"/>
              </w:rPr>
            </w:pPr>
            <w:r w:rsidRPr="00C370BF">
              <w:rPr>
                <w:rFonts w:cs="Times New Roman"/>
                <w:b/>
                <w:sz w:val="16"/>
                <w:szCs w:val="16"/>
                <w:lang w:eastAsia="ru-RU"/>
              </w:rPr>
              <w:t>●</w:t>
            </w:r>
            <w:r w:rsidRPr="00C370BF">
              <w:rPr>
                <w:rFonts w:cs="Times New Roman"/>
                <w:b/>
                <w:sz w:val="20"/>
                <w:szCs w:val="20"/>
                <w:vertAlign w:val="superscript"/>
                <w:lang w:val="en-US" w:eastAsia="ru-RU"/>
              </w:rPr>
              <w:t>11</w:t>
            </w:r>
          </w:p>
        </w:tc>
        <w:tc>
          <w:tcPr>
            <w:tcW w:w="190" w:type="pct"/>
            <w:shd w:val="clear" w:color="auto" w:fill="92D050"/>
            <w:tcMar>
              <w:left w:w="28" w:type="dxa"/>
              <w:right w:w="28" w:type="dxa"/>
            </w:tcMar>
          </w:tcPr>
          <w:p w14:paraId="2A49BE89" w14:textId="3036BCB8" w:rsidR="006C66C2" w:rsidRPr="009E6200" w:rsidRDefault="006C66C2" w:rsidP="007B46F5">
            <w:pPr>
              <w:pStyle w:val="SDText"/>
              <w:jc w:val="both"/>
              <w:rPr>
                <w:rFonts w:cs="Times New Roman"/>
                <w:b/>
                <w:sz w:val="16"/>
                <w:szCs w:val="16"/>
                <w:lang w:eastAsia="ru-RU"/>
              </w:rPr>
            </w:pPr>
            <w:r w:rsidRPr="00C370BF">
              <w:rPr>
                <w:rFonts w:cs="Times New Roman"/>
                <w:b/>
                <w:sz w:val="16"/>
                <w:szCs w:val="16"/>
                <w:lang w:eastAsia="ru-RU"/>
              </w:rPr>
              <w:t>●</w:t>
            </w:r>
            <w:r w:rsidRPr="00C370BF">
              <w:rPr>
                <w:rFonts w:cs="Times New Roman"/>
                <w:b/>
                <w:sz w:val="20"/>
                <w:szCs w:val="20"/>
                <w:vertAlign w:val="superscript"/>
                <w:lang w:val="en-US" w:eastAsia="ru-RU"/>
              </w:rPr>
              <w:t>11</w:t>
            </w:r>
          </w:p>
        </w:tc>
        <w:tc>
          <w:tcPr>
            <w:tcW w:w="133" w:type="pct"/>
            <w:tcMar>
              <w:left w:w="28" w:type="dxa"/>
              <w:right w:w="28" w:type="dxa"/>
            </w:tcMar>
          </w:tcPr>
          <w:p w14:paraId="6A1F4673" w14:textId="0F9CF111" w:rsidR="006C66C2" w:rsidRPr="009E6200" w:rsidRDefault="006C66C2" w:rsidP="007B46F5">
            <w:pPr>
              <w:pStyle w:val="SDText"/>
              <w:jc w:val="both"/>
              <w:rPr>
                <w:rFonts w:cs="Times New Roman"/>
                <w:b/>
                <w:sz w:val="16"/>
                <w:szCs w:val="16"/>
                <w:lang w:eastAsia="ru-RU"/>
              </w:rPr>
            </w:pPr>
            <w:r w:rsidRPr="00C370BF">
              <w:rPr>
                <w:rFonts w:cs="Times New Roman"/>
                <w:b/>
                <w:sz w:val="16"/>
                <w:szCs w:val="16"/>
                <w:lang w:eastAsia="ru-RU"/>
              </w:rPr>
              <w:t>●</w:t>
            </w:r>
            <w:r w:rsidRPr="00C370BF">
              <w:rPr>
                <w:rFonts w:cs="Times New Roman"/>
                <w:b/>
                <w:sz w:val="20"/>
                <w:szCs w:val="20"/>
                <w:vertAlign w:val="superscript"/>
                <w:lang w:val="en-US" w:eastAsia="ru-RU"/>
              </w:rPr>
              <w:t>11</w:t>
            </w:r>
          </w:p>
        </w:tc>
        <w:tc>
          <w:tcPr>
            <w:tcW w:w="133" w:type="pct"/>
            <w:tcMar>
              <w:left w:w="28" w:type="dxa"/>
              <w:right w:w="28" w:type="dxa"/>
            </w:tcMar>
          </w:tcPr>
          <w:p w14:paraId="4CDEA692" w14:textId="72FBE746" w:rsidR="006C66C2" w:rsidRPr="009E6200" w:rsidRDefault="006C66C2" w:rsidP="007B46F5">
            <w:pPr>
              <w:pStyle w:val="SDText"/>
              <w:jc w:val="both"/>
              <w:rPr>
                <w:rFonts w:cs="Times New Roman"/>
                <w:b/>
                <w:sz w:val="16"/>
                <w:szCs w:val="16"/>
                <w:lang w:eastAsia="ru-RU"/>
              </w:rPr>
            </w:pPr>
            <w:r w:rsidRPr="00C370BF">
              <w:rPr>
                <w:rFonts w:cs="Times New Roman"/>
                <w:b/>
                <w:sz w:val="16"/>
                <w:szCs w:val="16"/>
                <w:lang w:eastAsia="ru-RU"/>
              </w:rPr>
              <w:t>●</w:t>
            </w:r>
            <w:r w:rsidRPr="00C370BF">
              <w:rPr>
                <w:rFonts w:cs="Times New Roman"/>
                <w:b/>
                <w:sz w:val="20"/>
                <w:szCs w:val="20"/>
                <w:vertAlign w:val="superscript"/>
                <w:lang w:val="en-US" w:eastAsia="ru-RU"/>
              </w:rPr>
              <w:t>11</w:t>
            </w:r>
          </w:p>
        </w:tc>
        <w:tc>
          <w:tcPr>
            <w:tcW w:w="190" w:type="pct"/>
            <w:tcMar>
              <w:left w:w="28" w:type="dxa"/>
              <w:right w:w="28" w:type="dxa"/>
            </w:tcMar>
          </w:tcPr>
          <w:p w14:paraId="14A909B5" w14:textId="432CA789" w:rsidR="006C66C2" w:rsidRPr="009E6200" w:rsidRDefault="006C66C2" w:rsidP="007B46F5">
            <w:pPr>
              <w:pStyle w:val="SDText"/>
              <w:jc w:val="both"/>
              <w:rPr>
                <w:rFonts w:cs="Times New Roman"/>
                <w:b/>
                <w:sz w:val="16"/>
                <w:szCs w:val="16"/>
                <w:lang w:eastAsia="ru-RU"/>
              </w:rPr>
            </w:pPr>
            <w:r w:rsidRPr="00C370BF">
              <w:rPr>
                <w:rFonts w:cs="Times New Roman"/>
                <w:b/>
                <w:sz w:val="16"/>
                <w:szCs w:val="16"/>
                <w:lang w:eastAsia="ru-RU"/>
              </w:rPr>
              <w:t>●</w:t>
            </w:r>
            <w:r w:rsidRPr="00C370BF">
              <w:rPr>
                <w:rFonts w:cs="Times New Roman"/>
                <w:b/>
                <w:sz w:val="20"/>
                <w:szCs w:val="20"/>
                <w:vertAlign w:val="superscript"/>
                <w:lang w:val="en-US" w:eastAsia="ru-RU"/>
              </w:rPr>
              <w:t>11</w:t>
            </w:r>
          </w:p>
        </w:tc>
        <w:tc>
          <w:tcPr>
            <w:tcW w:w="133" w:type="pct"/>
            <w:tcMar>
              <w:left w:w="28" w:type="dxa"/>
              <w:right w:w="28" w:type="dxa"/>
            </w:tcMar>
          </w:tcPr>
          <w:p w14:paraId="33E60FFD" w14:textId="4AF6C4D4" w:rsidR="006C66C2" w:rsidRPr="009E6200" w:rsidRDefault="006C66C2" w:rsidP="007B46F5">
            <w:pPr>
              <w:pStyle w:val="SDText"/>
              <w:jc w:val="both"/>
              <w:rPr>
                <w:rFonts w:cs="Times New Roman"/>
                <w:b/>
                <w:sz w:val="16"/>
                <w:szCs w:val="16"/>
                <w:lang w:eastAsia="ru-RU"/>
              </w:rPr>
            </w:pPr>
            <w:r w:rsidRPr="00C370BF">
              <w:rPr>
                <w:rFonts w:cs="Times New Roman"/>
                <w:b/>
                <w:sz w:val="16"/>
                <w:szCs w:val="16"/>
                <w:lang w:eastAsia="ru-RU"/>
              </w:rPr>
              <w:t>●</w:t>
            </w:r>
            <w:r w:rsidRPr="00C370BF">
              <w:rPr>
                <w:rFonts w:cs="Times New Roman"/>
                <w:b/>
                <w:sz w:val="20"/>
                <w:szCs w:val="20"/>
                <w:vertAlign w:val="superscript"/>
                <w:lang w:val="en-US" w:eastAsia="ru-RU"/>
              </w:rPr>
              <w:t>11</w:t>
            </w:r>
          </w:p>
        </w:tc>
        <w:tc>
          <w:tcPr>
            <w:tcW w:w="133" w:type="pct"/>
            <w:tcMar>
              <w:left w:w="28" w:type="dxa"/>
              <w:right w:w="28" w:type="dxa"/>
            </w:tcMar>
          </w:tcPr>
          <w:p w14:paraId="1C002F55" w14:textId="18F6ECAB" w:rsidR="006C66C2" w:rsidRPr="009E6200" w:rsidRDefault="006C66C2" w:rsidP="007B46F5">
            <w:pPr>
              <w:pStyle w:val="SDText"/>
              <w:jc w:val="both"/>
              <w:rPr>
                <w:rFonts w:cs="Times New Roman"/>
                <w:b/>
                <w:sz w:val="16"/>
                <w:szCs w:val="16"/>
                <w:lang w:eastAsia="ru-RU"/>
              </w:rPr>
            </w:pPr>
            <w:r w:rsidRPr="00C370BF">
              <w:rPr>
                <w:rFonts w:cs="Times New Roman"/>
                <w:b/>
                <w:sz w:val="16"/>
                <w:szCs w:val="16"/>
                <w:lang w:eastAsia="ru-RU"/>
              </w:rPr>
              <w:t>●</w:t>
            </w:r>
            <w:r w:rsidRPr="00C370BF">
              <w:rPr>
                <w:rFonts w:cs="Times New Roman"/>
                <w:b/>
                <w:sz w:val="20"/>
                <w:szCs w:val="20"/>
                <w:vertAlign w:val="superscript"/>
                <w:lang w:val="en-US" w:eastAsia="ru-RU"/>
              </w:rPr>
              <w:t>11</w:t>
            </w:r>
          </w:p>
        </w:tc>
        <w:tc>
          <w:tcPr>
            <w:tcW w:w="190" w:type="pct"/>
            <w:tcMar>
              <w:left w:w="28" w:type="dxa"/>
              <w:right w:w="28" w:type="dxa"/>
            </w:tcMar>
          </w:tcPr>
          <w:p w14:paraId="4E24A239" w14:textId="457CDC4E" w:rsidR="006C66C2" w:rsidRPr="009E6200" w:rsidRDefault="006C66C2" w:rsidP="007B46F5">
            <w:pPr>
              <w:pStyle w:val="SDText"/>
              <w:jc w:val="both"/>
              <w:rPr>
                <w:rFonts w:cs="Times New Roman"/>
                <w:b/>
                <w:sz w:val="16"/>
                <w:szCs w:val="16"/>
                <w:lang w:eastAsia="ru-RU"/>
              </w:rPr>
            </w:pPr>
            <w:r w:rsidRPr="00C370BF">
              <w:rPr>
                <w:rFonts w:cs="Times New Roman"/>
                <w:b/>
                <w:sz w:val="16"/>
                <w:szCs w:val="16"/>
                <w:lang w:eastAsia="ru-RU"/>
              </w:rPr>
              <w:t>●</w:t>
            </w:r>
            <w:r w:rsidRPr="00C370BF">
              <w:rPr>
                <w:rFonts w:cs="Times New Roman"/>
                <w:b/>
                <w:sz w:val="20"/>
                <w:szCs w:val="20"/>
                <w:vertAlign w:val="superscript"/>
                <w:lang w:val="en-US" w:eastAsia="ru-RU"/>
              </w:rPr>
              <w:t>11</w:t>
            </w:r>
          </w:p>
        </w:tc>
        <w:tc>
          <w:tcPr>
            <w:tcW w:w="133" w:type="pct"/>
            <w:tcMar>
              <w:left w:w="28" w:type="dxa"/>
              <w:right w:w="28" w:type="dxa"/>
            </w:tcMar>
          </w:tcPr>
          <w:p w14:paraId="6E705672" w14:textId="3669DFB3" w:rsidR="006C66C2" w:rsidRPr="009E6200" w:rsidRDefault="006C66C2" w:rsidP="007B46F5">
            <w:pPr>
              <w:pStyle w:val="SDText"/>
              <w:jc w:val="both"/>
              <w:rPr>
                <w:rFonts w:cs="Times New Roman"/>
                <w:b/>
                <w:sz w:val="16"/>
                <w:szCs w:val="16"/>
                <w:lang w:eastAsia="ru-RU"/>
              </w:rPr>
            </w:pPr>
            <w:r w:rsidRPr="00C370BF">
              <w:rPr>
                <w:rFonts w:cs="Times New Roman"/>
                <w:b/>
                <w:sz w:val="16"/>
                <w:szCs w:val="16"/>
                <w:lang w:eastAsia="ru-RU"/>
              </w:rPr>
              <w:t>●</w:t>
            </w:r>
            <w:r w:rsidRPr="00C370BF">
              <w:rPr>
                <w:rFonts w:cs="Times New Roman"/>
                <w:b/>
                <w:sz w:val="20"/>
                <w:szCs w:val="20"/>
                <w:vertAlign w:val="superscript"/>
                <w:lang w:val="en-US" w:eastAsia="ru-RU"/>
              </w:rPr>
              <w:t>11</w:t>
            </w:r>
          </w:p>
        </w:tc>
        <w:tc>
          <w:tcPr>
            <w:tcW w:w="133" w:type="pct"/>
            <w:tcMar>
              <w:left w:w="28" w:type="dxa"/>
              <w:right w:w="28" w:type="dxa"/>
            </w:tcMar>
          </w:tcPr>
          <w:p w14:paraId="66B14946" w14:textId="6568CCEE" w:rsidR="006C66C2" w:rsidRPr="009E6200" w:rsidRDefault="006C66C2" w:rsidP="007B46F5">
            <w:pPr>
              <w:pStyle w:val="SDText"/>
              <w:jc w:val="both"/>
              <w:rPr>
                <w:rFonts w:cs="Times New Roman"/>
                <w:b/>
                <w:sz w:val="16"/>
                <w:szCs w:val="16"/>
                <w:lang w:eastAsia="ru-RU"/>
              </w:rPr>
            </w:pPr>
            <w:r w:rsidRPr="00C370BF">
              <w:rPr>
                <w:rFonts w:cs="Times New Roman"/>
                <w:b/>
                <w:sz w:val="16"/>
                <w:szCs w:val="16"/>
                <w:lang w:eastAsia="ru-RU"/>
              </w:rPr>
              <w:t>●</w:t>
            </w:r>
            <w:r w:rsidRPr="00C370BF">
              <w:rPr>
                <w:rFonts w:cs="Times New Roman"/>
                <w:b/>
                <w:sz w:val="20"/>
                <w:szCs w:val="20"/>
                <w:vertAlign w:val="superscript"/>
                <w:lang w:val="en-US" w:eastAsia="ru-RU"/>
              </w:rPr>
              <w:t>11</w:t>
            </w:r>
          </w:p>
        </w:tc>
        <w:tc>
          <w:tcPr>
            <w:tcW w:w="190" w:type="pct"/>
            <w:tcMar>
              <w:left w:w="28" w:type="dxa"/>
              <w:right w:w="28" w:type="dxa"/>
            </w:tcMar>
          </w:tcPr>
          <w:p w14:paraId="3A54F7FE" w14:textId="392A86F4" w:rsidR="006C66C2" w:rsidRPr="009E6200" w:rsidRDefault="006C66C2" w:rsidP="007B46F5">
            <w:pPr>
              <w:pStyle w:val="SDText"/>
              <w:jc w:val="both"/>
              <w:rPr>
                <w:rFonts w:cs="Times New Roman"/>
                <w:b/>
                <w:sz w:val="16"/>
                <w:szCs w:val="16"/>
                <w:lang w:eastAsia="ru-RU"/>
              </w:rPr>
            </w:pPr>
            <w:r w:rsidRPr="00C370BF">
              <w:rPr>
                <w:rFonts w:cs="Times New Roman"/>
                <w:b/>
                <w:sz w:val="16"/>
                <w:szCs w:val="16"/>
                <w:lang w:eastAsia="ru-RU"/>
              </w:rPr>
              <w:t>●</w:t>
            </w:r>
            <w:r w:rsidRPr="00C370BF">
              <w:rPr>
                <w:rFonts w:cs="Times New Roman"/>
                <w:b/>
                <w:sz w:val="20"/>
                <w:szCs w:val="20"/>
                <w:vertAlign w:val="superscript"/>
                <w:lang w:val="en-US" w:eastAsia="ru-RU"/>
              </w:rPr>
              <w:t>11</w:t>
            </w:r>
          </w:p>
        </w:tc>
        <w:tc>
          <w:tcPr>
            <w:tcW w:w="191" w:type="pct"/>
            <w:vAlign w:val="center"/>
          </w:tcPr>
          <w:p w14:paraId="68BAA4E3" w14:textId="77777777" w:rsidR="006C66C2" w:rsidRPr="009E6200" w:rsidRDefault="006C66C2" w:rsidP="007B46F5">
            <w:pPr>
              <w:pStyle w:val="SDText"/>
              <w:jc w:val="both"/>
              <w:rPr>
                <w:rFonts w:cs="Times New Roman"/>
                <w:b/>
                <w:sz w:val="16"/>
                <w:szCs w:val="16"/>
                <w:lang w:eastAsia="ru-RU"/>
              </w:rPr>
            </w:pPr>
          </w:p>
        </w:tc>
        <w:tc>
          <w:tcPr>
            <w:tcW w:w="118" w:type="pct"/>
            <w:tcMar>
              <w:left w:w="28" w:type="dxa"/>
              <w:right w:w="28" w:type="dxa"/>
            </w:tcMar>
            <w:vAlign w:val="center"/>
          </w:tcPr>
          <w:p w14:paraId="5B547B98" w14:textId="77777777" w:rsidR="006C66C2" w:rsidRPr="009E6200" w:rsidRDefault="006C66C2" w:rsidP="007B46F5">
            <w:pPr>
              <w:pStyle w:val="SDText"/>
              <w:jc w:val="both"/>
              <w:rPr>
                <w:rFonts w:cs="Times New Roman"/>
                <w:b/>
                <w:sz w:val="16"/>
                <w:szCs w:val="16"/>
                <w:lang w:eastAsia="ru-RU"/>
              </w:rPr>
            </w:pPr>
          </w:p>
        </w:tc>
        <w:tc>
          <w:tcPr>
            <w:tcW w:w="174" w:type="pct"/>
            <w:vAlign w:val="center"/>
          </w:tcPr>
          <w:p w14:paraId="53165BF8" w14:textId="77777777" w:rsidR="006C66C2" w:rsidRPr="009E6200" w:rsidRDefault="006C66C2" w:rsidP="007B46F5">
            <w:pPr>
              <w:pStyle w:val="SDText"/>
              <w:jc w:val="both"/>
              <w:rPr>
                <w:rFonts w:cs="Times New Roman"/>
                <w:b/>
                <w:sz w:val="16"/>
                <w:szCs w:val="16"/>
                <w:lang w:eastAsia="ru-RU"/>
              </w:rPr>
            </w:pPr>
            <w:r w:rsidRPr="009E6200">
              <w:rPr>
                <w:rFonts w:cs="Times New Roman"/>
                <w:b/>
                <w:sz w:val="16"/>
                <w:szCs w:val="16"/>
                <w:lang w:eastAsia="ru-RU"/>
              </w:rPr>
              <w:t>●</w:t>
            </w:r>
          </w:p>
        </w:tc>
      </w:tr>
      <w:tr w:rsidR="006C66C2" w:rsidRPr="009E6200" w14:paraId="7E69E556" w14:textId="77777777" w:rsidTr="0005126A">
        <w:trPr>
          <w:cantSplit/>
          <w:trHeight w:val="170"/>
        </w:trPr>
        <w:tc>
          <w:tcPr>
            <w:tcW w:w="1355" w:type="pct"/>
            <w:shd w:val="clear" w:color="auto" w:fill="92D050"/>
            <w:tcMar>
              <w:left w:w="28" w:type="dxa"/>
              <w:right w:w="28" w:type="dxa"/>
            </w:tcMar>
            <w:vAlign w:val="center"/>
          </w:tcPr>
          <w:p w14:paraId="0F614045" w14:textId="6787C294" w:rsidR="006C66C2" w:rsidRPr="009E6200" w:rsidRDefault="006C66C2" w:rsidP="007B46F5">
            <w:pPr>
              <w:pStyle w:val="SDText"/>
              <w:jc w:val="both"/>
              <w:rPr>
                <w:rFonts w:cs="Times New Roman"/>
                <w:sz w:val="16"/>
                <w:szCs w:val="16"/>
                <w:lang w:eastAsia="ru-RU"/>
              </w:rPr>
            </w:pPr>
            <w:r w:rsidRPr="009E6200">
              <w:rPr>
                <w:rFonts w:cs="Times New Roman"/>
                <w:sz w:val="16"/>
                <w:szCs w:val="16"/>
                <w:lang w:eastAsia="ru-RU"/>
              </w:rPr>
              <w:t>Биохимический анализ крови</w:t>
            </w:r>
            <w:r w:rsidRPr="00A83C5A">
              <w:rPr>
                <w:rFonts w:cs="Times New Roman"/>
                <w:szCs w:val="24"/>
                <w:vertAlign w:val="superscript"/>
                <w:lang w:eastAsia="ru-RU"/>
              </w:rPr>
              <w:t>1</w:t>
            </w:r>
            <w:r>
              <w:rPr>
                <w:rFonts w:cs="Times New Roman"/>
                <w:szCs w:val="24"/>
                <w:vertAlign w:val="superscript"/>
                <w:lang w:val="en-US" w:eastAsia="ru-RU"/>
              </w:rPr>
              <w:t>1</w:t>
            </w:r>
            <w:r w:rsidRPr="00A83C5A">
              <w:rPr>
                <w:rFonts w:cs="Times New Roman"/>
                <w:szCs w:val="24"/>
                <w:vertAlign w:val="superscript"/>
                <w:lang w:eastAsia="ru-RU"/>
              </w:rPr>
              <w:t>,</w:t>
            </w:r>
            <w:r w:rsidRPr="00695820">
              <w:rPr>
                <w:rStyle w:val="FootnoteReference"/>
              </w:rPr>
              <w:footnoteReference w:id="15"/>
            </w:r>
            <w:r w:rsidRPr="001D206A">
              <w:rPr>
                <w:rFonts w:cs="Times New Roman"/>
                <w:sz w:val="16"/>
                <w:szCs w:val="16"/>
                <w:vertAlign w:val="superscript"/>
                <w:lang w:eastAsia="ru-RU"/>
              </w:rPr>
              <w:t>,</w:t>
            </w:r>
            <w:r w:rsidRPr="001D206A">
              <w:rPr>
                <w:rFonts w:cs="Times New Roman"/>
                <w:szCs w:val="24"/>
                <w:vertAlign w:val="superscript"/>
                <w:lang w:eastAsia="ru-RU"/>
              </w:rPr>
              <w:t>14</w:t>
            </w:r>
          </w:p>
        </w:tc>
        <w:tc>
          <w:tcPr>
            <w:tcW w:w="278" w:type="pct"/>
            <w:shd w:val="clear" w:color="auto" w:fill="92D050"/>
            <w:tcMar>
              <w:left w:w="28" w:type="dxa"/>
              <w:right w:w="28" w:type="dxa"/>
            </w:tcMar>
            <w:vAlign w:val="center"/>
          </w:tcPr>
          <w:p w14:paraId="20EB5423" w14:textId="77777777" w:rsidR="006C66C2" w:rsidRPr="009E6200" w:rsidRDefault="006C66C2" w:rsidP="007B46F5">
            <w:pPr>
              <w:pStyle w:val="SDText"/>
              <w:jc w:val="both"/>
              <w:rPr>
                <w:rFonts w:cs="Times New Roman"/>
                <w:b/>
                <w:sz w:val="16"/>
                <w:szCs w:val="16"/>
                <w:lang w:eastAsia="ru-RU"/>
              </w:rPr>
            </w:pPr>
            <w:r w:rsidRPr="009E6200">
              <w:rPr>
                <w:rFonts w:cs="Times New Roman"/>
                <w:b/>
                <w:sz w:val="16"/>
                <w:szCs w:val="16"/>
                <w:lang w:eastAsia="ru-RU"/>
              </w:rPr>
              <w:t>●</w:t>
            </w:r>
          </w:p>
        </w:tc>
        <w:tc>
          <w:tcPr>
            <w:tcW w:w="400" w:type="pct"/>
            <w:shd w:val="clear" w:color="auto" w:fill="92D050"/>
            <w:tcMar>
              <w:left w:w="28" w:type="dxa"/>
              <w:right w:w="28" w:type="dxa"/>
            </w:tcMar>
            <w:vAlign w:val="center"/>
          </w:tcPr>
          <w:p w14:paraId="7F07779C" w14:textId="778C9A7B" w:rsidR="006C66C2" w:rsidRPr="009E6200" w:rsidRDefault="006C66C2" w:rsidP="007B46F5">
            <w:pPr>
              <w:pStyle w:val="SDText"/>
              <w:jc w:val="both"/>
              <w:rPr>
                <w:rFonts w:cs="Times New Roman"/>
                <w:b/>
                <w:sz w:val="16"/>
                <w:szCs w:val="16"/>
                <w:lang w:eastAsia="ru-RU"/>
              </w:rPr>
            </w:pPr>
            <w:r w:rsidRPr="009E6200">
              <w:rPr>
                <w:rFonts w:cs="Times New Roman"/>
                <w:b/>
                <w:sz w:val="16"/>
                <w:szCs w:val="16"/>
                <w:lang w:eastAsia="ru-RU"/>
              </w:rPr>
              <w:t>●</w:t>
            </w:r>
            <w:r w:rsidRPr="008C68D8">
              <w:rPr>
                <w:rFonts w:cs="Times New Roman"/>
                <w:b/>
                <w:sz w:val="20"/>
                <w:szCs w:val="20"/>
                <w:vertAlign w:val="superscript"/>
                <w:lang w:eastAsia="ru-RU"/>
              </w:rPr>
              <w:t>12</w:t>
            </w:r>
          </w:p>
        </w:tc>
        <w:tc>
          <w:tcPr>
            <w:tcW w:w="133" w:type="pct"/>
            <w:shd w:val="clear" w:color="auto" w:fill="92D050"/>
            <w:tcMar>
              <w:left w:w="28" w:type="dxa"/>
              <w:right w:w="28" w:type="dxa"/>
            </w:tcMar>
          </w:tcPr>
          <w:p w14:paraId="5C84A504" w14:textId="6F910767" w:rsidR="006C66C2" w:rsidRPr="009E6200" w:rsidRDefault="006C66C2" w:rsidP="007B46F5">
            <w:pPr>
              <w:pStyle w:val="SDText"/>
              <w:jc w:val="both"/>
              <w:rPr>
                <w:rFonts w:cs="Times New Roman"/>
                <w:b/>
                <w:sz w:val="16"/>
                <w:szCs w:val="16"/>
                <w:lang w:eastAsia="ru-RU"/>
              </w:rPr>
            </w:pPr>
            <w:r w:rsidRPr="008650BD">
              <w:rPr>
                <w:rFonts w:cs="Times New Roman"/>
                <w:b/>
                <w:sz w:val="16"/>
                <w:szCs w:val="16"/>
                <w:lang w:eastAsia="ru-RU"/>
              </w:rPr>
              <w:t>●</w:t>
            </w:r>
            <w:r w:rsidRPr="008650BD">
              <w:rPr>
                <w:rFonts w:cs="Times New Roman"/>
                <w:b/>
                <w:sz w:val="20"/>
                <w:szCs w:val="20"/>
                <w:vertAlign w:val="superscript"/>
                <w:lang w:val="en-US" w:eastAsia="ru-RU"/>
              </w:rPr>
              <w:t>11</w:t>
            </w:r>
          </w:p>
        </w:tc>
        <w:tc>
          <w:tcPr>
            <w:tcW w:w="133" w:type="pct"/>
            <w:shd w:val="clear" w:color="auto" w:fill="92D050"/>
            <w:tcMar>
              <w:left w:w="28" w:type="dxa"/>
              <w:right w:w="28" w:type="dxa"/>
            </w:tcMar>
          </w:tcPr>
          <w:p w14:paraId="67BB6258" w14:textId="64455FC4" w:rsidR="006C66C2" w:rsidRPr="009E6200" w:rsidRDefault="006C66C2" w:rsidP="007B46F5">
            <w:pPr>
              <w:pStyle w:val="SDText"/>
              <w:jc w:val="both"/>
              <w:rPr>
                <w:rFonts w:cs="Times New Roman"/>
                <w:b/>
                <w:sz w:val="16"/>
                <w:szCs w:val="16"/>
                <w:lang w:eastAsia="ru-RU"/>
              </w:rPr>
            </w:pPr>
            <w:r w:rsidRPr="008650BD">
              <w:rPr>
                <w:rFonts w:cs="Times New Roman"/>
                <w:b/>
                <w:sz w:val="16"/>
                <w:szCs w:val="16"/>
                <w:lang w:eastAsia="ru-RU"/>
              </w:rPr>
              <w:t>●</w:t>
            </w:r>
            <w:r w:rsidRPr="008650BD">
              <w:rPr>
                <w:rFonts w:cs="Times New Roman"/>
                <w:b/>
                <w:sz w:val="20"/>
                <w:szCs w:val="20"/>
                <w:vertAlign w:val="superscript"/>
                <w:lang w:val="en-US" w:eastAsia="ru-RU"/>
              </w:rPr>
              <w:t>11</w:t>
            </w:r>
          </w:p>
        </w:tc>
        <w:tc>
          <w:tcPr>
            <w:tcW w:w="133" w:type="pct"/>
            <w:shd w:val="clear" w:color="auto" w:fill="92D050"/>
            <w:tcMar>
              <w:left w:w="28" w:type="dxa"/>
              <w:right w:w="28" w:type="dxa"/>
            </w:tcMar>
          </w:tcPr>
          <w:p w14:paraId="1AB8A648" w14:textId="6476E187" w:rsidR="006C66C2" w:rsidRPr="009E6200" w:rsidRDefault="006C66C2" w:rsidP="007B46F5">
            <w:pPr>
              <w:pStyle w:val="SDText"/>
              <w:jc w:val="both"/>
              <w:rPr>
                <w:rFonts w:cs="Times New Roman"/>
                <w:b/>
                <w:sz w:val="16"/>
                <w:szCs w:val="16"/>
                <w:lang w:eastAsia="ru-RU"/>
              </w:rPr>
            </w:pPr>
            <w:r w:rsidRPr="008650BD">
              <w:rPr>
                <w:rFonts w:cs="Times New Roman"/>
                <w:b/>
                <w:sz w:val="16"/>
                <w:szCs w:val="16"/>
                <w:lang w:eastAsia="ru-RU"/>
              </w:rPr>
              <w:t>●</w:t>
            </w:r>
            <w:r w:rsidRPr="008650BD">
              <w:rPr>
                <w:rFonts w:cs="Times New Roman"/>
                <w:b/>
                <w:sz w:val="20"/>
                <w:szCs w:val="20"/>
                <w:vertAlign w:val="superscript"/>
                <w:lang w:val="en-US" w:eastAsia="ru-RU"/>
              </w:rPr>
              <w:t>11</w:t>
            </w:r>
          </w:p>
        </w:tc>
        <w:tc>
          <w:tcPr>
            <w:tcW w:w="133" w:type="pct"/>
            <w:shd w:val="clear" w:color="auto" w:fill="92D050"/>
            <w:tcMar>
              <w:left w:w="28" w:type="dxa"/>
              <w:right w:w="28" w:type="dxa"/>
            </w:tcMar>
          </w:tcPr>
          <w:p w14:paraId="38CFE99B" w14:textId="4E870435" w:rsidR="006C66C2" w:rsidRPr="009E6200" w:rsidRDefault="006C66C2" w:rsidP="007B46F5">
            <w:pPr>
              <w:pStyle w:val="SDText"/>
              <w:jc w:val="both"/>
              <w:rPr>
                <w:rFonts w:cs="Times New Roman"/>
                <w:b/>
                <w:sz w:val="16"/>
                <w:szCs w:val="16"/>
                <w:lang w:eastAsia="ru-RU"/>
              </w:rPr>
            </w:pPr>
            <w:r w:rsidRPr="008650BD">
              <w:rPr>
                <w:rFonts w:cs="Times New Roman"/>
                <w:b/>
                <w:sz w:val="16"/>
                <w:szCs w:val="16"/>
                <w:lang w:eastAsia="ru-RU"/>
              </w:rPr>
              <w:t>●</w:t>
            </w:r>
            <w:r w:rsidRPr="008650BD">
              <w:rPr>
                <w:rFonts w:cs="Times New Roman"/>
                <w:b/>
                <w:sz w:val="20"/>
                <w:szCs w:val="20"/>
                <w:vertAlign w:val="superscript"/>
                <w:lang w:val="en-US" w:eastAsia="ru-RU"/>
              </w:rPr>
              <w:t>11</w:t>
            </w:r>
          </w:p>
        </w:tc>
        <w:tc>
          <w:tcPr>
            <w:tcW w:w="133" w:type="pct"/>
            <w:shd w:val="clear" w:color="auto" w:fill="92D050"/>
            <w:tcMar>
              <w:left w:w="28" w:type="dxa"/>
              <w:right w:w="28" w:type="dxa"/>
            </w:tcMar>
          </w:tcPr>
          <w:p w14:paraId="1B41A3CC" w14:textId="0BE0D498" w:rsidR="006C66C2" w:rsidRPr="009E6200" w:rsidRDefault="006C66C2" w:rsidP="007B46F5">
            <w:pPr>
              <w:pStyle w:val="SDText"/>
              <w:jc w:val="both"/>
              <w:rPr>
                <w:rFonts w:cs="Times New Roman"/>
                <w:b/>
                <w:sz w:val="16"/>
                <w:szCs w:val="16"/>
                <w:lang w:eastAsia="ru-RU"/>
              </w:rPr>
            </w:pPr>
            <w:r w:rsidRPr="008650BD">
              <w:rPr>
                <w:rFonts w:cs="Times New Roman"/>
                <w:b/>
                <w:sz w:val="16"/>
                <w:szCs w:val="16"/>
                <w:lang w:eastAsia="ru-RU"/>
              </w:rPr>
              <w:t>●</w:t>
            </w:r>
            <w:r w:rsidRPr="008650BD">
              <w:rPr>
                <w:rFonts w:cs="Times New Roman"/>
                <w:b/>
                <w:sz w:val="20"/>
                <w:szCs w:val="20"/>
                <w:vertAlign w:val="superscript"/>
                <w:lang w:val="en-US" w:eastAsia="ru-RU"/>
              </w:rPr>
              <w:t>11</w:t>
            </w:r>
          </w:p>
        </w:tc>
        <w:tc>
          <w:tcPr>
            <w:tcW w:w="133" w:type="pct"/>
            <w:shd w:val="clear" w:color="auto" w:fill="92D050"/>
            <w:tcMar>
              <w:left w:w="28" w:type="dxa"/>
              <w:right w:w="28" w:type="dxa"/>
            </w:tcMar>
          </w:tcPr>
          <w:p w14:paraId="40357D56" w14:textId="58D15590" w:rsidR="006C66C2" w:rsidRPr="009E6200" w:rsidRDefault="006C66C2" w:rsidP="007B46F5">
            <w:pPr>
              <w:pStyle w:val="SDText"/>
              <w:jc w:val="both"/>
              <w:rPr>
                <w:rFonts w:cs="Times New Roman"/>
                <w:b/>
                <w:sz w:val="16"/>
                <w:szCs w:val="16"/>
                <w:lang w:eastAsia="ru-RU"/>
              </w:rPr>
            </w:pPr>
            <w:r w:rsidRPr="008650BD">
              <w:rPr>
                <w:rFonts w:cs="Times New Roman"/>
                <w:b/>
                <w:sz w:val="16"/>
                <w:szCs w:val="16"/>
                <w:lang w:eastAsia="ru-RU"/>
              </w:rPr>
              <w:t>●</w:t>
            </w:r>
            <w:r w:rsidRPr="008650BD">
              <w:rPr>
                <w:rFonts w:cs="Times New Roman"/>
                <w:b/>
                <w:sz w:val="20"/>
                <w:szCs w:val="20"/>
                <w:vertAlign w:val="superscript"/>
                <w:lang w:val="en-US" w:eastAsia="ru-RU"/>
              </w:rPr>
              <w:t>11</w:t>
            </w:r>
          </w:p>
        </w:tc>
        <w:tc>
          <w:tcPr>
            <w:tcW w:w="133" w:type="pct"/>
            <w:shd w:val="clear" w:color="auto" w:fill="92D050"/>
            <w:tcMar>
              <w:left w:w="28" w:type="dxa"/>
              <w:right w:w="28" w:type="dxa"/>
            </w:tcMar>
          </w:tcPr>
          <w:p w14:paraId="5F1616DF" w14:textId="7CC8D7D1" w:rsidR="006C66C2" w:rsidRPr="009E6200" w:rsidRDefault="006C66C2" w:rsidP="007B46F5">
            <w:pPr>
              <w:pStyle w:val="SDText"/>
              <w:jc w:val="both"/>
              <w:rPr>
                <w:rFonts w:cs="Times New Roman"/>
                <w:b/>
                <w:sz w:val="16"/>
                <w:szCs w:val="16"/>
                <w:lang w:eastAsia="ru-RU"/>
              </w:rPr>
            </w:pPr>
            <w:r w:rsidRPr="008650BD">
              <w:rPr>
                <w:rFonts w:cs="Times New Roman"/>
                <w:b/>
                <w:sz w:val="16"/>
                <w:szCs w:val="16"/>
                <w:lang w:eastAsia="ru-RU"/>
              </w:rPr>
              <w:t>●</w:t>
            </w:r>
            <w:r w:rsidRPr="008650BD">
              <w:rPr>
                <w:rFonts w:cs="Times New Roman"/>
                <w:b/>
                <w:sz w:val="20"/>
                <w:szCs w:val="20"/>
                <w:vertAlign w:val="superscript"/>
                <w:lang w:val="en-US" w:eastAsia="ru-RU"/>
              </w:rPr>
              <w:t>11</w:t>
            </w:r>
          </w:p>
        </w:tc>
        <w:tc>
          <w:tcPr>
            <w:tcW w:w="190" w:type="pct"/>
            <w:shd w:val="clear" w:color="auto" w:fill="92D050"/>
            <w:tcMar>
              <w:left w:w="28" w:type="dxa"/>
              <w:right w:w="28" w:type="dxa"/>
            </w:tcMar>
          </w:tcPr>
          <w:p w14:paraId="6D783F8D" w14:textId="059B333C" w:rsidR="006C66C2" w:rsidRPr="009E6200" w:rsidRDefault="006C66C2" w:rsidP="007B46F5">
            <w:pPr>
              <w:pStyle w:val="SDText"/>
              <w:jc w:val="both"/>
              <w:rPr>
                <w:rFonts w:cs="Times New Roman"/>
                <w:b/>
                <w:sz w:val="16"/>
                <w:szCs w:val="16"/>
                <w:lang w:eastAsia="ru-RU"/>
              </w:rPr>
            </w:pPr>
            <w:r w:rsidRPr="008650BD">
              <w:rPr>
                <w:rFonts w:cs="Times New Roman"/>
                <w:b/>
                <w:sz w:val="16"/>
                <w:szCs w:val="16"/>
                <w:lang w:eastAsia="ru-RU"/>
              </w:rPr>
              <w:t>●</w:t>
            </w:r>
            <w:r w:rsidRPr="008650BD">
              <w:rPr>
                <w:rFonts w:cs="Times New Roman"/>
                <w:b/>
                <w:sz w:val="20"/>
                <w:szCs w:val="20"/>
                <w:vertAlign w:val="superscript"/>
                <w:lang w:val="en-US" w:eastAsia="ru-RU"/>
              </w:rPr>
              <w:t>11</w:t>
            </w:r>
          </w:p>
        </w:tc>
        <w:tc>
          <w:tcPr>
            <w:tcW w:w="133" w:type="pct"/>
            <w:tcMar>
              <w:left w:w="28" w:type="dxa"/>
              <w:right w:w="28" w:type="dxa"/>
            </w:tcMar>
          </w:tcPr>
          <w:p w14:paraId="392AFC8F" w14:textId="0697EED1" w:rsidR="006C66C2" w:rsidRPr="009E6200" w:rsidRDefault="006C66C2" w:rsidP="007B46F5">
            <w:pPr>
              <w:pStyle w:val="SDText"/>
              <w:jc w:val="both"/>
              <w:rPr>
                <w:rFonts w:cs="Times New Roman"/>
                <w:b/>
                <w:sz w:val="16"/>
                <w:szCs w:val="16"/>
                <w:lang w:eastAsia="ru-RU"/>
              </w:rPr>
            </w:pPr>
            <w:r w:rsidRPr="008650BD">
              <w:rPr>
                <w:rFonts w:cs="Times New Roman"/>
                <w:b/>
                <w:sz w:val="16"/>
                <w:szCs w:val="16"/>
                <w:lang w:eastAsia="ru-RU"/>
              </w:rPr>
              <w:t>●</w:t>
            </w:r>
            <w:r w:rsidRPr="008650BD">
              <w:rPr>
                <w:rFonts w:cs="Times New Roman"/>
                <w:b/>
                <w:sz w:val="20"/>
                <w:szCs w:val="20"/>
                <w:vertAlign w:val="superscript"/>
                <w:lang w:val="en-US" w:eastAsia="ru-RU"/>
              </w:rPr>
              <w:t>11</w:t>
            </w:r>
          </w:p>
        </w:tc>
        <w:tc>
          <w:tcPr>
            <w:tcW w:w="133" w:type="pct"/>
            <w:tcMar>
              <w:left w:w="28" w:type="dxa"/>
              <w:right w:w="28" w:type="dxa"/>
            </w:tcMar>
          </w:tcPr>
          <w:p w14:paraId="4127C900" w14:textId="0B972D1A" w:rsidR="006C66C2" w:rsidRPr="009E6200" w:rsidRDefault="006C66C2" w:rsidP="007B46F5">
            <w:pPr>
              <w:pStyle w:val="SDText"/>
              <w:jc w:val="both"/>
              <w:rPr>
                <w:rFonts w:cs="Times New Roman"/>
                <w:b/>
                <w:sz w:val="16"/>
                <w:szCs w:val="16"/>
                <w:lang w:eastAsia="ru-RU"/>
              </w:rPr>
            </w:pPr>
            <w:r w:rsidRPr="008650BD">
              <w:rPr>
                <w:rFonts w:cs="Times New Roman"/>
                <w:b/>
                <w:sz w:val="16"/>
                <w:szCs w:val="16"/>
                <w:lang w:eastAsia="ru-RU"/>
              </w:rPr>
              <w:t>●</w:t>
            </w:r>
            <w:r w:rsidRPr="008650BD">
              <w:rPr>
                <w:rFonts w:cs="Times New Roman"/>
                <w:b/>
                <w:sz w:val="20"/>
                <w:szCs w:val="20"/>
                <w:vertAlign w:val="superscript"/>
                <w:lang w:val="en-US" w:eastAsia="ru-RU"/>
              </w:rPr>
              <w:t>11</w:t>
            </w:r>
          </w:p>
        </w:tc>
        <w:tc>
          <w:tcPr>
            <w:tcW w:w="190" w:type="pct"/>
            <w:tcMar>
              <w:left w:w="28" w:type="dxa"/>
              <w:right w:w="28" w:type="dxa"/>
            </w:tcMar>
          </w:tcPr>
          <w:p w14:paraId="2E56D0AE" w14:textId="3AAEDF65" w:rsidR="006C66C2" w:rsidRPr="009E6200" w:rsidRDefault="006C66C2" w:rsidP="007B46F5">
            <w:pPr>
              <w:pStyle w:val="SDText"/>
              <w:jc w:val="both"/>
              <w:rPr>
                <w:rFonts w:cs="Times New Roman"/>
                <w:b/>
                <w:sz w:val="16"/>
                <w:szCs w:val="16"/>
                <w:lang w:eastAsia="ru-RU"/>
              </w:rPr>
            </w:pPr>
            <w:r w:rsidRPr="008650BD">
              <w:rPr>
                <w:rFonts w:cs="Times New Roman"/>
                <w:b/>
                <w:sz w:val="16"/>
                <w:szCs w:val="16"/>
                <w:lang w:eastAsia="ru-RU"/>
              </w:rPr>
              <w:t>●</w:t>
            </w:r>
            <w:r w:rsidRPr="008650BD">
              <w:rPr>
                <w:rFonts w:cs="Times New Roman"/>
                <w:b/>
                <w:sz w:val="20"/>
                <w:szCs w:val="20"/>
                <w:vertAlign w:val="superscript"/>
                <w:lang w:val="en-US" w:eastAsia="ru-RU"/>
              </w:rPr>
              <w:t>11</w:t>
            </w:r>
          </w:p>
        </w:tc>
        <w:tc>
          <w:tcPr>
            <w:tcW w:w="133" w:type="pct"/>
            <w:tcMar>
              <w:left w:w="28" w:type="dxa"/>
              <w:right w:w="28" w:type="dxa"/>
            </w:tcMar>
          </w:tcPr>
          <w:p w14:paraId="53906838" w14:textId="304BA07B" w:rsidR="006C66C2" w:rsidRPr="009E6200" w:rsidRDefault="006C66C2" w:rsidP="007B46F5">
            <w:pPr>
              <w:pStyle w:val="SDText"/>
              <w:jc w:val="both"/>
              <w:rPr>
                <w:rFonts w:cs="Times New Roman"/>
                <w:b/>
                <w:sz w:val="16"/>
                <w:szCs w:val="16"/>
                <w:lang w:eastAsia="ru-RU"/>
              </w:rPr>
            </w:pPr>
            <w:r w:rsidRPr="008650BD">
              <w:rPr>
                <w:rFonts w:cs="Times New Roman"/>
                <w:b/>
                <w:sz w:val="16"/>
                <w:szCs w:val="16"/>
                <w:lang w:eastAsia="ru-RU"/>
              </w:rPr>
              <w:t>●</w:t>
            </w:r>
            <w:r w:rsidRPr="008650BD">
              <w:rPr>
                <w:rFonts w:cs="Times New Roman"/>
                <w:b/>
                <w:sz w:val="20"/>
                <w:szCs w:val="20"/>
                <w:vertAlign w:val="superscript"/>
                <w:lang w:val="en-US" w:eastAsia="ru-RU"/>
              </w:rPr>
              <w:t>11</w:t>
            </w:r>
          </w:p>
        </w:tc>
        <w:tc>
          <w:tcPr>
            <w:tcW w:w="133" w:type="pct"/>
            <w:tcMar>
              <w:left w:w="28" w:type="dxa"/>
              <w:right w:w="28" w:type="dxa"/>
            </w:tcMar>
          </w:tcPr>
          <w:p w14:paraId="65FB1158" w14:textId="3FEA0C50" w:rsidR="006C66C2" w:rsidRPr="009E6200" w:rsidRDefault="006C66C2" w:rsidP="007B46F5">
            <w:pPr>
              <w:pStyle w:val="SDText"/>
              <w:jc w:val="both"/>
              <w:rPr>
                <w:rFonts w:cs="Times New Roman"/>
                <w:b/>
                <w:sz w:val="16"/>
                <w:szCs w:val="16"/>
                <w:lang w:eastAsia="ru-RU"/>
              </w:rPr>
            </w:pPr>
            <w:r w:rsidRPr="008650BD">
              <w:rPr>
                <w:rFonts w:cs="Times New Roman"/>
                <w:b/>
                <w:sz w:val="16"/>
                <w:szCs w:val="16"/>
                <w:lang w:eastAsia="ru-RU"/>
              </w:rPr>
              <w:t>●</w:t>
            </w:r>
            <w:r w:rsidRPr="008650BD">
              <w:rPr>
                <w:rFonts w:cs="Times New Roman"/>
                <w:b/>
                <w:sz w:val="20"/>
                <w:szCs w:val="20"/>
                <w:vertAlign w:val="superscript"/>
                <w:lang w:val="en-US" w:eastAsia="ru-RU"/>
              </w:rPr>
              <w:t>11</w:t>
            </w:r>
          </w:p>
        </w:tc>
        <w:tc>
          <w:tcPr>
            <w:tcW w:w="190" w:type="pct"/>
            <w:tcMar>
              <w:left w:w="28" w:type="dxa"/>
              <w:right w:w="28" w:type="dxa"/>
            </w:tcMar>
          </w:tcPr>
          <w:p w14:paraId="6BD55779" w14:textId="698371D5" w:rsidR="006C66C2" w:rsidRPr="009E6200" w:rsidRDefault="006C66C2" w:rsidP="007B46F5">
            <w:pPr>
              <w:pStyle w:val="SDText"/>
              <w:jc w:val="both"/>
              <w:rPr>
                <w:rFonts w:cs="Times New Roman"/>
                <w:b/>
                <w:sz w:val="16"/>
                <w:szCs w:val="16"/>
                <w:lang w:eastAsia="ru-RU"/>
              </w:rPr>
            </w:pPr>
            <w:r w:rsidRPr="008650BD">
              <w:rPr>
                <w:rFonts w:cs="Times New Roman"/>
                <w:b/>
                <w:sz w:val="16"/>
                <w:szCs w:val="16"/>
                <w:lang w:eastAsia="ru-RU"/>
              </w:rPr>
              <w:t>●</w:t>
            </w:r>
            <w:r w:rsidRPr="008650BD">
              <w:rPr>
                <w:rFonts w:cs="Times New Roman"/>
                <w:b/>
                <w:sz w:val="20"/>
                <w:szCs w:val="20"/>
                <w:vertAlign w:val="superscript"/>
                <w:lang w:val="en-US" w:eastAsia="ru-RU"/>
              </w:rPr>
              <w:t>11</w:t>
            </w:r>
          </w:p>
        </w:tc>
        <w:tc>
          <w:tcPr>
            <w:tcW w:w="133" w:type="pct"/>
            <w:tcMar>
              <w:left w:w="28" w:type="dxa"/>
              <w:right w:w="28" w:type="dxa"/>
            </w:tcMar>
          </w:tcPr>
          <w:p w14:paraId="7289BC7B" w14:textId="77C146DC" w:rsidR="006C66C2" w:rsidRPr="009E6200" w:rsidRDefault="006C66C2" w:rsidP="007B46F5">
            <w:pPr>
              <w:pStyle w:val="SDText"/>
              <w:jc w:val="both"/>
              <w:rPr>
                <w:rFonts w:cs="Times New Roman"/>
                <w:b/>
                <w:sz w:val="16"/>
                <w:szCs w:val="16"/>
                <w:lang w:eastAsia="ru-RU"/>
              </w:rPr>
            </w:pPr>
            <w:r w:rsidRPr="008650BD">
              <w:rPr>
                <w:rFonts w:cs="Times New Roman"/>
                <w:b/>
                <w:sz w:val="16"/>
                <w:szCs w:val="16"/>
                <w:lang w:eastAsia="ru-RU"/>
              </w:rPr>
              <w:t>●</w:t>
            </w:r>
            <w:r w:rsidRPr="008650BD">
              <w:rPr>
                <w:rFonts w:cs="Times New Roman"/>
                <w:b/>
                <w:sz w:val="20"/>
                <w:szCs w:val="20"/>
                <w:vertAlign w:val="superscript"/>
                <w:lang w:val="en-US" w:eastAsia="ru-RU"/>
              </w:rPr>
              <w:t>11</w:t>
            </w:r>
          </w:p>
        </w:tc>
        <w:tc>
          <w:tcPr>
            <w:tcW w:w="133" w:type="pct"/>
            <w:tcMar>
              <w:left w:w="28" w:type="dxa"/>
              <w:right w:w="28" w:type="dxa"/>
            </w:tcMar>
          </w:tcPr>
          <w:p w14:paraId="2910C0E2" w14:textId="6C49E835" w:rsidR="006C66C2" w:rsidRPr="009E6200" w:rsidRDefault="006C66C2" w:rsidP="007B46F5">
            <w:pPr>
              <w:pStyle w:val="SDText"/>
              <w:jc w:val="both"/>
              <w:rPr>
                <w:rFonts w:cs="Times New Roman"/>
                <w:b/>
                <w:sz w:val="16"/>
                <w:szCs w:val="16"/>
                <w:lang w:eastAsia="ru-RU"/>
              </w:rPr>
            </w:pPr>
            <w:r w:rsidRPr="008650BD">
              <w:rPr>
                <w:rFonts w:cs="Times New Roman"/>
                <w:b/>
                <w:sz w:val="16"/>
                <w:szCs w:val="16"/>
                <w:lang w:eastAsia="ru-RU"/>
              </w:rPr>
              <w:t>●</w:t>
            </w:r>
            <w:r w:rsidRPr="008650BD">
              <w:rPr>
                <w:rFonts w:cs="Times New Roman"/>
                <w:b/>
                <w:sz w:val="20"/>
                <w:szCs w:val="20"/>
                <w:vertAlign w:val="superscript"/>
                <w:lang w:val="en-US" w:eastAsia="ru-RU"/>
              </w:rPr>
              <w:t>11</w:t>
            </w:r>
          </w:p>
        </w:tc>
        <w:tc>
          <w:tcPr>
            <w:tcW w:w="190" w:type="pct"/>
            <w:tcMar>
              <w:left w:w="28" w:type="dxa"/>
              <w:right w:w="28" w:type="dxa"/>
            </w:tcMar>
          </w:tcPr>
          <w:p w14:paraId="02C45DDF" w14:textId="6C8ADE8B" w:rsidR="006C66C2" w:rsidRPr="009E6200" w:rsidRDefault="006C66C2" w:rsidP="007B46F5">
            <w:pPr>
              <w:pStyle w:val="SDText"/>
              <w:jc w:val="both"/>
              <w:rPr>
                <w:rFonts w:cs="Times New Roman"/>
                <w:b/>
                <w:sz w:val="16"/>
                <w:szCs w:val="16"/>
                <w:lang w:eastAsia="ru-RU"/>
              </w:rPr>
            </w:pPr>
            <w:r w:rsidRPr="008650BD">
              <w:rPr>
                <w:rFonts w:cs="Times New Roman"/>
                <w:b/>
                <w:sz w:val="16"/>
                <w:szCs w:val="16"/>
                <w:lang w:eastAsia="ru-RU"/>
              </w:rPr>
              <w:t>●</w:t>
            </w:r>
            <w:r w:rsidRPr="008650BD">
              <w:rPr>
                <w:rFonts w:cs="Times New Roman"/>
                <w:b/>
                <w:sz w:val="20"/>
                <w:szCs w:val="20"/>
                <w:vertAlign w:val="superscript"/>
                <w:lang w:val="en-US" w:eastAsia="ru-RU"/>
              </w:rPr>
              <w:t>11</w:t>
            </w:r>
          </w:p>
        </w:tc>
        <w:tc>
          <w:tcPr>
            <w:tcW w:w="191" w:type="pct"/>
            <w:vAlign w:val="center"/>
          </w:tcPr>
          <w:p w14:paraId="4251D73A" w14:textId="77777777" w:rsidR="006C66C2" w:rsidRPr="009E6200" w:rsidRDefault="006C66C2" w:rsidP="007B46F5">
            <w:pPr>
              <w:pStyle w:val="SDText"/>
              <w:jc w:val="both"/>
              <w:rPr>
                <w:rFonts w:cs="Times New Roman"/>
                <w:b/>
                <w:sz w:val="16"/>
                <w:szCs w:val="16"/>
                <w:lang w:eastAsia="ru-RU"/>
              </w:rPr>
            </w:pPr>
          </w:p>
        </w:tc>
        <w:tc>
          <w:tcPr>
            <w:tcW w:w="118" w:type="pct"/>
            <w:tcMar>
              <w:left w:w="28" w:type="dxa"/>
              <w:right w:w="28" w:type="dxa"/>
            </w:tcMar>
            <w:vAlign w:val="center"/>
          </w:tcPr>
          <w:p w14:paraId="58BAB426" w14:textId="77777777" w:rsidR="006C66C2" w:rsidRPr="009E6200" w:rsidRDefault="006C66C2" w:rsidP="007B46F5">
            <w:pPr>
              <w:pStyle w:val="SDText"/>
              <w:jc w:val="both"/>
              <w:rPr>
                <w:rFonts w:cs="Times New Roman"/>
                <w:b/>
                <w:sz w:val="16"/>
                <w:szCs w:val="16"/>
                <w:lang w:eastAsia="ru-RU"/>
              </w:rPr>
            </w:pPr>
          </w:p>
        </w:tc>
        <w:tc>
          <w:tcPr>
            <w:tcW w:w="174" w:type="pct"/>
            <w:vAlign w:val="center"/>
          </w:tcPr>
          <w:p w14:paraId="0D9DEBC0" w14:textId="77777777" w:rsidR="006C66C2" w:rsidRPr="009E6200" w:rsidRDefault="006C66C2" w:rsidP="007B46F5">
            <w:pPr>
              <w:pStyle w:val="SDText"/>
              <w:jc w:val="both"/>
              <w:rPr>
                <w:rFonts w:cs="Times New Roman"/>
                <w:b/>
                <w:sz w:val="16"/>
                <w:szCs w:val="16"/>
                <w:lang w:eastAsia="ru-RU"/>
              </w:rPr>
            </w:pPr>
            <w:r w:rsidRPr="009E6200">
              <w:rPr>
                <w:rFonts w:cs="Times New Roman"/>
                <w:b/>
                <w:sz w:val="16"/>
                <w:szCs w:val="16"/>
                <w:lang w:eastAsia="ru-RU"/>
              </w:rPr>
              <w:t>●</w:t>
            </w:r>
          </w:p>
        </w:tc>
      </w:tr>
      <w:tr w:rsidR="006C66C2" w:rsidRPr="009E6200" w14:paraId="235ACB2C" w14:textId="77777777" w:rsidTr="0005126A">
        <w:trPr>
          <w:cantSplit/>
          <w:trHeight w:val="170"/>
        </w:trPr>
        <w:tc>
          <w:tcPr>
            <w:tcW w:w="1355" w:type="pct"/>
            <w:shd w:val="clear" w:color="auto" w:fill="92D050"/>
            <w:tcMar>
              <w:left w:w="28" w:type="dxa"/>
              <w:right w:w="28" w:type="dxa"/>
            </w:tcMar>
            <w:vAlign w:val="center"/>
          </w:tcPr>
          <w:p w14:paraId="3F90041C" w14:textId="00BC80AE" w:rsidR="006C66C2" w:rsidRPr="009E6200" w:rsidRDefault="006C66C2" w:rsidP="007B46F5">
            <w:pPr>
              <w:pStyle w:val="SDText"/>
              <w:jc w:val="both"/>
              <w:rPr>
                <w:rFonts w:cs="Times New Roman"/>
                <w:sz w:val="16"/>
                <w:szCs w:val="16"/>
                <w:lang w:eastAsia="ru-RU"/>
              </w:rPr>
            </w:pPr>
            <w:r w:rsidRPr="009E6200">
              <w:rPr>
                <w:rFonts w:cs="Times New Roman"/>
                <w:sz w:val="16"/>
                <w:szCs w:val="16"/>
                <w:lang w:eastAsia="ru-RU"/>
              </w:rPr>
              <w:t>Общий анализ мочи</w:t>
            </w:r>
            <w:r>
              <w:rPr>
                <w:rFonts w:cs="Times New Roman"/>
                <w:szCs w:val="24"/>
                <w:vertAlign w:val="superscript"/>
                <w:lang w:val="en-US" w:eastAsia="ru-RU"/>
              </w:rPr>
              <w:t>11,</w:t>
            </w:r>
            <w:r w:rsidRPr="00695820">
              <w:rPr>
                <w:rStyle w:val="FootnoteReference"/>
              </w:rPr>
              <w:footnoteReference w:id="16"/>
            </w:r>
            <w:r w:rsidRPr="005B15A5">
              <w:rPr>
                <w:rFonts w:cs="Times New Roman"/>
                <w:sz w:val="16"/>
                <w:szCs w:val="16"/>
                <w:vertAlign w:val="superscript"/>
                <w:lang w:eastAsia="ru-RU"/>
              </w:rPr>
              <w:t>,</w:t>
            </w:r>
            <w:r>
              <w:rPr>
                <w:rFonts w:cs="Times New Roman"/>
                <w:sz w:val="16"/>
                <w:szCs w:val="16"/>
                <w:lang w:eastAsia="ru-RU"/>
              </w:rPr>
              <w:t xml:space="preserve"> </w:t>
            </w:r>
            <w:r w:rsidRPr="00695820">
              <w:rPr>
                <w:rStyle w:val="FootnoteReference"/>
              </w:rPr>
              <w:footnoteReference w:id="17"/>
            </w:r>
          </w:p>
        </w:tc>
        <w:tc>
          <w:tcPr>
            <w:tcW w:w="278" w:type="pct"/>
            <w:shd w:val="clear" w:color="auto" w:fill="92D050"/>
            <w:tcMar>
              <w:left w:w="28" w:type="dxa"/>
              <w:right w:w="28" w:type="dxa"/>
            </w:tcMar>
            <w:vAlign w:val="center"/>
          </w:tcPr>
          <w:p w14:paraId="12FA875B" w14:textId="77777777" w:rsidR="006C66C2" w:rsidRPr="009E6200" w:rsidRDefault="006C66C2" w:rsidP="007B46F5">
            <w:pPr>
              <w:pStyle w:val="SDText"/>
              <w:jc w:val="both"/>
              <w:rPr>
                <w:rFonts w:cs="Times New Roman"/>
                <w:b/>
                <w:sz w:val="16"/>
                <w:szCs w:val="16"/>
                <w:lang w:eastAsia="ru-RU"/>
              </w:rPr>
            </w:pPr>
            <w:r w:rsidRPr="009E6200">
              <w:rPr>
                <w:rFonts w:cs="Times New Roman"/>
                <w:b/>
                <w:sz w:val="16"/>
                <w:szCs w:val="16"/>
                <w:lang w:eastAsia="ru-RU"/>
              </w:rPr>
              <w:t>●</w:t>
            </w:r>
          </w:p>
        </w:tc>
        <w:tc>
          <w:tcPr>
            <w:tcW w:w="400" w:type="pct"/>
            <w:shd w:val="clear" w:color="auto" w:fill="92D050"/>
            <w:tcMar>
              <w:left w:w="28" w:type="dxa"/>
              <w:right w:w="28" w:type="dxa"/>
            </w:tcMar>
            <w:vAlign w:val="center"/>
          </w:tcPr>
          <w:p w14:paraId="30277817" w14:textId="2D45B2B2" w:rsidR="006C66C2" w:rsidRPr="009E6200" w:rsidRDefault="006C66C2" w:rsidP="007B46F5">
            <w:pPr>
              <w:pStyle w:val="SDText"/>
              <w:jc w:val="both"/>
              <w:rPr>
                <w:rFonts w:cs="Times New Roman"/>
                <w:b/>
                <w:sz w:val="16"/>
                <w:szCs w:val="16"/>
                <w:lang w:eastAsia="ru-RU"/>
              </w:rPr>
            </w:pPr>
            <w:r w:rsidRPr="009E6200">
              <w:rPr>
                <w:rFonts w:cs="Times New Roman"/>
                <w:b/>
                <w:sz w:val="16"/>
                <w:szCs w:val="16"/>
                <w:lang w:eastAsia="ru-RU"/>
              </w:rPr>
              <w:t>●</w:t>
            </w:r>
            <w:r w:rsidRPr="008C68D8">
              <w:rPr>
                <w:rFonts w:cs="Times New Roman"/>
                <w:b/>
                <w:sz w:val="20"/>
                <w:szCs w:val="20"/>
                <w:vertAlign w:val="superscript"/>
                <w:lang w:eastAsia="ru-RU"/>
              </w:rPr>
              <w:t>12</w:t>
            </w:r>
          </w:p>
        </w:tc>
        <w:tc>
          <w:tcPr>
            <w:tcW w:w="133" w:type="pct"/>
            <w:shd w:val="clear" w:color="auto" w:fill="92D050"/>
            <w:tcMar>
              <w:left w:w="28" w:type="dxa"/>
              <w:right w:w="28" w:type="dxa"/>
            </w:tcMar>
          </w:tcPr>
          <w:p w14:paraId="7536CF83" w14:textId="75DA7061" w:rsidR="006C66C2" w:rsidRPr="009E6200" w:rsidRDefault="006C66C2" w:rsidP="007B46F5">
            <w:pPr>
              <w:pStyle w:val="SDText"/>
              <w:jc w:val="both"/>
              <w:rPr>
                <w:rFonts w:cs="Times New Roman"/>
                <w:b/>
                <w:sz w:val="16"/>
                <w:szCs w:val="16"/>
                <w:lang w:eastAsia="ru-RU"/>
              </w:rPr>
            </w:pPr>
            <w:r w:rsidRPr="008C5C88">
              <w:rPr>
                <w:rFonts w:cs="Times New Roman"/>
                <w:b/>
                <w:sz w:val="16"/>
                <w:szCs w:val="16"/>
                <w:lang w:eastAsia="ru-RU"/>
              </w:rPr>
              <w:t>●</w:t>
            </w:r>
            <w:r w:rsidRPr="008C5C88">
              <w:rPr>
                <w:rFonts w:cs="Times New Roman"/>
                <w:b/>
                <w:sz w:val="20"/>
                <w:szCs w:val="20"/>
                <w:vertAlign w:val="superscript"/>
                <w:lang w:val="en-US" w:eastAsia="ru-RU"/>
              </w:rPr>
              <w:t>11</w:t>
            </w:r>
          </w:p>
        </w:tc>
        <w:tc>
          <w:tcPr>
            <w:tcW w:w="133" w:type="pct"/>
            <w:shd w:val="clear" w:color="auto" w:fill="92D050"/>
            <w:tcMar>
              <w:left w:w="28" w:type="dxa"/>
              <w:right w:w="28" w:type="dxa"/>
            </w:tcMar>
          </w:tcPr>
          <w:p w14:paraId="52C3C787" w14:textId="177D8FC0" w:rsidR="006C66C2" w:rsidRPr="009E6200" w:rsidRDefault="006C66C2" w:rsidP="007B46F5">
            <w:pPr>
              <w:pStyle w:val="SDText"/>
              <w:jc w:val="both"/>
              <w:rPr>
                <w:rFonts w:cs="Times New Roman"/>
                <w:b/>
                <w:sz w:val="16"/>
                <w:szCs w:val="16"/>
                <w:lang w:eastAsia="ru-RU"/>
              </w:rPr>
            </w:pPr>
            <w:r w:rsidRPr="008C5C88">
              <w:rPr>
                <w:rFonts w:cs="Times New Roman"/>
                <w:b/>
                <w:sz w:val="16"/>
                <w:szCs w:val="16"/>
                <w:lang w:eastAsia="ru-RU"/>
              </w:rPr>
              <w:t>●</w:t>
            </w:r>
            <w:r w:rsidRPr="008C5C88">
              <w:rPr>
                <w:rFonts w:cs="Times New Roman"/>
                <w:b/>
                <w:sz w:val="20"/>
                <w:szCs w:val="20"/>
                <w:vertAlign w:val="superscript"/>
                <w:lang w:val="en-US" w:eastAsia="ru-RU"/>
              </w:rPr>
              <w:t>11</w:t>
            </w:r>
          </w:p>
        </w:tc>
        <w:tc>
          <w:tcPr>
            <w:tcW w:w="133" w:type="pct"/>
            <w:shd w:val="clear" w:color="auto" w:fill="92D050"/>
            <w:tcMar>
              <w:left w:w="28" w:type="dxa"/>
              <w:right w:w="28" w:type="dxa"/>
            </w:tcMar>
          </w:tcPr>
          <w:p w14:paraId="3BCA7876" w14:textId="2A927773" w:rsidR="006C66C2" w:rsidRPr="009E6200" w:rsidRDefault="006C66C2" w:rsidP="007B46F5">
            <w:pPr>
              <w:pStyle w:val="SDText"/>
              <w:jc w:val="both"/>
              <w:rPr>
                <w:rFonts w:cs="Times New Roman"/>
                <w:b/>
                <w:sz w:val="16"/>
                <w:szCs w:val="16"/>
                <w:lang w:eastAsia="ru-RU"/>
              </w:rPr>
            </w:pPr>
            <w:r w:rsidRPr="008C5C88">
              <w:rPr>
                <w:rFonts w:cs="Times New Roman"/>
                <w:b/>
                <w:sz w:val="16"/>
                <w:szCs w:val="16"/>
                <w:lang w:eastAsia="ru-RU"/>
              </w:rPr>
              <w:t>●</w:t>
            </w:r>
            <w:r w:rsidRPr="008C5C88">
              <w:rPr>
                <w:rFonts w:cs="Times New Roman"/>
                <w:b/>
                <w:sz w:val="20"/>
                <w:szCs w:val="20"/>
                <w:vertAlign w:val="superscript"/>
                <w:lang w:val="en-US" w:eastAsia="ru-RU"/>
              </w:rPr>
              <w:t>11</w:t>
            </w:r>
          </w:p>
        </w:tc>
        <w:tc>
          <w:tcPr>
            <w:tcW w:w="133" w:type="pct"/>
            <w:shd w:val="clear" w:color="auto" w:fill="92D050"/>
            <w:tcMar>
              <w:left w:w="28" w:type="dxa"/>
              <w:right w:w="28" w:type="dxa"/>
            </w:tcMar>
          </w:tcPr>
          <w:p w14:paraId="617C085A" w14:textId="1CAEA93E" w:rsidR="006C66C2" w:rsidRPr="009E6200" w:rsidRDefault="006C66C2" w:rsidP="007B46F5">
            <w:pPr>
              <w:pStyle w:val="SDText"/>
              <w:jc w:val="both"/>
              <w:rPr>
                <w:rFonts w:cs="Times New Roman"/>
                <w:b/>
                <w:sz w:val="16"/>
                <w:szCs w:val="16"/>
                <w:lang w:eastAsia="ru-RU"/>
              </w:rPr>
            </w:pPr>
            <w:r w:rsidRPr="008C5C88">
              <w:rPr>
                <w:rFonts w:cs="Times New Roman"/>
                <w:b/>
                <w:sz w:val="16"/>
                <w:szCs w:val="16"/>
                <w:lang w:eastAsia="ru-RU"/>
              </w:rPr>
              <w:t>●</w:t>
            </w:r>
            <w:r w:rsidRPr="008C5C88">
              <w:rPr>
                <w:rFonts w:cs="Times New Roman"/>
                <w:b/>
                <w:sz w:val="20"/>
                <w:szCs w:val="20"/>
                <w:vertAlign w:val="superscript"/>
                <w:lang w:val="en-US" w:eastAsia="ru-RU"/>
              </w:rPr>
              <w:t>11</w:t>
            </w:r>
          </w:p>
        </w:tc>
        <w:tc>
          <w:tcPr>
            <w:tcW w:w="133" w:type="pct"/>
            <w:shd w:val="clear" w:color="auto" w:fill="92D050"/>
            <w:tcMar>
              <w:left w:w="28" w:type="dxa"/>
              <w:right w:w="28" w:type="dxa"/>
            </w:tcMar>
          </w:tcPr>
          <w:p w14:paraId="6E595B74" w14:textId="39D51C3C" w:rsidR="006C66C2" w:rsidRPr="009E6200" w:rsidRDefault="006C66C2" w:rsidP="007B46F5">
            <w:pPr>
              <w:pStyle w:val="SDText"/>
              <w:jc w:val="both"/>
              <w:rPr>
                <w:rFonts w:cs="Times New Roman"/>
                <w:b/>
                <w:sz w:val="16"/>
                <w:szCs w:val="16"/>
                <w:lang w:eastAsia="ru-RU"/>
              </w:rPr>
            </w:pPr>
            <w:r w:rsidRPr="008C5C88">
              <w:rPr>
                <w:rFonts w:cs="Times New Roman"/>
                <w:b/>
                <w:sz w:val="16"/>
                <w:szCs w:val="16"/>
                <w:lang w:eastAsia="ru-RU"/>
              </w:rPr>
              <w:t>●</w:t>
            </w:r>
            <w:r w:rsidRPr="008C5C88">
              <w:rPr>
                <w:rFonts w:cs="Times New Roman"/>
                <w:b/>
                <w:sz w:val="20"/>
                <w:szCs w:val="20"/>
                <w:vertAlign w:val="superscript"/>
                <w:lang w:val="en-US" w:eastAsia="ru-RU"/>
              </w:rPr>
              <w:t>11</w:t>
            </w:r>
          </w:p>
        </w:tc>
        <w:tc>
          <w:tcPr>
            <w:tcW w:w="133" w:type="pct"/>
            <w:shd w:val="clear" w:color="auto" w:fill="92D050"/>
            <w:tcMar>
              <w:left w:w="28" w:type="dxa"/>
              <w:right w:w="28" w:type="dxa"/>
            </w:tcMar>
          </w:tcPr>
          <w:p w14:paraId="75166D85" w14:textId="4114E5C7" w:rsidR="006C66C2" w:rsidRPr="009E6200" w:rsidRDefault="006C66C2" w:rsidP="007B46F5">
            <w:pPr>
              <w:pStyle w:val="SDText"/>
              <w:jc w:val="both"/>
              <w:rPr>
                <w:rFonts w:cs="Times New Roman"/>
                <w:b/>
                <w:sz w:val="16"/>
                <w:szCs w:val="16"/>
                <w:lang w:eastAsia="ru-RU"/>
              </w:rPr>
            </w:pPr>
            <w:r w:rsidRPr="008C5C88">
              <w:rPr>
                <w:rFonts w:cs="Times New Roman"/>
                <w:b/>
                <w:sz w:val="16"/>
                <w:szCs w:val="16"/>
                <w:lang w:eastAsia="ru-RU"/>
              </w:rPr>
              <w:t>●</w:t>
            </w:r>
            <w:r w:rsidRPr="008C5C88">
              <w:rPr>
                <w:rFonts w:cs="Times New Roman"/>
                <w:b/>
                <w:sz w:val="20"/>
                <w:szCs w:val="20"/>
                <w:vertAlign w:val="superscript"/>
                <w:lang w:val="en-US" w:eastAsia="ru-RU"/>
              </w:rPr>
              <w:t>11</w:t>
            </w:r>
          </w:p>
        </w:tc>
        <w:tc>
          <w:tcPr>
            <w:tcW w:w="133" w:type="pct"/>
            <w:shd w:val="clear" w:color="auto" w:fill="92D050"/>
            <w:tcMar>
              <w:left w:w="28" w:type="dxa"/>
              <w:right w:w="28" w:type="dxa"/>
            </w:tcMar>
          </w:tcPr>
          <w:p w14:paraId="7874753C" w14:textId="19322459" w:rsidR="006C66C2" w:rsidRPr="009E6200" w:rsidRDefault="006C66C2" w:rsidP="007B46F5">
            <w:pPr>
              <w:pStyle w:val="SDText"/>
              <w:jc w:val="both"/>
              <w:rPr>
                <w:rFonts w:cs="Times New Roman"/>
                <w:b/>
                <w:sz w:val="16"/>
                <w:szCs w:val="16"/>
                <w:lang w:eastAsia="ru-RU"/>
              </w:rPr>
            </w:pPr>
            <w:r w:rsidRPr="008C5C88">
              <w:rPr>
                <w:rFonts w:cs="Times New Roman"/>
                <w:b/>
                <w:sz w:val="16"/>
                <w:szCs w:val="16"/>
                <w:lang w:eastAsia="ru-RU"/>
              </w:rPr>
              <w:t>●</w:t>
            </w:r>
            <w:r w:rsidRPr="008C5C88">
              <w:rPr>
                <w:rFonts w:cs="Times New Roman"/>
                <w:b/>
                <w:sz w:val="20"/>
                <w:szCs w:val="20"/>
                <w:vertAlign w:val="superscript"/>
                <w:lang w:val="en-US" w:eastAsia="ru-RU"/>
              </w:rPr>
              <w:t>11</w:t>
            </w:r>
          </w:p>
        </w:tc>
        <w:tc>
          <w:tcPr>
            <w:tcW w:w="190" w:type="pct"/>
            <w:shd w:val="clear" w:color="auto" w:fill="92D050"/>
            <w:tcMar>
              <w:left w:w="28" w:type="dxa"/>
              <w:right w:w="28" w:type="dxa"/>
            </w:tcMar>
          </w:tcPr>
          <w:p w14:paraId="26C26A9F" w14:textId="0103865C" w:rsidR="006C66C2" w:rsidRPr="009E6200" w:rsidRDefault="006C66C2" w:rsidP="007B46F5">
            <w:pPr>
              <w:pStyle w:val="SDText"/>
              <w:jc w:val="both"/>
              <w:rPr>
                <w:rFonts w:cs="Times New Roman"/>
                <w:b/>
                <w:sz w:val="16"/>
                <w:szCs w:val="16"/>
                <w:lang w:eastAsia="ru-RU"/>
              </w:rPr>
            </w:pPr>
            <w:r w:rsidRPr="008C5C88">
              <w:rPr>
                <w:rFonts w:cs="Times New Roman"/>
                <w:b/>
                <w:sz w:val="16"/>
                <w:szCs w:val="16"/>
                <w:lang w:eastAsia="ru-RU"/>
              </w:rPr>
              <w:t>●</w:t>
            </w:r>
            <w:r w:rsidRPr="008C5C88">
              <w:rPr>
                <w:rFonts w:cs="Times New Roman"/>
                <w:b/>
                <w:sz w:val="20"/>
                <w:szCs w:val="20"/>
                <w:vertAlign w:val="superscript"/>
                <w:lang w:val="en-US" w:eastAsia="ru-RU"/>
              </w:rPr>
              <w:t>11</w:t>
            </w:r>
          </w:p>
        </w:tc>
        <w:tc>
          <w:tcPr>
            <w:tcW w:w="133" w:type="pct"/>
            <w:tcMar>
              <w:left w:w="28" w:type="dxa"/>
              <w:right w:w="28" w:type="dxa"/>
            </w:tcMar>
          </w:tcPr>
          <w:p w14:paraId="0B8117ED" w14:textId="415CC39D" w:rsidR="006C66C2" w:rsidRPr="009E6200" w:rsidRDefault="006C66C2" w:rsidP="007B46F5">
            <w:pPr>
              <w:pStyle w:val="SDText"/>
              <w:jc w:val="both"/>
              <w:rPr>
                <w:rFonts w:cs="Times New Roman"/>
                <w:b/>
                <w:sz w:val="16"/>
                <w:szCs w:val="16"/>
                <w:lang w:eastAsia="ru-RU"/>
              </w:rPr>
            </w:pPr>
            <w:r w:rsidRPr="008C5C88">
              <w:rPr>
                <w:rFonts w:cs="Times New Roman"/>
                <w:b/>
                <w:sz w:val="16"/>
                <w:szCs w:val="16"/>
                <w:lang w:eastAsia="ru-RU"/>
              </w:rPr>
              <w:t>●</w:t>
            </w:r>
            <w:r w:rsidRPr="008C5C88">
              <w:rPr>
                <w:rFonts w:cs="Times New Roman"/>
                <w:b/>
                <w:sz w:val="20"/>
                <w:szCs w:val="20"/>
                <w:vertAlign w:val="superscript"/>
                <w:lang w:val="en-US" w:eastAsia="ru-RU"/>
              </w:rPr>
              <w:t>11</w:t>
            </w:r>
          </w:p>
        </w:tc>
        <w:tc>
          <w:tcPr>
            <w:tcW w:w="133" w:type="pct"/>
            <w:tcMar>
              <w:left w:w="28" w:type="dxa"/>
              <w:right w:w="28" w:type="dxa"/>
            </w:tcMar>
          </w:tcPr>
          <w:p w14:paraId="727FA17B" w14:textId="75761AA7" w:rsidR="006C66C2" w:rsidRPr="009E6200" w:rsidRDefault="006C66C2" w:rsidP="007B46F5">
            <w:pPr>
              <w:pStyle w:val="SDText"/>
              <w:jc w:val="both"/>
              <w:rPr>
                <w:rFonts w:cs="Times New Roman"/>
                <w:b/>
                <w:sz w:val="16"/>
                <w:szCs w:val="16"/>
                <w:lang w:eastAsia="ru-RU"/>
              </w:rPr>
            </w:pPr>
            <w:r w:rsidRPr="008C5C88">
              <w:rPr>
                <w:rFonts w:cs="Times New Roman"/>
                <w:b/>
                <w:sz w:val="16"/>
                <w:szCs w:val="16"/>
                <w:lang w:eastAsia="ru-RU"/>
              </w:rPr>
              <w:t>●</w:t>
            </w:r>
            <w:r w:rsidRPr="008C5C88">
              <w:rPr>
                <w:rFonts w:cs="Times New Roman"/>
                <w:b/>
                <w:sz w:val="20"/>
                <w:szCs w:val="20"/>
                <w:vertAlign w:val="superscript"/>
                <w:lang w:val="en-US" w:eastAsia="ru-RU"/>
              </w:rPr>
              <w:t>11</w:t>
            </w:r>
          </w:p>
        </w:tc>
        <w:tc>
          <w:tcPr>
            <w:tcW w:w="190" w:type="pct"/>
            <w:tcMar>
              <w:left w:w="28" w:type="dxa"/>
              <w:right w:w="28" w:type="dxa"/>
            </w:tcMar>
          </w:tcPr>
          <w:p w14:paraId="2562E957" w14:textId="6B349A6B" w:rsidR="006C66C2" w:rsidRPr="009E6200" w:rsidRDefault="006C66C2" w:rsidP="007B46F5">
            <w:pPr>
              <w:pStyle w:val="SDText"/>
              <w:jc w:val="both"/>
              <w:rPr>
                <w:rFonts w:cs="Times New Roman"/>
                <w:b/>
                <w:sz w:val="16"/>
                <w:szCs w:val="16"/>
                <w:lang w:eastAsia="ru-RU"/>
              </w:rPr>
            </w:pPr>
            <w:r w:rsidRPr="008C5C88">
              <w:rPr>
                <w:rFonts w:cs="Times New Roman"/>
                <w:b/>
                <w:sz w:val="16"/>
                <w:szCs w:val="16"/>
                <w:lang w:eastAsia="ru-RU"/>
              </w:rPr>
              <w:t>●</w:t>
            </w:r>
            <w:r w:rsidRPr="008C5C88">
              <w:rPr>
                <w:rFonts w:cs="Times New Roman"/>
                <w:b/>
                <w:sz w:val="20"/>
                <w:szCs w:val="20"/>
                <w:vertAlign w:val="superscript"/>
                <w:lang w:val="en-US" w:eastAsia="ru-RU"/>
              </w:rPr>
              <w:t>11</w:t>
            </w:r>
          </w:p>
        </w:tc>
        <w:tc>
          <w:tcPr>
            <w:tcW w:w="133" w:type="pct"/>
            <w:tcMar>
              <w:left w:w="28" w:type="dxa"/>
              <w:right w:w="28" w:type="dxa"/>
            </w:tcMar>
          </w:tcPr>
          <w:p w14:paraId="5E9E799B" w14:textId="55EBC74C" w:rsidR="006C66C2" w:rsidRPr="009E6200" w:rsidRDefault="006C66C2" w:rsidP="007B46F5">
            <w:pPr>
              <w:pStyle w:val="SDText"/>
              <w:jc w:val="both"/>
              <w:rPr>
                <w:rFonts w:cs="Times New Roman"/>
                <w:b/>
                <w:sz w:val="16"/>
                <w:szCs w:val="16"/>
                <w:lang w:eastAsia="ru-RU"/>
              </w:rPr>
            </w:pPr>
            <w:r w:rsidRPr="008C5C88">
              <w:rPr>
                <w:rFonts w:cs="Times New Roman"/>
                <w:b/>
                <w:sz w:val="16"/>
                <w:szCs w:val="16"/>
                <w:lang w:eastAsia="ru-RU"/>
              </w:rPr>
              <w:t>●</w:t>
            </w:r>
            <w:r w:rsidRPr="008C5C88">
              <w:rPr>
                <w:rFonts w:cs="Times New Roman"/>
                <w:b/>
                <w:sz w:val="20"/>
                <w:szCs w:val="20"/>
                <w:vertAlign w:val="superscript"/>
                <w:lang w:val="en-US" w:eastAsia="ru-RU"/>
              </w:rPr>
              <w:t>11</w:t>
            </w:r>
          </w:p>
        </w:tc>
        <w:tc>
          <w:tcPr>
            <w:tcW w:w="133" w:type="pct"/>
            <w:tcMar>
              <w:left w:w="28" w:type="dxa"/>
              <w:right w:w="28" w:type="dxa"/>
            </w:tcMar>
          </w:tcPr>
          <w:p w14:paraId="00AC28B2" w14:textId="54DD75B8" w:rsidR="006C66C2" w:rsidRPr="009E6200" w:rsidRDefault="006C66C2" w:rsidP="007B46F5">
            <w:pPr>
              <w:pStyle w:val="SDText"/>
              <w:jc w:val="both"/>
              <w:rPr>
                <w:rFonts w:cs="Times New Roman"/>
                <w:b/>
                <w:sz w:val="16"/>
                <w:szCs w:val="16"/>
                <w:lang w:eastAsia="ru-RU"/>
              </w:rPr>
            </w:pPr>
            <w:r w:rsidRPr="008C5C88">
              <w:rPr>
                <w:rFonts w:cs="Times New Roman"/>
                <w:b/>
                <w:sz w:val="16"/>
                <w:szCs w:val="16"/>
                <w:lang w:eastAsia="ru-RU"/>
              </w:rPr>
              <w:t>●</w:t>
            </w:r>
            <w:r w:rsidRPr="008C5C88">
              <w:rPr>
                <w:rFonts w:cs="Times New Roman"/>
                <w:b/>
                <w:sz w:val="20"/>
                <w:szCs w:val="20"/>
                <w:vertAlign w:val="superscript"/>
                <w:lang w:val="en-US" w:eastAsia="ru-RU"/>
              </w:rPr>
              <w:t>11</w:t>
            </w:r>
          </w:p>
        </w:tc>
        <w:tc>
          <w:tcPr>
            <w:tcW w:w="190" w:type="pct"/>
            <w:tcMar>
              <w:left w:w="28" w:type="dxa"/>
              <w:right w:w="28" w:type="dxa"/>
            </w:tcMar>
          </w:tcPr>
          <w:p w14:paraId="67A1F207" w14:textId="41E7106A" w:rsidR="006C66C2" w:rsidRPr="009E6200" w:rsidRDefault="006C66C2" w:rsidP="007B46F5">
            <w:pPr>
              <w:pStyle w:val="SDText"/>
              <w:jc w:val="both"/>
              <w:rPr>
                <w:rFonts w:cs="Times New Roman"/>
                <w:b/>
                <w:sz w:val="16"/>
                <w:szCs w:val="16"/>
                <w:lang w:eastAsia="ru-RU"/>
              </w:rPr>
            </w:pPr>
            <w:r w:rsidRPr="008C5C88">
              <w:rPr>
                <w:rFonts w:cs="Times New Roman"/>
                <w:b/>
                <w:sz w:val="16"/>
                <w:szCs w:val="16"/>
                <w:lang w:eastAsia="ru-RU"/>
              </w:rPr>
              <w:t>●</w:t>
            </w:r>
            <w:r w:rsidRPr="008C5C88">
              <w:rPr>
                <w:rFonts w:cs="Times New Roman"/>
                <w:b/>
                <w:sz w:val="20"/>
                <w:szCs w:val="20"/>
                <w:vertAlign w:val="superscript"/>
                <w:lang w:val="en-US" w:eastAsia="ru-RU"/>
              </w:rPr>
              <w:t>11</w:t>
            </w:r>
          </w:p>
        </w:tc>
        <w:tc>
          <w:tcPr>
            <w:tcW w:w="133" w:type="pct"/>
            <w:tcMar>
              <w:left w:w="28" w:type="dxa"/>
              <w:right w:w="28" w:type="dxa"/>
            </w:tcMar>
          </w:tcPr>
          <w:p w14:paraId="4ACEEDAE" w14:textId="779AA786" w:rsidR="006C66C2" w:rsidRPr="009E6200" w:rsidRDefault="006C66C2" w:rsidP="007B46F5">
            <w:pPr>
              <w:pStyle w:val="SDText"/>
              <w:jc w:val="both"/>
              <w:rPr>
                <w:rFonts w:cs="Times New Roman"/>
                <w:b/>
                <w:sz w:val="16"/>
                <w:szCs w:val="16"/>
                <w:lang w:eastAsia="ru-RU"/>
              </w:rPr>
            </w:pPr>
            <w:r w:rsidRPr="008C5C88">
              <w:rPr>
                <w:rFonts w:cs="Times New Roman"/>
                <w:b/>
                <w:sz w:val="16"/>
                <w:szCs w:val="16"/>
                <w:lang w:eastAsia="ru-RU"/>
              </w:rPr>
              <w:t>●</w:t>
            </w:r>
            <w:r w:rsidRPr="008C5C88">
              <w:rPr>
                <w:rFonts w:cs="Times New Roman"/>
                <w:b/>
                <w:sz w:val="20"/>
                <w:szCs w:val="20"/>
                <w:vertAlign w:val="superscript"/>
                <w:lang w:val="en-US" w:eastAsia="ru-RU"/>
              </w:rPr>
              <w:t>11</w:t>
            </w:r>
          </w:p>
        </w:tc>
        <w:tc>
          <w:tcPr>
            <w:tcW w:w="133" w:type="pct"/>
            <w:tcMar>
              <w:left w:w="28" w:type="dxa"/>
              <w:right w:w="28" w:type="dxa"/>
            </w:tcMar>
          </w:tcPr>
          <w:p w14:paraId="7F810A2B" w14:textId="07A08889" w:rsidR="006C66C2" w:rsidRPr="009E6200" w:rsidRDefault="006C66C2" w:rsidP="007B46F5">
            <w:pPr>
              <w:pStyle w:val="SDText"/>
              <w:jc w:val="both"/>
              <w:rPr>
                <w:rFonts w:cs="Times New Roman"/>
                <w:b/>
                <w:sz w:val="16"/>
                <w:szCs w:val="16"/>
                <w:lang w:eastAsia="ru-RU"/>
              </w:rPr>
            </w:pPr>
            <w:r w:rsidRPr="008C5C88">
              <w:rPr>
                <w:rFonts w:cs="Times New Roman"/>
                <w:b/>
                <w:sz w:val="16"/>
                <w:szCs w:val="16"/>
                <w:lang w:eastAsia="ru-RU"/>
              </w:rPr>
              <w:t>●</w:t>
            </w:r>
            <w:r w:rsidRPr="008C5C88">
              <w:rPr>
                <w:rFonts w:cs="Times New Roman"/>
                <w:b/>
                <w:sz w:val="20"/>
                <w:szCs w:val="20"/>
                <w:vertAlign w:val="superscript"/>
                <w:lang w:val="en-US" w:eastAsia="ru-RU"/>
              </w:rPr>
              <w:t>11</w:t>
            </w:r>
          </w:p>
        </w:tc>
        <w:tc>
          <w:tcPr>
            <w:tcW w:w="190" w:type="pct"/>
            <w:tcMar>
              <w:left w:w="28" w:type="dxa"/>
              <w:right w:w="28" w:type="dxa"/>
            </w:tcMar>
          </w:tcPr>
          <w:p w14:paraId="14700B49" w14:textId="40362F6A" w:rsidR="006C66C2" w:rsidRPr="009E6200" w:rsidRDefault="006C66C2" w:rsidP="007B46F5">
            <w:pPr>
              <w:pStyle w:val="SDText"/>
              <w:jc w:val="both"/>
              <w:rPr>
                <w:rFonts w:cs="Times New Roman"/>
                <w:b/>
                <w:sz w:val="16"/>
                <w:szCs w:val="16"/>
                <w:lang w:eastAsia="ru-RU"/>
              </w:rPr>
            </w:pPr>
            <w:r w:rsidRPr="008C5C88">
              <w:rPr>
                <w:rFonts w:cs="Times New Roman"/>
                <w:b/>
                <w:sz w:val="16"/>
                <w:szCs w:val="16"/>
                <w:lang w:eastAsia="ru-RU"/>
              </w:rPr>
              <w:t>●</w:t>
            </w:r>
            <w:r w:rsidRPr="008C5C88">
              <w:rPr>
                <w:rFonts w:cs="Times New Roman"/>
                <w:b/>
                <w:sz w:val="20"/>
                <w:szCs w:val="20"/>
                <w:vertAlign w:val="superscript"/>
                <w:lang w:val="en-US" w:eastAsia="ru-RU"/>
              </w:rPr>
              <w:t>11</w:t>
            </w:r>
          </w:p>
        </w:tc>
        <w:tc>
          <w:tcPr>
            <w:tcW w:w="191" w:type="pct"/>
            <w:vAlign w:val="center"/>
          </w:tcPr>
          <w:p w14:paraId="296DA625" w14:textId="77777777" w:rsidR="006C66C2" w:rsidRPr="009E6200" w:rsidRDefault="006C66C2" w:rsidP="007B46F5">
            <w:pPr>
              <w:pStyle w:val="SDText"/>
              <w:jc w:val="both"/>
              <w:rPr>
                <w:rFonts w:cs="Times New Roman"/>
                <w:b/>
                <w:sz w:val="16"/>
                <w:szCs w:val="16"/>
                <w:lang w:eastAsia="ru-RU"/>
              </w:rPr>
            </w:pPr>
          </w:p>
        </w:tc>
        <w:tc>
          <w:tcPr>
            <w:tcW w:w="118" w:type="pct"/>
            <w:tcMar>
              <w:left w:w="28" w:type="dxa"/>
              <w:right w:w="28" w:type="dxa"/>
            </w:tcMar>
            <w:vAlign w:val="center"/>
          </w:tcPr>
          <w:p w14:paraId="6E8B9CE0" w14:textId="77777777" w:rsidR="006C66C2" w:rsidRPr="009E6200" w:rsidRDefault="006C66C2" w:rsidP="007B46F5">
            <w:pPr>
              <w:pStyle w:val="SDText"/>
              <w:jc w:val="both"/>
              <w:rPr>
                <w:rFonts w:cs="Times New Roman"/>
                <w:b/>
                <w:sz w:val="16"/>
                <w:szCs w:val="16"/>
                <w:lang w:eastAsia="ru-RU"/>
              </w:rPr>
            </w:pPr>
          </w:p>
        </w:tc>
        <w:tc>
          <w:tcPr>
            <w:tcW w:w="174" w:type="pct"/>
            <w:vAlign w:val="center"/>
          </w:tcPr>
          <w:p w14:paraId="7D0E297E" w14:textId="77777777" w:rsidR="006C66C2" w:rsidRPr="009E6200" w:rsidRDefault="006C66C2" w:rsidP="007B46F5">
            <w:pPr>
              <w:pStyle w:val="SDText"/>
              <w:jc w:val="both"/>
              <w:rPr>
                <w:rFonts w:cs="Times New Roman"/>
                <w:b/>
                <w:sz w:val="16"/>
                <w:szCs w:val="16"/>
                <w:lang w:eastAsia="ru-RU"/>
              </w:rPr>
            </w:pPr>
            <w:r w:rsidRPr="009E6200">
              <w:rPr>
                <w:rFonts w:cs="Times New Roman"/>
                <w:b/>
                <w:sz w:val="16"/>
                <w:szCs w:val="16"/>
                <w:lang w:eastAsia="ru-RU"/>
              </w:rPr>
              <w:t>●</w:t>
            </w:r>
          </w:p>
        </w:tc>
      </w:tr>
      <w:tr w:rsidR="005C6E88" w:rsidRPr="009E6200" w14:paraId="578CA87D" w14:textId="77777777" w:rsidTr="0005126A">
        <w:trPr>
          <w:cantSplit/>
          <w:trHeight w:val="170"/>
        </w:trPr>
        <w:tc>
          <w:tcPr>
            <w:tcW w:w="1355" w:type="pct"/>
            <w:shd w:val="clear" w:color="auto" w:fill="92D050"/>
            <w:tcMar>
              <w:left w:w="28" w:type="dxa"/>
              <w:right w:w="28" w:type="dxa"/>
            </w:tcMar>
            <w:vAlign w:val="center"/>
          </w:tcPr>
          <w:p w14:paraId="6D312F53"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Тест на беременность</w:t>
            </w:r>
            <w:r w:rsidRPr="00695820">
              <w:rPr>
                <w:rStyle w:val="FootnoteReference"/>
              </w:rPr>
              <w:footnoteReference w:id="18"/>
            </w:r>
          </w:p>
        </w:tc>
        <w:tc>
          <w:tcPr>
            <w:tcW w:w="278" w:type="pct"/>
            <w:shd w:val="clear" w:color="auto" w:fill="92D050"/>
            <w:tcMar>
              <w:left w:w="28" w:type="dxa"/>
              <w:right w:w="28" w:type="dxa"/>
            </w:tcMar>
            <w:vAlign w:val="center"/>
          </w:tcPr>
          <w:p w14:paraId="12F162EA"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400" w:type="pct"/>
            <w:shd w:val="clear" w:color="auto" w:fill="92D050"/>
            <w:tcMar>
              <w:left w:w="28" w:type="dxa"/>
              <w:right w:w="28" w:type="dxa"/>
            </w:tcMar>
            <w:vAlign w:val="center"/>
          </w:tcPr>
          <w:p w14:paraId="516C63E1" w14:textId="0E18FF12"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r w:rsidR="006C66C2" w:rsidRPr="008016C8">
              <w:rPr>
                <w:rFonts w:cs="Times New Roman"/>
                <w:b/>
                <w:sz w:val="20"/>
                <w:szCs w:val="20"/>
                <w:vertAlign w:val="superscript"/>
                <w:lang w:val="en-US" w:eastAsia="ru-RU"/>
              </w:rPr>
              <w:t>12</w:t>
            </w:r>
          </w:p>
        </w:tc>
        <w:tc>
          <w:tcPr>
            <w:tcW w:w="133" w:type="pct"/>
            <w:shd w:val="clear" w:color="auto" w:fill="92D050"/>
            <w:tcMar>
              <w:left w:w="28" w:type="dxa"/>
              <w:right w:w="28" w:type="dxa"/>
            </w:tcMar>
            <w:vAlign w:val="center"/>
          </w:tcPr>
          <w:p w14:paraId="46408368"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shd w:val="clear" w:color="auto" w:fill="92D050"/>
            <w:tcMar>
              <w:left w:w="28" w:type="dxa"/>
              <w:right w:w="28" w:type="dxa"/>
            </w:tcMar>
            <w:vAlign w:val="center"/>
          </w:tcPr>
          <w:p w14:paraId="33FE105D"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shd w:val="clear" w:color="auto" w:fill="92D050"/>
            <w:tcMar>
              <w:left w:w="28" w:type="dxa"/>
              <w:right w:w="28" w:type="dxa"/>
            </w:tcMar>
            <w:vAlign w:val="center"/>
          </w:tcPr>
          <w:p w14:paraId="34C6829F"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shd w:val="clear" w:color="auto" w:fill="92D050"/>
            <w:tcMar>
              <w:left w:w="28" w:type="dxa"/>
              <w:right w:w="28" w:type="dxa"/>
            </w:tcMar>
            <w:vAlign w:val="center"/>
          </w:tcPr>
          <w:p w14:paraId="3E8DE880"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shd w:val="clear" w:color="auto" w:fill="92D050"/>
            <w:tcMar>
              <w:left w:w="28" w:type="dxa"/>
              <w:right w:w="28" w:type="dxa"/>
            </w:tcMar>
            <w:vAlign w:val="center"/>
          </w:tcPr>
          <w:p w14:paraId="651D4F10"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shd w:val="clear" w:color="auto" w:fill="92D050"/>
            <w:tcMar>
              <w:left w:w="28" w:type="dxa"/>
              <w:right w:w="28" w:type="dxa"/>
            </w:tcMar>
            <w:vAlign w:val="center"/>
          </w:tcPr>
          <w:p w14:paraId="306F0D7A"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shd w:val="clear" w:color="auto" w:fill="92D050"/>
            <w:tcMar>
              <w:left w:w="28" w:type="dxa"/>
              <w:right w:w="28" w:type="dxa"/>
            </w:tcMar>
            <w:vAlign w:val="center"/>
          </w:tcPr>
          <w:p w14:paraId="2F64D40B"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0" w:type="pct"/>
            <w:shd w:val="clear" w:color="auto" w:fill="92D050"/>
            <w:tcMar>
              <w:left w:w="28" w:type="dxa"/>
              <w:right w:w="28" w:type="dxa"/>
            </w:tcMar>
            <w:vAlign w:val="center"/>
          </w:tcPr>
          <w:p w14:paraId="4A2771DA"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66479973"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63D6C823"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0" w:type="pct"/>
            <w:tcMar>
              <w:left w:w="28" w:type="dxa"/>
              <w:right w:w="28" w:type="dxa"/>
            </w:tcMar>
            <w:vAlign w:val="center"/>
          </w:tcPr>
          <w:p w14:paraId="41C8CE1E"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4F9821D9"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1A577094"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0" w:type="pct"/>
            <w:tcMar>
              <w:left w:w="28" w:type="dxa"/>
              <w:right w:w="28" w:type="dxa"/>
            </w:tcMar>
            <w:vAlign w:val="center"/>
          </w:tcPr>
          <w:p w14:paraId="2786A313"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732AEA6A"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506FCE88"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0" w:type="pct"/>
            <w:tcMar>
              <w:left w:w="28" w:type="dxa"/>
              <w:right w:w="28" w:type="dxa"/>
            </w:tcMar>
            <w:vAlign w:val="center"/>
          </w:tcPr>
          <w:p w14:paraId="6C531224"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1" w:type="pct"/>
            <w:vAlign w:val="center"/>
          </w:tcPr>
          <w:p w14:paraId="49EBEE02" w14:textId="77777777" w:rsidR="005C6E88" w:rsidRPr="009E6200" w:rsidRDefault="005C6E88" w:rsidP="007B46F5">
            <w:pPr>
              <w:pStyle w:val="SDText"/>
              <w:jc w:val="both"/>
              <w:rPr>
                <w:rFonts w:cs="Times New Roman"/>
                <w:b/>
                <w:sz w:val="16"/>
                <w:szCs w:val="16"/>
                <w:lang w:eastAsia="ru-RU"/>
              </w:rPr>
            </w:pPr>
          </w:p>
        </w:tc>
        <w:tc>
          <w:tcPr>
            <w:tcW w:w="118" w:type="pct"/>
            <w:tcMar>
              <w:left w:w="28" w:type="dxa"/>
              <w:right w:w="28" w:type="dxa"/>
            </w:tcMar>
            <w:vAlign w:val="center"/>
          </w:tcPr>
          <w:p w14:paraId="7B16912C" w14:textId="77777777" w:rsidR="005C6E88" w:rsidRPr="009E6200" w:rsidRDefault="005C6E88" w:rsidP="007B46F5">
            <w:pPr>
              <w:pStyle w:val="SDText"/>
              <w:jc w:val="both"/>
              <w:rPr>
                <w:rFonts w:cs="Times New Roman"/>
                <w:b/>
                <w:sz w:val="16"/>
                <w:szCs w:val="16"/>
                <w:lang w:eastAsia="ru-RU"/>
              </w:rPr>
            </w:pPr>
          </w:p>
        </w:tc>
        <w:tc>
          <w:tcPr>
            <w:tcW w:w="174" w:type="pct"/>
          </w:tcPr>
          <w:p w14:paraId="2BCC4C02" w14:textId="77777777" w:rsidR="005C6E88" w:rsidRPr="009E6200" w:rsidRDefault="005C6E88" w:rsidP="007B46F5">
            <w:pPr>
              <w:pStyle w:val="SDText"/>
              <w:jc w:val="both"/>
              <w:rPr>
                <w:rFonts w:cs="Times New Roman"/>
                <w:b/>
                <w:sz w:val="16"/>
                <w:szCs w:val="16"/>
                <w:lang w:eastAsia="ru-RU"/>
              </w:rPr>
            </w:pPr>
          </w:p>
        </w:tc>
      </w:tr>
      <w:tr w:rsidR="005C6E88" w:rsidRPr="009E6200" w14:paraId="39CA1FE8" w14:textId="77777777" w:rsidTr="0005126A">
        <w:trPr>
          <w:cantSplit/>
          <w:trHeight w:val="170"/>
        </w:trPr>
        <w:tc>
          <w:tcPr>
            <w:tcW w:w="1355" w:type="pct"/>
            <w:shd w:val="clear" w:color="auto" w:fill="92D050"/>
            <w:tcMar>
              <w:left w:w="28" w:type="dxa"/>
              <w:right w:w="28" w:type="dxa"/>
            </w:tcMar>
            <w:vAlign w:val="center"/>
          </w:tcPr>
          <w:p w14:paraId="4A28B35A" w14:textId="77777777" w:rsidR="005C6E88" w:rsidRPr="009E6200" w:rsidRDefault="005C6E88" w:rsidP="007B46F5">
            <w:pPr>
              <w:pStyle w:val="SDText"/>
              <w:jc w:val="both"/>
              <w:rPr>
                <w:rFonts w:cs="Times New Roman"/>
                <w:sz w:val="16"/>
                <w:szCs w:val="16"/>
              </w:rPr>
            </w:pPr>
            <w:r w:rsidRPr="009E6200">
              <w:rPr>
                <w:rFonts w:cs="Times New Roman"/>
                <w:sz w:val="16"/>
                <w:szCs w:val="16"/>
              </w:rPr>
              <w:t>ЭКГ</w:t>
            </w:r>
          </w:p>
        </w:tc>
        <w:tc>
          <w:tcPr>
            <w:tcW w:w="278" w:type="pct"/>
            <w:shd w:val="clear" w:color="auto" w:fill="92D050"/>
            <w:tcMar>
              <w:left w:w="28" w:type="dxa"/>
              <w:right w:w="28" w:type="dxa"/>
            </w:tcMar>
            <w:vAlign w:val="center"/>
          </w:tcPr>
          <w:p w14:paraId="16756BC6"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400" w:type="pct"/>
            <w:shd w:val="clear" w:color="auto" w:fill="92D050"/>
            <w:tcMar>
              <w:left w:w="28" w:type="dxa"/>
              <w:right w:w="28" w:type="dxa"/>
            </w:tcMar>
            <w:vAlign w:val="center"/>
          </w:tcPr>
          <w:p w14:paraId="31B449DF" w14:textId="6F8DD519"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r w:rsidR="006C66C2" w:rsidRPr="008C68D8">
              <w:rPr>
                <w:rFonts w:cs="Times New Roman"/>
                <w:b/>
                <w:sz w:val="20"/>
                <w:szCs w:val="20"/>
                <w:vertAlign w:val="superscript"/>
                <w:lang w:val="en-US" w:eastAsia="ru-RU"/>
              </w:rPr>
              <w:t>12</w:t>
            </w:r>
          </w:p>
        </w:tc>
        <w:tc>
          <w:tcPr>
            <w:tcW w:w="133" w:type="pct"/>
            <w:shd w:val="clear" w:color="auto" w:fill="92D050"/>
            <w:tcMar>
              <w:left w:w="28" w:type="dxa"/>
              <w:right w:w="28" w:type="dxa"/>
            </w:tcMar>
            <w:vAlign w:val="center"/>
          </w:tcPr>
          <w:p w14:paraId="6C82B9AA"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shd w:val="clear" w:color="auto" w:fill="92D050"/>
            <w:tcMar>
              <w:left w:w="28" w:type="dxa"/>
              <w:right w:w="28" w:type="dxa"/>
            </w:tcMar>
            <w:vAlign w:val="center"/>
          </w:tcPr>
          <w:p w14:paraId="6E199DCD"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shd w:val="clear" w:color="auto" w:fill="92D050"/>
            <w:tcMar>
              <w:left w:w="28" w:type="dxa"/>
              <w:right w:w="28" w:type="dxa"/>
            </w:tcMar>
            <w:vAlign w:val="center"/>
          </w:tcPr>
          <w:p w14:paraId="67C7A2CD"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shd w:val="clear" w:color="auto" w:fill="92D050"/>
            <w:tcMar>
              <w:left w:w="28" w:type="dxa"/>
              <w:right w:w="28" w:type="dxa"/>
            </w:tcMar>
            <w:vAlign w:val="center"/>
          </w:tcPr>
          <w:p w14:paraId="70BD90E0"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shd w:val="clear" w:color="auto" w:fill="92D050"/>
            <w:tcMar>
              <w:left w:w="28" w:type="dxa"/>
              <w:right w:w="28" w:type="dxa"/>
            </w:tcMar>
            <w:vAlign w:val="center"/>
          </w:tcPr>
          <w:p w14:paraId="336BCBA0"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shd w:val="clear" w:color="auto" w:fill="92D050"/>
            <w:tcMar>
              <w:left w:w="28" w:type="dxa"/>
              <w:right w:w="28" w:type="dxa"/>
            </w:tcMar>
            <w:vAlign w:val="center"/>
          </w:tcPr>
          <w:p w14:paraId="496F827B"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shd w:val="clear" w:color="auto" w:fill="92D050"/>
            <w:tcMar>
              <w:left w:w="28" w:type="dxa"/>
              <w:right w:w="28" w:type="dxa"/>
            </w:tcMar>
            <w:vAlign w:val="center"/>
          </w:tcPr>
          <w:p w14:paraId="55ED7BDA"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0" w:type="pct"/>
            <w:shd w:val="clear" w:color="auto" w:fill="92D050"/>
            <w:tcMar>
              <w:left w:w="28" w:type="dxa"/>
              <w:right w:w="28" w:type="dxa"/>
            </w:tcMar>
            <w:vAlign w:val="center"/>
          </w:tcPr>
          <w:p w14:paraId="12B54BDD"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502C25D1"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48B3962C"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2C94E842"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679EF062"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5778D995"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52401E3E"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00D506B2"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076E89CC"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36A91441"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1" w:type="pct"/>
            <w:vAlign w:val="center"/>
          </w:tcPr>
          <w:p w14:paraId="0F7AC8FC" w14:textId="77777777" w:rsidR="005C6E88" w:rsidRPr="009E6200" w:rsidRDefault="005C6E88" w:rsidP="007B46F5">
            <w:pPr>
              <w:pStyle w:val="SDText"/>
              <w:jc w:val="both"/>
              <w:rPr>
                <w:rFonts w:cs="Times New Roman"/>
                <w:b/>
                <w:sz w:val="16"/>
                <w:szCs w:val="16"/>
                <w:lang w:eastAsia="ru-RU"/>
              </w:rPr>
            </w:pPr>
          </w:p>
        </w:tc>
        <w:tc>
          <w:tcPr>
            <w:tcW w:w="118" w:type="pct"/>
            <w:tcMar>
              <w:left w:w="28" w:type="dxa"/>
              <w:right w:w="28" w:type="dxa"/>
            </w:tcMar>
            <w:vAlign w:val="center"/>
          </w:tcPr>
          <w:p w14:paraId="747D32BA" w14:textId="77777777" w:rsidR="005C6E88" w:rsidRPr="009E6200" w:rsidRDefault="005C6E88" w:rsidP="007B46F5">
            <w:pPr>
              <w:pStyle w:val="SDText"/>
              <w:jc w:val="both"/>
              <w:rPr>
                <w:rFonts w:cs="Times New Roman"/>
                <w:b/>
                <w:sz w:val="16"/>
                <w:szCs w:val="16"/>
                <w:lang w:eastAsia="ru-RU"/>
              </w:rPr>
            </w:pPr>
          </w:p>
        </w:tc>
        <w:tc>
          <w:tcPr>
            <w:tcW w:w="174" w:type="pct"/>
          </w:tcPr>
          <w:p w14:paraId="020FF8D8"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r>
      <w:tr w:rsidR="005C6E88" w:rsidRPr="009E6200" w14:paraId="5CA8BA94" w14:textId="77777777" w:rsidTr="0005126A">
        <w:trPr>
          <w:cantSplit/>
          <w:trHeight w:val="170"/>
        </w:trPr>
        <w:tc>
          <w:tcPr>
            <w:tcW w:w="1355" w:type="pct"/>
            <w:shd w:val="clear" w:color="auto" w:fill="92D050"/>
            <w:tcMar>
              <w:left w:w="28" w:type="dxa"/>
              <w:right w:w="28" w:type="dxa"/>
            </w:tcMar>
            <w:vAlign w:val="center"/>
          </w:tcPr>
          <w:p w14:paraId="1A36CBEC"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Оценка СКФ</w:t>
            </w:r>
            <w:r w:rsidRPr="00695820">
              <w:rPr>
                <w:rStyle w:val="FootnoteReference"/>
              </w:rPr>
              <w:footnoteReference w:id="19"/>
            </w:r>
          </w:p>
        </w:tc>
        <w:tc>
          <w:tcPr>
            <w:tcW w:w="278" w:type="pct"/>
            <w:shd w:val="clear" w:color="auto" w:fill="92D050"/>
            <w:tcMar>
              <w:left w:w="28" w:type="dxa"/>
              <w:right w:w="28" w:type="dxa"/>
            </w:tcMar>
            <w:vAlign w:val="center"/>
          </w:tcPr>
          <w:p w14:paraId="4339CF89" w14:textId="77777777" w:rsidR="005C6E88" w:rsidRPr="009E6200" w:rsidRDefault="005C6E88" w:rsidP="007B46F5">
            <w:pPr>
              <w:pStyle w:val="SDText"/>
              <w:jc w:val="both"/>
              <w:rPr>
                <w:rFonts w:cs="Times New Roman"/>
                <w:b/>
                <w:sz w:val="16"/>
                <w:szCs w:val="16"/>
                <w:lang w:eastAsia="ru-RU"/>
              </w:rPr>
            </w:pPr>
          </w:p>
        </w:tc>
        <w:tc>
          <w:tcPr>
            <w:tcW w:w="400" w:type="pct"/>
            <w:shd w:val="clear" w:color="auto" w:fill="92D050"/>
            <w:tcMar>
              <w:left w:w="28" w:type="dxa"/>
              <w:right w:w="28" w:type="dxa"/>
            </w:tcMar>
            <w:vAlign w:val="center"/>
          </w:tcPr>
          <w:p w14:paraId="1BDB9A75"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shd w:val="clear" w:color="auto" w:fill="92D050"/>
            <w:tcMar>
              <w:left w:w="28" w:type="dxa"/>
              <w:right w:w="28" w:type="dxa"/>
            </w:tcMar>
            <w:vAlign w:val="center"/>
          </w:tcPr>
          <w:p w14:paraId="52C12C41"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shd w:val="clear" w:color="auto" w:fill="92D050"/>
            <w:tcMar>
              <w:left w:w="28" w:type="dxa"/>
              <w:right w:w="28" w:type="dxa"/>
            </w:tcMar>
            <w:vAlign w:val="center"/>
          </w:tcPr>
          <w:p w14:paraId="57CBAAD4"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shd w:val="clear" w:color="auto" w:fill="92D050"/>
            <w:tcMar>
              <w:left w:w="28" w:type="dxa"/>
              <w:right w:w="28" w:type="dxa"/>
            </w:tcMar>
            <w:vAlign w:val="center"/>
          </w:tcPr>
          <w:p w14:paraId="3B657277"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shd w:val="clear" w:color="auto" w:fill="92D050"/>
            <w:tcMar>
              <w:left w:w="28" w:type="dxa"/>
              <w:right w:w="28" w:type="dxa"/>
            </w:tcMar>
            <w:vAlign w:val="center"/>
          </w:tcPr>
          <w:p w14:paraId="3DE504D7"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shd w:val="clear" w:color="auto" w:fill="92D050"/>
            <w:tcMar>
              <w:left w:w="28" w:type="dxa"/>
              <w:right w:w="28" w:type="dxa"/>
            </w:tcMar>
            <w:vAlign w:val="center"/>
          </w:tcPr>
          <w:p w14:paraId="15F77C22"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shd w:val="clear" w:color="auto" w:fill="92D050"/>
            <w:tcMar>
              <w:left w:w="28" w:type="dxa"/>
              <w:right w:w="28" w:type="dxa"/>
            </w:tcMar>
            <w:vAlign w:val="center"/>
          </w:tcPr>
          <w:p w14:paraId="5261D787" w14:textId="77777777" w:rsidR="005C6E88" w:rsidRPr="009E6200" w:rsidRDefault="005C6E88" w:rsidP="007B46F5">
            <w:pPr>
              <w:pStyle w:val="SDText"/>
              <w:jc w:val="both"/>
              <w:rPr>
                <w:rFonts w:cs="Times New Roman"/>
                <w:b/>
                <w:sz w:val="16"/>
                <w:szCs w:val="16"/>
                <w:lang w:val="en-US" w:eastAsia="ru-RU"/>
              </w:rPr>
            </w:pPr>
            <w:r w:rsidRPr="009E6200">
              <w:rPr>
                <w:rFonts w:cs="Times New Roman"/>
                <w:b/>
                <w:sz w:val="16"/>
                <w:szCs w:val="16"/>
                <w:lang w:val="en-US" w:eastAsia="ru-RU"/>
              </w:rPr>
              <w:t>●</w:t>
            </w:r>
            <w:bookmarkStart w:id="120" w:name="_Ref12714741"/>
            <w:r w:rsidRPr="001D206A">
              <w:rPr>
                <w:rStyle w:val="FootnoteReference"/>
                <w:sz w:val="20"/>
                <w:szCs w:val="20"/>
              </w:rPr>
              <w:footnoteReference w:id="20"/>
            </w:r>
            <w:bookmarkEnd w:id="120"/>
          </w:p>
        </w:tc>
        <w:tc>
          <w:tcPr>
            <w:tcW w:w="133" w:type="pct"/>
            <w:shd w:val="clear" w:color="auto" w:fill="92D050"/>
            <w:tcMar>
              <w:left w:w="28" w:type="dxa"/>
              <w:right w:w="28" w:type="dxa"/>
            </w:tcMar>
            <w:vAlign w:val="center"/>
          </w:tcPr>
          <w:p w14:paraId="0E963235" w14:textId="77777777" w:rsidR="005C6E88" w:rsidRPr="009E6200" w:rsidRDefault="005C6E88" w:rsidP="007B46F5">
            <w:pPr>
              <w:pStyle w:val="SDText"/>
              <w:jc w:val="both"/>
              <w:rPr>
                <w:rFonts w:cs="Times New Roman"/>
                <w:b/>
                <w:sz w:val="16"/>
                <w:szCs w:val="16"/>
                <w:lang w:eastAsia="ru-RU"/>
              </w:rPr>
            </w:pPr>
          </w:p>
        </w:tc>
        <w:tc>
          <w:tcPr>
            <w:tcW w:w="190" w:type="pct"/>
            <w:shd w:val="clear" w:color="auto" w:fill="92D050"/>
            <w:tcMar>
              <w:left w:w="28" w:type="dxa"/>
              <w:right w:w="28" w:type="dxa"/>
            </w:tcMar>
            <w:vAlign w:val="center"/>
          </w:tcPr>
          <w:p w14:paraId="3310DEC4" w14:textId="72FEAB96"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val="en-US" w:eastAsia="ru-RU"/>
              </w:rPr>
              <w:t>●</w:t>
            </w:r>
            <w:r w:rsidRPr="001D206A">
              <w:rPr>
                <w:rFonts w:cs="Times New Roman"/>
                <w:b/>
                <w:sz w:val="20"/>
                <w:szCs w:val="20"/>
                <w:vertAlign w:val="superscript"/>
                <w:lang w:val="en-US" w:eastAsia="ru-RU"/>
              </w:rPr>
              <w:fldChar w:fldCharType="begin"/>
            </w:r>
            <w:r w:rsidRPr="001D206A">
              <w:rPr>
                <w:rFonts w:cs="Times New Roman"/>
                <w:b/>
                <w:sz w:val="20"/>
                <w:szCs w:val="20"/>
                <w:vertAlign w:val="superscript"/>
                <w:lang w:val="en-US" w:eastAsia="ru-RU"/>
              </w:rPr>
              <w:instrText xml:space="preserve"> NOTEREF _Ref12714741 \h  \* MERGEFORMAT </w:instrText>
            </w:r>
            <w:r w:rsidRPr="001D206A">
              <w:rPr>
                <w:rFonts w:cs="Times New Roman"/>
                <w:b/>
                <w:sz w:val="20"/>
                <w:szCs w:val="20"/>
                <w:vertAlign w:val="superscript"/>
                <w:lang w:val="en-US" w:eastAsia="ru-RU"/>
              </w:rPr>
            </w:r>
            <w:r w:rsidRPr="001D206A">
              <w:rPr>
                <w:rFonts w:cs="Times New Roman"/>
                <w:b/>
                <w:sz w:val="20"/>
                <w:szCs w:val="20"/>
                <w:vertAlign w:val="superscript"/>
                <w:lang w:val="en-US" w:eastAsia="ru-RU"/>
              </w:rPr>
              <w:fldChar w:fldCharType="separate"/>
            </w:r>
            <w:r w:rsidR="005A436A">
              <w:rPr>
                <w:rFonts w:cs="Times New Roman"/>
                <w:b/>
                <w:sz w:val="20"/>
                <w:szCs w:val="20"/>
                <w:vertAlign w:val="superscript"/>
                <w:lang w:val="en-US" w:eastAsia="ru-RU"/>
              </w:rPr>
              <w:t>18</w:t>
            </w:r>
            <w:r w:rsidRPr="001D206A">
              <w:rPr>
                <w:rFonts w:cs="Times New Roman"/>
                <w:b/>
                <w:sz w:val="20"/>
                <w:szCs w:val="20"/>
                <w:vertAlign w:val="superscript"/>
                <w:lang w:val="en-US" w:eastAsia="ru-RU"/>
              </w:rPr>
              <w:fldChar w:fldCharType="end"/>
            </w:r>
          </w:p>
        </w:tc>
        <w:tc>
          <w:tcPr>
            <w:tcW w:w="133" w:type="pct"/>
            <w:tcMar>
              <w:left w:w="28" w:type="dxa"/>
              <w:right w:w="28" w:type="dxa"/>
            </w:tcMar>
            <w:vAlign w:val="center"/>
          </w:tcPr>
          <w:p w14:paraId="293ED1EE" w14:textId="77777777" w:rsidR="005C6E88" w:rsidRPr="009E6200" w:rsidRDefault="005C6E88" w:rsidP="007B46F5">
            <w:pPr>
              <w:pStyle w:val="SDText"/>
              <w:jc w:val="both"/>
              <w:rPr>
                <w:rFonts w:cs="Times New Roman"/>
                <w:b/>
                <w:sz w:val="16"/>
                <w:szCs w:val="16"/>
                <w:lang w:val="en-US" w:eastAsia="ru-RU"/>
              </w:rPr>
            </w:pPr>
          </w:p>
        </w:tc>
        <w:tc>
          <w:tcPr>
            <w:tcW w:w="133" w:type="pct"/>
            <w:tcMar>
              <w:left w:w="28" w:type="dxa"/>
              <w:right w:w="28" w:type="dxa"/>
            </w:tcMar>
            <w:vAlign w:val="center"/>
          </w:tcPr>
          <w:p w14:paraId="6A08714C"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60EF68A5" w14:textId="1A5AC174"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val="en-US" w:eastAsia="ru-RU"/>
              </w:rPr>
              <w:t>●</w:t>
            </w:r>
            <w:r w:rsidRPr="001D206A">
              <w:rPr>
                <w:rFonts w:cs="Times New Roman"/>
                <w:b/>
                <w:sz w:val="20"/>
                <w:szCs w:val="20"/>
                <w:vertAlign w:val="superscript"/>
                <w:lang w:val="en-US" w:eastAsia="ru-RU"/>
              </w:rPr>
              <w:fldChar w:fldCharType="begin"/>
            </w:r>
            <w:r w:rsidRPr="001D206A">
              <w:rPr>
                <w:rFonts w:cs="Times New Roman"/>
                <w:b/>
                <w:sz w:val="20"/>
                <w:szCs w:val="20"/>
                <w:vertAlign w:val="superscript"/>
                <w:lang w:val="en-US" w:eastAsia="ru-RU"/>
              </w:rPr>
              <w:instrText xml:space="preserve"> NOTEREF _Ref12714741 \h  \* MERGEFORMAT </w:instrText>
            </w:r>
            <w:r w:rsidRPr="001D206A">
              <w:rPr>
                <w:rFonts w:cs="Times New Roman"/>
                <w:b/>
                <w:sz w:val="20"/>
                <w:szCs w:val="20"/>
                <w:vertAlign w:val="superscript"/>
                <w:lang w:val="en-US" w:eastAsia="ru-RU"/>
              </w:rPr>
            </w:r>
            <w:r w:rsidRPr="001D206A">
              <w:rPr>
                <w:rFonts w:cs="Times New Roman"/>
                <w:b/>
                <w:sz w:val="20"/>
                <w:szCs w:val="20"/>
                <w:vertAlign w:val="superscript"/>
                <w:lang w:val="en-US" w:eastAsia="ru-RU"/>
              </w:rPr>
              <w:fldChar w:fldCharType="separate"/>
            </w:r>
            <w:r w:rsidR="005A436A">
              <w:rPr>
                <w:rFonts w:cs="Times New Roman"/>
                <w:b/>
                <w:sz w:val="20"/>
                <w:szCs w:val="20"/>
                <w:vertAlign w:val="superscript"/>
                <w:lang w:val="en-US" w:eastAsia="ru-RU"/>
              </w:rPr>
              <w:t>18</w:t>
            </w:r>
            <w:r w:rsidRPr="001D206A">
              <w:rPr>
                <w:rFonts w:cs="Times New Roman"/>
                <w:b/>
                <w:sz w:val="20"/>
                <w:szCs w:val="20"/>
                <w:vertAlign w:val="superscript"/>
                <w:lang w:val="en-US" w:eastAsia="ru-RU"/>
              </w:rPr>
              <w:fldChar w:fldCharType="end"/>
            </w:r>
          </w:p>
        </w:tc>
        <w:tc>
          <w:tcPr>
            <w:tcW w:w="133" w:type="pct"/>
            <w:tcMar>
              <w:left w:w="28" w:type="dxa"/>
              <w:right w:w="28" w:type="dxa"/>
            </w:tcMar>
            <w:vAlign w:val="center"/>
          </w:tcPr>
          <w:p w14:paraId="5B8E5B54" w14:textId="77777777" w:rsidR="005C6E88" w:rsidRPr="009E6200" w:rsidRDefault="005C6E88" w:rsidP="007B46F5">
            <w:pPr>
              <w:pStyle w:val="SDText"/>
              <w:jc w:val="both"/>
              <w:rPr>
                <w:rFonts w:cs="Times New Roman"/>
                <w:b/>
                <w:sz w:val="16"/>
                <w:szCs w:val="16"/>
                <w:lang w:val="en-US" w:eastAsia="ru-RU"/>
              </w:rPr>
            </w:pPr>
          </w:p>
        </w:tc>
        <w:tc>
          <w:tcPr>
            <w:tcW w:w="133" w:type="pct"/>
            <w:tcMar>
              <w:left w:w="28" w:type="dxa"/>
              <w:right w:w="28" w:type="dxa"/>
            </w:tcMar>
            <w:vAlign w:val="center"/>
          </w:tcPr>
          <w:p w14:paraId="7F529A1A"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1EEEC990" w14:textId="1F4D2DC9"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val="en-US" w:eastAsia="ru-RU"/>
              </w:rPr>
              <w:t>●</w:t>
            </w:r>
            <w:r w:rsidRPr="001D206A">
              <w:rPr>
                <w:rFonts w:cs="Times New Roman"/>
                <w:b/>
                <w:sz w:val="20"/>
                <w:szCs w:val="20"/>
                <w:vertAlign w:val="superscript"/>
                <w:lang w:val="en-US" w:eastAsia="ru-RU"/>
              </w:rPr>
              <w:fldChar w:fldCharType="begin"/>
            </w:r>
            <w:r w:rsidRPr="001D206A">
              <w:rPr>
                <w:rFonts w:cs="Times New Roman"/>
                <w:b/>
                <w:sz w:val="20"/>
                <w:szCs w:val="20"/>
                <w:vertAlign w:val="superscript"/>
                <w:lang w:val="en-US" w:eastAsia="ru-RU"/>
              </w:rPr>
              <w:instrText xml:space="preserve"> NOTEREF _Ref12714741 \h  \* MERGEFORMAT </w:instrText>
            </w:r>
            <w:r w:rsidRPr="001D206A">
              <w:rPr>
                <w:rFonts w:cs="Times New Roman"/>
                <w:b/>
                <w:sz w:val="20"/>
                <w:szCs w:val="20"/>
                <w:vertAlign w:val="superscript"/>
                <w:lang w:val="en-US" w:eastAsia="ru-RU"/>
              </w:rPr>
            </w:r>
            <w:r w:rsidRPr="001D206A">
              <w:rPr>
                <w:rFonts w:cs="Times New Roman"/>
                <w:b/>
                <w:sz w:val="20"/>
                <w:szCs w:val="20"/>
                <w:vertAlign w:val="superscript"/>
                <w:lang w:val="en-US" w:eastAsia="ru-RU"/>
              </w:rPr>
              <w:fldChar w:fldCharType="separate"/>
            </w:r>
            <w:r w:rsidR="005A436A">
              <w:rPr>
                <w:rFonts w:cs="Times New Roman"/>
                <w:b/>
                <w:sz w:val="20"/>
                <w:szCs w:val="20"/>
                <w:vertAlign w:val="superscript"/>
                <w:lang w:val="en-US" w:eastAsia="ru-RU"/>
              </w:rPr>
              <w:t>18</w:t>
            </w:r>
            <w:r w:rsidRPr="001D206A">
              <w:rPr>
                <w:rFonts w:cs="Times New Roman"/>
                <w:b/>
                <w:sz w:val="20"/>
                <w:szCs w:val="20"/>
                <w:vertAlign w:val="superscript"/>
                <w:lang w:val="en-US" w:eastAsia="ru-RU"/>
              </w:rPr>
              <w:fldChar w:fldCharType="end"/>
            </w:r>
          </w:p>
        </w:tc>
        <w:tc>
          <w:tcPr>
            <w:tcW w:w="133" w:type="pct"/>
            <w:tcMar>
              <w:left w:w="28" w:type="dxa"/>
              <w:right w:w="28" w:type="dxa"/>
            </w:tcMar>
            <w:vAlign w:val="center"/>
          </w:tcPr>
          <w:p w14:paraId="49B7655D" w14:textId="77777777" w:rsidR="005C6E88" w:rsidRPr="009E6200" w:rsidRDefault="005C6E88" w:rsidP="007B46F5">
            <w:pPr>
              <w:pStyle w:val="SDText"/>
              <w:jc w:val="both"/>
              <w:rPr>
                <w:rFonts w:cs="Times New Roman"/>
                <w:b/>
                <w:sz w:val="16"/>
                <w:szCs w:val="16"/>
                <w:lang w:val="en-US" w:eastAsia="ru-RU"/>
              </w:rPr>
            </w:pPr>
          </w:p>
        </w:tc>
        <w:tc>
          <w:tcPr>
            <w:tcW w:w="133" w:type="pct"/>
            <w:tcMar>
              <w:left w:w="28" w:type="dxa"/>
              <w:right w:w="28" w:type="dxa"/>
            </w:tcMar>
            <w:vAlign w:val="center"/>
          </w:tcPr>
          <w:p w14:paraId="1BB888A3"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115EA59E" w14:textId="7785C3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val="en-US" w:eastAsia="ru-RU"/>
              </w:rPr>
              <w:t>●</w:t>
            </w:r>
            <w:r w:rsidRPr="001D206A">
              <w:rPr>
                <w:rFonts w:cs="Times New Roman"/>
                <w:b/>
                <w:sz w:val="20"/>
                <w:szCs w:val="20"/>
                <w:vertAlign w:val="superscript"/>
                <w:lang w:val="en-US" w:eastAsia="ru-RU"/>
              </w:rPr>
              <w:fldChar w:fldCharType="begin"/>
            </w:r>
            <w:r w:rsidRPr="001D206A">
              <w:rPr>
                <w:rFonts w:cs="Times New Roman"/>
                <w:b/>
                <w:sz w:val="20"/>
                <w:szCs w:val="20"/>
                <w:vertAlign w:val="superscript"/>
                <w:lang w:val="en-US" w:eastAsia="ru-RU"/>
              </w:rPr>
              <w:instrText xml:space="preserve"> NOTEREF _Ref12714741 \h  \* MERGEFORMAT </w:instrText>
            </w:r>
            <w:r w:rsidRPr="001D206A">
              <w:rPr>
                <w:rFonts w:cs="Times New Roman"/>
                <w:b/>
                <w:sz w:val="20"/>
                <w:szCs w:val="20"/>
                <w:vertAlign w:val="superscript"/>
                <w:lang w:val="en-US" w:eastAsia="ru-RU"/>
              </w:rPr>
            </w:r>
            <w:r w:rsidRPr="001D206A">
              <w:rPr>
                <w:rFonts w:cs="Times New Roman"/>
                <w:b/>
                <w:sz w:val="20"/>
                <w:szCs w:val="20"/>
                <w:vertAlign w:val="superscript"/>
                <w:lang w:val="en-US" w:eastAsia="ru-RU"/>
              </w:rPr>
              <w:fldChar w:fldCharType="separate"/>
            </w:r>
            <w:r w:rsidR="005A436A">
              <w:rPr>
                <w:rFonts w:cs="Times New Roman"/>
                <w:b/>
                <w:sz w:val="20"/>
                <w:szCs w:val="20"/>
                <w:vertAlign w:val="superscript"/>
                <w:lang w:val="en-US" w:eastAsia="ru-RU"/>
              </w:rPr>
              <w:t>18</w:t>
            </w:r>
            <w:r w:rsidRPr="001D206A">
              <w:rPr>
                <w:rFonts w:cs="Times New Roman"/>
                <w:b/>
                <w:sz w:val="20"/>
                <w:szCs w:val="20"/>
                <w:vertAlign w:val="superscript"/>
                <w:lang w:val="en-US" w:eastAsia="ru-RU"/>
              </w:rPr>
              <w:fldChar w:fldCharType="end"/>
            </w:r>
          </w:p>
        </w:tc>
        <w:tc>
          <w:tcPr>
            <w:tcW w:w="191" w:type="pct"/>
            <w:vAlign w:val="center"/>
          </w:tcPr>
          <w:p w14:paraId="77044E0D" w14:textId="77777777" w:rsidR="005C6E88" w:rsidRPr="009E6200" w:rsidRDefault="005C6E88" w:rsidP="007B46F5">
            <w:pPr>
              <w:pStyle w:val="SDText"/>
              <w:jc w:val="both"/>
              <w:rPr>
                <w:rFonts w:cs="Times New Roman"/>
                <w:b/>
                <w:sz w:val="16"/>
                <w:szCs w:val="16"/>
                <w:lang w:eastAsia="ru-RU"/>
              </w:rPr>
            </w:pPr>
          </w:p>
        </w:tc>
        <w:tc>
          <w:tcPr>
            <w:tcW w:w="118" w:type="pct"/>
            <w:tcMar>
              <w:left w:w="28" w:type="dxa"/>
              <w:right w:w="28" w:type="dxa"/>
            </w:tcMar>
            <w:vAlign w:val="center"/>
          </w:tcPr>
          <w:p w14:paraId="7B3336A4" w14:textId="77777777" w:rsidR="005C6E88" w:rsidRPr="009E6200" w:rsidRDefault="005C6E88" w:rsidP="007B46F5">
            <w:pPr>
              <w:pStyle w:val="SDText"/>
              <w:jc w:val="both"/>
              <w:rPr>
                <w:rFonts w:cs="Times New Roman"/>
                <w:b/>
                <w:sz w:val="16"/>
                <w:szCs w:val="16"/>
                <w:lang w:eastAsia="ru-RU"/>
              </w:rPr>
            </w:pPr>
          </w:p>
        </w:tc>
        <w:tc>
          <w:tcPr>
            <w:tcW w:w="174" w:type="pct"/>
          </w:tcPr>
          <w:p w14:paraId="76C41D66" w14:textId="77777777" w:rsidR="005C6E88" w:rsidRPr="009E6200" w:rsidRDefault="005C6E88" w:rsidP="007B46F5">
            <w:pPr>
              <w:pStyle w:val="SDText"/>
              <w:jc w:val="both"/>
              <w:rPr>
                <w:rFonts w:cs="Times New Roman"/>
                <w:b/>
                <w:sz w:val="16"/>
                <w:szCs w:val="16"/>
                <w:lang w:eastAsia="ru-RU"/>
              </w:rPr>
            </w:pPr>
          </w:p>
        </w:tc>
      </w:tr>
      <w:tr w:rsidR="005C6E88" w:rsidRPr="009E6200" w14:paraId="28C7D0E1" w14:textId="77777777" w:rsidTr="0005126A">
        <w:trPr>
          <w:cantSplit/>
          <w:trHeight w:val="170"/>
        </w:trPr>
        <w:tc>
          <w:tcPr>
            <w:tcW w:w="1355" w:type="pct"/>
            <w:shd w:val="clear" w:color="auto" w:fill="92D050"/>
            <w:tcMar>
              <w:left w:w="28" w:type="dxa"/>
              <w:right w:w="28" w:type="dxa"/>
            </w:tcMar>
            <w:vAlign w:val="center"/>
          </w:tcPr>
          <w:p w14:paraId="500AA897"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Анализ крови на уровень антител к бевацизумабу</w:t>
            </w:r>
          </w:p>
        </w:tc>
        <w:tc>
          <w:tcPr>
            <w:tcW w:w="278" w:type="pct"/>
            <w:shd w:val="clear" w:color="auto" w:fill="92D050"/>
            <w:tcMar>
              <w:left w:w="28" w:type="dxa"/>
              <w:right w:w="28" w:type="dxa"/>
            </w:tcMar>
            <w:vAlign w:val="center"/>
          </w:tcPr>
          <w:p w14:paraId="43F2871E" w14:textId="77777777" w:rsidR="005C6E88" w:rsidRPr="009E6200" w:rsidRDefault="005C6E88" w:rsidP="007B46F5">
            <w:pPr>
              <w:pStyle w:val="SDText"/>
              <w:jc w:val="both"/>
              <w:rPr>
                <w:rFonts w:cs="Times New Roman"/>
                <w:b/>
                <w:sz w:val="16"/>
                <w:szCs w:val="16"/>
                <w:lang w:eastAsia="ru-RU"/>
              </w:rPr>
            </w:pPr>
          </w:p>
        </w:tc>
        <w:tc>
          <w:tcPr>
            <w:tcW w:w="400" w:type="pct"/>
            <w:shd w:val="clear" w:color="auto" w:fill="92D050"/>
            <w:tcMar>
              <w:left w:w="28" w:type="dxa"/>
              <w:right w:w="28" w:type="dxa"/>
            </w:tcMar>
            <w:vAlign w:val="center"/>
          </w:tcPr>
          <w:p w14:paraId="4A3650B5"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shd w:val="clear" w:color="auto" w:fill="92D050"/>
            <w:tcMar>
              <w:left w:w="28" w:type="dxa"/>
              <w:right w:w="28" w:type="dxa"/>
            </w:tcMar>
            <w:vAlign w:val="center"/>
          </w:tcPr>
          <w:p w14:paraId="20C2FC2F" w14:textId="77777777" w:rsidR="005C6E88" w:rsidRPr="009E6200" w:rsidRDefault="005C6E88" w:rsidP="007B46F5">
            <w:pPr>
              <w:pStyle w:val="SDText"/>
              <w:jc w:val="both"/>
              <w:rPr>
                <w:rFonts w:cs="Times New Roman"/>
                <w:b/>
                <w:sz w:val="16"/>
                <w:szCs w:val="16"/>
                <w:lang w:eastAsia="ru-RU"/>
              </w:rPr>
            </w:pPr>
          </w:p>
        </w:tc>
        <w:tc>
          <w:tcPr>
            <w:tcW w:w="133" w:type="pct"/>
            <w:shd w:val="clear" w:color="auto" w:fill="92D050"/>
            <w:tcMar>
              <w:left w:w="28" w:type="dxa"/>
              <w:right w:w="28" w:type="dxa"/>
            </w:tcMar>
            <w:vAlign w:val="center"/>
          </w:tcPr>
          <w:p w14:paraId="7351550A"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shd w:val="clear" w:color="auto" w:fill="92D050"/>
            <w:tcMar>
              <w:left w:w="28" w:type="dxa"/>
              <w:right w:w="28" w:type="dxa"/>
            </w:tcMar>
            <w:vAlign w:val="center"/>
          </w:tcPr>
          <w:p w14:paraId="123842CB" w14:textId="77777777" w:rsidR="005C6E88" w:rsidRPr="009E6200" w:rsidRDefault="005C6E88" w:rsidP="007B46F5">
            <w:pPr>
              <w:pStyle w:val="SDText"/>
              <w:jc w:val="both"/>
              <w:rPr>
                <w:rFonts w:cs="Times New Roman"/>
                <w:b/>
                <w:sz w:val="16"/>
                <w:szCs w:val="16"/>
                <w:lang w:eastAsia="ru-RU"/>
              </w:rPr>
            </w:pPr>
          </w:p>
        </w:tc>
        <w:tc>
          <w:tcPr>
            <w:tcW w:w="133" w:type="pct"/>
            <w:shd w:val="clear" w:color="auto" w:fill="92D050"/>
            <w:tcMar>
              <w:left w:w="28" w:type="dxa"/>
              <w:right w:w="28" w:type="dxa"/>
            </w:tcMar>
            <w:vAlign w:val="center"/>
          </w:tcPr>
          <w:p w14:paraId="1367176D"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shd w:val="clear" w:color="auto" w:fill="92D050"/>
            <w:tcMar>
              <w:left w:w="28" w:type="dxa"/>
              <w:right w:w="28" w:type="dxa"/>
            </w:tcMar>
            <w:vAlign w:val="center"/>
          </w:tcPr>
          <w:p w14:paraId="74FA747B" w14:textId="77777777" w:rsidR="005C6E88" w:rsidRPr="009E6200" w:rsidRDefault="005C6E88" w:rsidP="007B46F5">
            <w:pPr>
              <w:pStyle w:val="SDText"/>
              <w:jc w:val="both"/>
              <w:rPr>
                <w:rFonts w:cs="Times New Roman"/>
                <w:b/>
                <w:sz w:val="16"/>
                <w:szCs w:val="16"/>
                <w:lang w:eastAsia="ru-RU"/>
              </w:rPr>
            </w:pPr>
          </w:p>
        </w:tc>
        <w:tc>
          <w:tcPr>
            <w:tcW w:w="133" w:type="pct"/>
            <w:shd w:val="clear" w:color="auto" w:fill="92D050"/>
            <w:tcMar>
              <w:left w:w="28" w:type="dxa"/>
              <w:right w:w="28" w:type="dxa"/>
            </w:tcMar>
            <w:vAlign w:val="center"/>
          </w:tcPr>
          <w:p w14:paraId="47538240"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shd w:val="clear" w:color="auto" w:fill="92D050"/>
            <w:tcMar>
              <w:left w:w="28" w:type="dxa"/>
              <w:right w:w="28" w:type="dxa"/>
            </w:tcMar>
            <w:vAlign w:val="center"/>
          </w:tcPr>
          <w:p w14:paraId="69B8BCEB" w14:textId="77777777" w:rsidR="005C6E88" w:rsidRPr="009E6200" w:rsidRDefault="005C6E88" w:rsidP="007B46F5">
            <w:pPr>
              <w:pStyle w:val="SDText"/>
              <w:jc w:val="both"/>
              <w:rPr>
                <w:rFonts w:cs="Times New Roman"/>
                <w:b/>
                <w:sz w:val="16"/>
                <w:szCs w:val="16"/>
                <w:lang w:eastAsia="ru-RU"/>
              </w:rPr>
            </w:pPr>
          </w:p>
        </w:tc>
        <w:tc>
          <w:tcPr>
            <w:tcW w:w="190" w:type="pct"/>
            <w:shd w:val="clear" w:color="auto" w:fill="92D050"/>
            <w:tcMar>
              <w:left w:w="28" w:type="dxa"/>
              <w:right w:w="28" w:type="dxa"/>
            </w:tcMar>
            <w:vAlign w:val="center"/>
          </w:tcPr>
          <w:p w14:paraId="6F34843F"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4CC24EE9"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555A1B62"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7CD9572A"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38F1DAEC"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31686288"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0C98CA3C"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5C931691"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11D5B06A"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4DDD9006"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1" w:type="pct"/>
            <w:vAlign w:val="center"/>
          </w:tcPr>
          <w:p w14:paraId="47EB14E4" w14:textId="77777777" w:rsidR="005C6E88" w:rsidRPr="009E6200" w:rsidRDefault="005C6E88" w:rsidP="007B46F5">
            <w:pPr>
              <w:pStyle w:val="SDText"/>
              <w:jc w:val="both"/>
              <w:rPr>
                <w:rFonts w:cs="Times New Roman"/>
                <w:b/>
                <w:sz w:val="16"/>
                <w:szCs w:val="16"/>
                <w:lang w:eastAsia="ru-RU"/>
              </w:rPr>
            </w:pPr>
          </w:p>
        </w:tc>
        <w:tc>
          <w:tcPr>
            <w:tcW w:w="118" w:type="pct"/>
            <w:tcMar>
              <w:left w:w="28" w:type="dxa"/>
              <w:right w:w="28" w:type="dxa"/>
            </w:tcMar>
            <w:vAlign w:val="center"/>
          </w:tcPr>
          <w:p w14:paraId="208D3916" w14:textId="77777777" w:rsidR="005C6E88" w:rsidRPr="009E6200" w:rsidRDefault="005C6E88" w:rsidP="007B46F5">
            <w:pPr>
              <w:pStyle w:val="SDText"/>
              <w:jc w:val="both"/>
              <w:rPr>
                <w:rFonts w:cs="Times New Roman"/>
                <w:b/>
                <w:sz w:val="16"/>
                <w:szCs w:val="16"/>
                <w:lang w:eastAsia="ru-RU"/>
              </w:rPr>
            </w:pPr>
          </w:p>
        </w:tc>
        <w:tc>
          <w:tcPr>
            <w:tcW w:w="174" w:type="pct"/>
          </w:tcPr>
          <w:p w14:paraId="64D3B4B1" w14:textId="77777777" w:rsidR="005C6E88" w:rsidRPr="009E6200" w:rsidRDefault="005C6E88" w:rsidP="007B46F5">
            <w:pPr>
              <w:pStyle w:val="SDText"/>
              <w:jc w:val="both"/>
              <w:rPr>
                <w:rFonts w:cs="Times New Roman"/>
                <w:b/>
                <w:sz w:val="16"/>
                <w:szCs w:val="16"/>
                <w:lang w:eastAsia="ru-RU"/>
              </w:rPr>
            </w:pPr>
          </w:p>
        </w:tc>
      </w:tr>
      <w:tr w:rsidR="005C6E88" w:rsidRPr="009E6200" w14:paraId="755A298F" w14:textId="77777777" w:rsidTr="00992857">
        <w:trPr>
          <w:cantSplit/>
          <w:trHeight w:val="170"/>
        </w:trPr>
        <w:tc>
          <w:tcPr>
            <w:tcW w:w="1355" w:type="pct"/>
            <w:tcMar>
              <w:left w:w="28" w:type="dxa"/>
              <w:right w:w="28" w:type="dxa"/>
            </w:tcMar>
            <w:vAlign w:val="center"/>
          </w:tcPr>
          <w:p w14:paraId="14A514C4" w14:textId="3918FECC" w:rsidR="005C6E88" w:rsidRPr="009E6200" w:rsidRDefault="005C6E88" w:rsidP="007B46F5">
            <w:pPr>
              <w:pStyle w:val="SDText"/>
              <w:jc w:val="both"/>
              <w:rPr>
                <w:rFonts w:cs="Times New Roman"/>
                <w:sz w:val="16"/>
                <w:szCs w:val="16"/>
                <w:lang w:eastAsia="ru-RU"/>
              </w:rPr>
            </w:pPr>
            <w:r w:rsidRPr="009E6200">
              <w:rPr>
                <w:rFonts w:cs="Times New Roman"/>
                <w:sz w:val="16"/>
                <w:szCs w:val="16"/>
              </w:rPr>
              <w:t>КТ / МРТ</w:t>
            </w:r>
            <w:bookmarkStart w:id="121" w:name="OLE_LINK_Sposka"/>
            <w:r w:rsidRPr="00695820">
              <w:rPr>
                <w:rStyle w:val="FootnoteReference"/>
              </w:rPr>
              <w:footnoteReference w:id="21"/>
            </w:r>
            <w:bookmarkEnd w:id="121"/>
            <w:r w:rsidR="006C66C2">
              <w:rPr>
                <w:rFonts w:cs="Times New Roman"/>
                <w:sz w:val="16"/>
                <w:szCs w:val="16"/>
                <w:vertAlign w:val="superscript"/>
                <w:lang w:val="en-US"/>
              </w:rPr>
              <w:t>/</w:t>
            </w:r>
            <w:r w:rsidR="006C66C2" w:rsidRPr="008C68D8">
              <w:rPr>
                <w:rStyle w:val="FootnoteReference"/>
                <w:rFonts w:cs="Times New Roman"/>
                <w:szCs w:val="24"/>
              </w:rPr>
              <w:footnoteReference w:id="22"/>
            </w:r>
          </w:p>
        </w:tc>
        <w:tc>
          <w:tcPr>
            <w:tcW w:w="278" w:type="pct"/>
            <w:tcMar>
              <w:left w:w="28" w:type="dxa"/>
              <w:right w:w="28" w:type="dxa"/>
            </w:tcMar>
            <w:vAlign w:val="center"/>
          </w:tcPr>
          <w:p w14:paraId="1C1A728E"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400" w:type="pct"/>
            <w:tcMar>
              <w:left w:w="28" w:type="dxa"/>
              <w:right w:w="28" w:type="dxa"/>
            </w:tcMar>
            <w:vAlign w:val="center"/>
          </w:tcPr>
          <w:p w14:paraId="3DA972C6"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28A4F0D2"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5AB7686D" w14:textId="29238B66" w:rsidR="005C6E88" w:rsidRPr="008C68D8" w:rsidRDefault="005C6E88" w:rsidP="007B46F5">
            <w:pPr>
              <w:pStyle w:val="SDText"/>
              <w:jc w:val="both"/>
              <w:rPr>
                <w:rFonts w:cs="Times New Roman"/>
                <w:b/>
                <w:sz w:val="16"/>
                <w:szCs w:val="16"/>
                <w:vertAlign w:val="superscript"/>
                <w:lang w:val="en-US" w:eastAsia="ru-RU"/>
              </w:rPr>
            </w:pPr>
            <w:r w:rsidRPr="009E6200">
              <w:rPr>
                <w:rFonts w:cs="Times New Roman"/>
                <w:b/>
                <w:sz w:val="16"/>
                <w:szCs w:val="16"/>
                <w:lang w:eastAsia="ru-RU"/>
              </w:rPr>
              <w:t>●</w:t>
            </w:r>
            <w:r w:rsidR="006C66C2">
              <w:rPr>
                <w:rFonts w:cs="Times New Roman"/>
                <w:b/>
                <w:sz w:val="16"/>
                <w:szCs w:val="16"/>
                <w:vertAlign w:val="superscript"/>
                <w:lang w:val="en-US" w:eastAsia="ru-RU"/>
              </w:rPr>
              <w:t>20</w:t>
            </w:r>
          </w:p>
        </w:tc>
        <w:tc>
          <w:tcPr>
            <w:tcW w:w="133" w:type="pct"/>
            <w:tcMar>
              <w:left w:w="28" w:type="dxa"/>
              <w:right w:w="28" w:type="dxa"/>
            </w:tcMar>
            <w:vAlign w:val="center"/>
          </w:tcPr>
          <w:p w14:paraId="492E0A05"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0643354A" w14:textId="38BD7CC1" w:rsidR="005C6E88" w:rsidRPr="009E6200" w:rsidRDefault="006C66C2" w:rsidP="007B46F5">
            <w:pPr>
              <w:pStyle w:val="SDText"/>
              <w:jc w:val="both"/>
              <w:rPr>
                <w:rFonts w:cs="Times New Roman"/>
                <w:b/>
                <w:sz w:val="16"/>
                <w:szCs w:val="16"/>
                <w:lang w:eastAsia="ru-RU"/>
              </w:rPr>
            </w:pPr>
            <w:r w:rsidRPr="009E6200">
              <w:rPr>
                <w:rFonts w:cs="Times New Roman"/>
                <w:b/>
                <w:sz w:val="16"/>
                <w:szCs w:val="16"/>
                <w:lang w:eastAsia="ru-RU"/>
              </w:rPr>
              <w:t>●</w:t>
            </w:r>
            <w:r>
              <w:rPr>
                <w:rFonts w:cs="Times New Roman"/>
                <w:b/>
                <w:sz w:val="16"/>
                <w:szCs w:val="16"/>
                <w:vertAlign w:val="superscript"/>
                <w:lang w:val="en-US" w:eastAsia="ru-RU"/>
              </w:rPr>
              <w:t>20</w:t>
            </w:r>
          </w:p>
        </w:tc>
        <w:tc>
          <w:tcPr>
            <w:tcW w:w="133" w:type="pct"/>
            <w:tcMar>
              <w:left w:w="28" w:type="dxa"/>
              <w:right w:w="28" w:type="dxa"/>
            </w:tcMar>
            <w:vAlign w:val="center"/>
          </w:tcPr>
          <w:p w14:paraId="5B6018B2"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10A04314" w14:textId="5806EAF6" w:rsidR="005C6E88" w:rsidRPr="009E6200" w:rsidRDefault="006C66C2" w:rsidP="007B46F5">
            <w:pPr>
              <w:pStyle w:val="SDText"/>
              <w:jc w:val="both"/>
              <w:rPr>
                <w:rFonts w:cs="Times New Roman"/>
                <w:b/>
                <w:sz w:val="16"/>
                <w:szCs w:val="16"/>
                <w:lang w:eastAsia="ru-RU"/>
              </w:rPr>
            </w:pPr>
            <w:r w:rsidRPr="009E6200">
              <w:rPr>
                <w:rFonts w:cs="Times New Roman"/>
                <w:b/>
                <w:sz w:val="16"/>
                <w:szCs w:val="16"/>
                <w:lang w:eastAsia="ru-RU"/>
              </w:rPr>
              <w:t>●</w:t>
            </w:r>
            <w:r>
              <w:rPr>
                <w:rFonts w:cs="Times New Roman"/>
                <w:b/>
                <w:sz w:val="16"/>
                <w:szCs w:val="16"/>
                <w:vertAlign w:val="superscript"/>
                <w:lang w:val="en-US" w:eastAsia="ru-RU"/>
              </w:rPr>
              <w:t>20</w:t>
            </w:r>
          </w:p>
        </w:tc>
        <w:tc>
          <w:tcPr>
            <w:tcW w:w="133" w:type="pct"/>
            <w:tcMar>
              <w:left w:w="28" w:type="dxa"/>
              <w:right w:w="28" w:type="dxa"/>
            </w:tcMar>
            <w:vAlign w:val="center"/>
          </w:tcPr>
          <w:p w14:paraId="6F3A04A5"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1FD1187E" w14:textId="5CBD0D23" w:rsidR="005C6E88" w:rsidRPr="009E6200" w:rsidRDefault="006C66C2" w:rsidP="007B46F5">
            <w:pPr>
              <w:pStyle w:val="SDText"/>
              <w:jc w:val="both"/>
              <w:rPr>
                <w:rFonts w:cs="Times New Roman"/>
                <w:b/>
                <w:sz w:val="16"/>
                <w:szCs w:val="16"/>
                <w:lang w:eastAsia="ru-RU"/>
              </w:rPr>
            </w:pPr>
            <w:r w:rsidRPr="009E6200">
              <w:rPr>
                <w:rFonts w:cs="Times New Roman"/>
                <w:b/>
                <w:sz w:val="16"/>
                <w:szCs w:val="16"/>
                <w:lang w:eastAsia="ru-RU"/>
              </w:rPr>
              <w:t>●</w:t>
            </w:r>
            <w:r>
              <w:rPr>
                <w:rFonts w:cs="Times New Roman"/>
                <w:b/>
                <w:sz w:val="16"/>
                <w:szCs w:val="16"/>
                <w:vertAlign w:val="superscript"/>
                <w:lang w:val="en-US" w:eastAsia="ru-RU"/>
              </w:rPr>
              <w:t>20</w:t>
            </w:r>
          </w:p>
        </w:tc>
        <w:tc>
          <w:tcPr>
            <w:tcW w:w="133" w:type="pct"/>
            <w:tcMar>
              <w:left w:w="28" w:type="dxa"/>
              <w:right w:w="28" w:type="dxa"/>
            </w:tcMar>
            <w:vAlign w:val="center"/>
          </w:tcPr>
          <w:p w14:paraId="33A558A4"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69464E43"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49355381" w14:textId="012E7C3F" w:rsidR="005C6E88" w:rsidRPr="009E6200" w:rsidRDefault="006C66C2" w:rsidP="007B46F5">
            <w:pPr>
              <w:pStyle w:val="SDText"/>
              <w:jc w:val="both"/>
              <w:rPr>
                <w:rFonts w:cs="Times New Roman"/>
                <w:b/>
                <w:sz w:val="16"/>
                <w:szCs w:val="16"/>
                <w:lang w:eastAsia="ru-RU"/>
              </w:rPr>
            </w:pPr>
            <w:r w:rsidRPr="009E6200">
              <w:rPr>
                <w:rFonts w:cs="Times New Roman"/>
                <w:b/>
                <w:sz w:val="16"/>
                <w:szCs w:val="16"/>
                <w:lang w:eastAsia="ru-RU"/>
              </w:rPr>
              <w:t>●</w:t>
            </w:r>
            <w:r>
              <w:rPr>
                <w:rFonts w:cs="Times New Roman"/>
                <w:b/>
                <w:sz w:val="16"/>
                <w:szCs w:val="16"/>
                <w:vertAlign w:val="superscript"/>
                <w:lang w:val="en-US" w:eastAsia="ru-RU"/>
              </w:rPr>
              <w:t>20</w:t>
            </w:r>
          </w:p>
        </w:tc>
        <w:tc>
          <w:tcPr>
            <w:tcW w:w="133" w:type="pct"/>
            <w:tcMar>
              <w:left w:w="28" w:type="dxa"/>
              <w:right w:w="28" w:type="dxa"/>
            </w:tcMar>
            <w:vAlign w:val="center"/>
          </w:tcPr>
          <w:p w14:paraId="1DD15CAC"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03DD000A"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50573308" w14:textId="606C280B" w:rsidR="005C6E88" w:rsidRPr="009E6200" w:rsidRDefault="006C66C2" w:rsidP="007B46F5">
            <w:pPr>
              <w:pStyle w:val="SDText"/>
              <w:jc w:val="both"/>
              <w:rPr>
                <w:rFonts w:cs="Times New Roman"/>
                <w:b/>
                <w:sz w:val="16"/>
                <w:szCs w:val="16"/>
                <w:lang w:eastAsia="ru-RU"/>
              </w:rPr>
            </w:pPr>
            <w:r w:rsidRPr="009E6200">
              <w:rPr>
                <w:rFonts w:cs="Times New Roman"/>
                <w:b/>
                <w:sz w:val="16"/>
                <w:szCs w:val="16"/>
                <w:lang w:eastAsia="ru-RU"/>
              </w:rPr>
              <w:t>●</w:t>
            </w:r>
            <w:r>
              <w:rPr>
                <w:rFonts w:cs="Times New Roman"/>
                <w:b/>
                <w:sz w:val="16"/>
                <w:szCs w:val="16"/>
                <w:vertAlign w:val="superscript"/>
                <w:lang w:val="en-US" w:eastAsia="ru-RU"/>
              </w:rPr>
              <w:t>20</w:t>
            </w:r>
          </w:p>
        </w:tc>
        <w:tc>
          <w:tcPr>
            <w:tcW w:w="133" w:type="pct"/>
            <w:tcMar>
              <w:left w:w="28" w:type="dxa"/>
              <w:right w:w="28" w:type="dxa"/>
            </w:tcMar>
            <w:vAlign w:val="center"/>
          </w:tcPr>
          <w:p w14:paraId="3C4DAAF9"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0AA4EFF9"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7496CAF1" w14:textId="1C89C07B" w:rsidR="005C6E88" w:rsidRPr="009E6200" w:rsidRDefault="006C66C2" w:rsidP="007B46F5">
            <w:pPr>
              <w:pStyle w:val="SDText"/>
              <w:jc w:val="both"/>
              <w:rPr>
                <w:rFonts w:cs="Times New Roman"/>
                <w:b/>
                <w:sz w:val="16"/>
                <w:szCs w:val="16"/>
                <w:lang w:eastAsia="ru-RU"/>
              </w:rPr>
            </w:pPr>
            <w:r w:rsidRPr="009E6200">
              <w:rPr>
                <w:rFonts w:cs="Times New Roman"/>
                <w:b/>
                <w:sz w:val="16"/>
                <w:szCs w:val="16"/>
                <w:lang w:eastAsia="ru-RU"/>
              </w:rPr>
              <w:t>●</w:t>
            </w:r>
            <w:r>
              <w:rPr>
                <w:rFonts w:cs="Times New Roman"/>
                <w:b/>
                <w:sz w:val="16"/>
                <w:szCs w:val="16"/>
                <w:vertAlign w:val="superscript"/>
                <w:lang w:val="en-US" w:eastAsia="ru-RU"/>
              </w:rPr>
              <w:t>20</w:t>
            </w:r>
          </w:p>
        </w:tc>
        <w:tc>
          <w:tcPr>
            <w:tcW w:w="191" w:type="pct"/>
            <w:vAlign w:val="center"/>
          </w:tcPr>
          <w:p w14:paraId="57F47530" w14:textId="77777777" w:rsidR="005C6E88" w:rsidRPr="009E6200" w:rsidRDefault="005C6E88" w:rsidP="007B46F5">
            <w:pPr>
              <w:pStyle w:val="SDText"/>
              <w:jc w:val="both"/>
              <w:rPr>
                <w:rFonts w:cs="Times New Roman"/>
                <w:b/>
                <w:sz w:val="16"/>
                <w:szCs w:val="16"/>
                <w:lang w:eastAsia="ru-RU"/>
              </w:rPr>
            </w:pPr>
          </w:p>
        </w:tc>
        <w:tc>
          <w:tcPr>
            <w:tcW w:w="118" w:type="pct"/>
            <w:tcMar>
              <w:left w:w="28" w:type="dxa"/>
              <w:right w:w="28" w:type="dxa"/>
            </w:tcMar>
            <w:vAlign w:val="center"/>
          </w:tcPr>
          <w:p w14:paraId="5840932B" w14:textId="77777777" w:rsidR="005C6E88" w:rsidRPr="009E6200" w:rsidRDefault="005C6E88" w:rsidP="007B46F5">
            <w:pPr>
              <w:pStyle w:val="SDText"/>
              <w:jc w:val="both"/>
              <w:rPr>
                <w:rFonts w:cs="Times New Roman"/>
                <w:b/>
                <w:sz w:val="16"/>
                <w:szCs w:val="16"/>
                <w:lang w:eastAsia="ru-RU"/>
              </w:rPr>
            </w:pPr>
          </w:p>
        </w:tc>
        <w:tc>
          <w:tcPr>
            <w:tcW w:w="174" w:type="pct"/>
          </w:tcPr>
          <w:p w14:paraId="405AC591" w14:textId="77777777" w:rsidR="005C6E88" w:rsidRPr="009E6200" w:rsidRDefault="005C6E88" w:rsidP="007B46F5">
            <w:pPr>
              <w:pStyle w:val="SDText"/>
              <w:jc w:val="both"/>
              <w:rPr>
                <w:rFonts w:cs="Times New Roman"/>
                <w:b/>
                <w:sz w:val="16"/>
                <w:szCs w:val="16"/>
                <w:lang w:eastAsia="ru-RU"/>
              </w:rPr>
            </w:pPr>
          </w:p>
        </w:tc>
      </w:tr>
      <w:tr w:rsidR="005C6E88" w:rsidRPr="009E6200" w14:paraId="41016517" w14:textId="77777777" w:rsidTr="00992857">
        <w:trPr>
          <w:cantSplit/>
          <w:trHeight w:val="170"/>
        </w:trPr>
        <w:tc>
          <w:tcPr>
            <w:tcW w:w="1355" w:type="pct"/>
            <w:tcMar>
              <w:left w:w="28" w:type="dxa"/>
              <w:right w:w="28" w:type="dxa"/>
            </w:tcMar>
            <w:vAlign w:val="center"/>
          </w:tcPr>
          <w:p w14:paraId="1EF943A5" w14:textId="611A7B1B"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Оценка НЯ и СНЯ</w:t>
            </w:r>
            <w:r w:rsidR="00217789">
              <w:rPr>
                <w:rStyle w:val="FootnoteReference"/>
                <w:rFonts w:cs="Times New Roman"/>
                <w:sz w:val="16"/>
                <w:szCs w:val="16"/>
                <w:lang w:eastAsia="ru-RU"/>
              </w:rPr>
              <w:footnoteReference w:id="23"/>
            </w:r>
          </w:p>
        </w:tc>
        <w:tc>
          <w:tcPr>
            <w:tcW w:w="278" w:type="pct"/>
            <w:tcMar>
              <w:left w:w="28" w:type="dxa"/>
              <w:right w:w="28" w:type="dxa"/>
            </w:tcMar>
            <w:vAlign w:val="center"/>
          </w:tcPr>
          <w:p w14:paraId="5BA4CB9C"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r w:rsidRPr="001D206A">
              <w:rPr>
                <w:rStyle w:val="FootnoteReference"/>
                <w:sz w:val="20"/>
                <w:szCs w:val="20"/>
              </w:rPr>
              <w:footnoteReference w:id="24"/>
            </w:r>
          </w:p>
        </w:tc>
        <w:tc>
          <w:tcPr>
            <w:tcW w:w="400" w:type="pct"/>
            <w:tcMar>
              <w:left w:w="28" w:type="dxa"/>
              <w:right w:w="28" w:type="dxa"/>
            </w:tcMar>
            <w:vAlign w:val="center"/>
          </w:tcPr>
          <w:p w14:paraId="5C240220"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6C727963"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7EA7BD27"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04107A7B"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07377729"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75E31564"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23B891B2"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7ABA1095"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0" w:type="pct"/>
            <w:tcMar>
              <w:left w:w="28" w:type="dxa"/>
              <w:right w:w="28" w:type="dxa"/>
            </w:tcMar>
            <w:vAlign w:val="center"/>
          </w:tcPr>
          <w:p w14:paraId="4F1B29CD"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601F791C"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327606A2"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0" w:type="pct"/>
            <w:tcMar>
              <w:left w:w="28" w:type="dxa"/>
              <w:right w:w="28" w:type="dxa"/>
            </w:tcMar>
            <w:vAlign w:val="center"/>
          </w:tcPr>
          <w:p w14:paraId="74E9380F"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32189508"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741A17DD"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0" w:type="pct"/>
            <w:tcMar>
              <w:left w:w="28" w:type="dxa"/>
              <w:right w:w="28" w:type="dxa"/>
            </w:tcMar>
            <w:vAlign w:val="center"/>
          </w:tcPr>
          <w:p w14:paraId="28126FD3"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6658B2EA"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73D49CDC"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0" w:type="pct"/>
            <w:tcMar>
              <w:left w:w="28" w:type="dxa"/>
              <w:right w:w="28" w:type="dxa"/>
            </w:tcMar>
            <w:vAlign w:val="center"/>
          </w:tcPr>
          <w:p w14:paraId="3E92ACAB"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1" w:type="pct"/>
            <w:vAlign w:val="center"/>
          </w:tcPr>
          <w:p w14:paraId="1BF6E2A2"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18" w:type="pct"/>
            <w:tcMar>
              <w:left w:w="28" w:type="dxa"/>
              <w:right w:w="28" w:type="dxa"/>
            </w:tcMar>
            <w:vAlign w:val="center"/>
          </w:tcPr>
          <w:p w14:paraId="69611167"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74" w:type="pct"/>
          </w:tcPr>
          <w:p w14:paraId="4BE5913B"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r>
      <w:tr w:rsidR="005C6E88" w:rsidRPr="009E6200" w14:paraId="170407D9" w14:textId="77777777" w:rsidTr="00992857">
        <w:trPr>
          <w:cantSplit/>
          <w:trHeight w:val="170"/>
        </w:trPr>
        <w:tc>
          <w:tcPr>
            <w:tcW w:w="1355" w:type="pct"/>
            <w:tcMar>
              <w:left w:w="28" w:type="dxa"/>
              <w:right w:w="28" w:type="dxa"/>
            </w:tcMar>
            <w:vAlign w:val="center"/>
          </w:tcPr>
          <w:p w14:paraId="6D900955"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Рандомизация</w:t>
            </w:r>
          </w:p>
        </w:tc>
        <w:tc>
          <w:tcPr>
            <w:tcW w:w="278" w:type="pct"/>
            <w:tcMar>
              <w:left w:w="28" w:type="dxa"/>
              <w:right w:w="28" w:type="dxa"/>
            </w:tcMar>
            <w:vAlign w:val="center"/>
          </w:tcPr>
          <w:p w14:paraId="49C2E3E3" w14:textId="77777777" w:rsidR="005C6E88" w:rsidRPr="009E6200" w:rsidRDefault="005C6E88" w:rsidP="007B46F5">
            <w:pPr>
              <w:pStyle w:val="SDText"/>
              <w:jc w:val="both"/>
              <w:rPr>
                <w:rFonts w:cs="Times New Roman"/>
                <w:b/>
                <w:sz w:val="16"/>
                <w:szCs w:val="16"/>
                <w:lang w:eastAsia="ru-RU"/>
              </w:rPr>
            </w:pPr>
          </w:p>
        </w:tc>
        <w:tc>
          <w:tcPr>
            <w:tcW w:w="400" w:type="pct"/>
            <w:tcMar>
              <w:left w:w="28" w:type="dxa"/>
              <w:right w:w="28" w:type="dxa"/>
            </w:tcMar>
            <w:vAlign w:val="center"/>
          </w:tcPr>
          <w:p w14:paraId="54AD456B"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164CFE6D"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22C96C4C"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244C6B24"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22B6FB27"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60CDCE0C"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52669C1E"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45800B1B"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5C36ED57"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423BF6FA"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117E9C88"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4147BA5D"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77C55B06"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6941DBD4"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1E9B4E87"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472043D8"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3BD79527"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5881D148" w14:textId="77777777" w:rsidR="005C6E88" w:rsidRPr="009E6200" w:rsidRDefault="005C6E88" w:rsidP="007B46F5">
            <w:pPr>
              <w:pStyle w:val="SDText"/>
              <w:jc w:val="both"/>
              <w:rPr>
                <w:rFonts w:cs="Times New Roman"/>
                <w:b/>
                <w:sz w:val="16"/>
                <w:szCs w:val="16"/>
                <w:lang w:eastAsia="ru-RU"/>
              </w:rPr>
            </w:pPr>
          </w:p>
        </w:tc>
        <w:tc>
          <w:tcPr>
            <w:tcW w:w="191" w:type="pct"/>
            <w:vAlign w:val="center"/>
          </w:tcPr>
          <w:p w14:paraId="0746A860" w14:textId="77777777" w:rsidR="005C6E88" w:rsidRPr="009E6200" w:rsidRDefault="005C6E88" w:rsidP="007B46F5">
            <w:pPr>
              <w:pStyle w:val="SDText"/>
              <w:jc w:val="both"/>
              <w:rPr>
                <w:rFonts w:cs="Times New Roman"/>
                <w:b/>
                <w:sz w:val="16"/>
                <w:szCs w:val="16"/>
                <w:lang w:eastAsia="ru-RU"/>
              </w:rPr>
            </w:pPr>
          </w:p>
        </w:tc>
        <w:tc>
          <w:tcPr>
            <w:tcW w:w="118" w:type="pct"/>
            <w:tcMar>
              <w:left w:w="28" w:type="dxa"/>
              <w:right w:w="28" w:type="dxa"/>
            </w:tcMar>
            <w:vAlign w:val="center"/>
          </w:tcPr>
          <w:p w14:paraId="3CB62FF6" w14:textId="77777777" w:rsidR="005C6E88" w:rsidRPr="009E6200" w:rsidRDefault="005C6E88" w:rsidP="007B46F5">
            <w:pPr>
              <w:pStyle w:val="SDText"/>
              <w:jc w:val="both"/>
              <w:rPr>
                <w:rFonts w:cs="Times New Roman"/>
                <w:b/>
                <w:sz w:val="16"/>
                <w:szCs w:val="16"/>
                <w:lang w:eastAsia="ru-RU"/>
              </w:rPr>
            </w:pPr>
          </w:p>
        </w:tc>
        <w:tc>
          <w:tcPr>
            <w:tcW w:w="174" w:type="pct"/>
          </w:tcPr>
          <w:p w14:paraId="345AB5FA" w14:textId="77777777" w:rsidR="005C6E88" w:rsidRPr="009E6200" w:rsidRDefault="005C6E88" w:rsidP="007B46F5">
            <w:pPr>
              <w:pStyle w:val="SDText"/>
              <w:jc w:val="both"/>
              <w:rPr>
                <w:rFonts w:cs="Times New Roman"/>
                <w:b/>
                <w:sz w:val="16"/>
                <w:szCs w:val="16"/>
                <w:lang w:eastAsia="ru-RU"/>
              </w:rPr>
            </w:pPr>
          </w:p>
        </w:tc>
      </w:tr>
      <w:tr w:rsidR="005C6E88" w:rsidRPr="009E6200" w14:paraId="148681CE" w14:textId="77777777" w:rsidTr="00992857">
        <w:trPr>
          <w:cantSplit/>
          <w:trHeight w:val="170"/>
        </w:trPr>
        <w:tc>
          <w:tcPr>
            <w:tcW w:w="1355" w:type="pct"/>
            <w:tcMar>
              <w:left w:w="28" w:type="dxa"/>
              <w:right w:w="28" w:type="dxa"/>
            </w:tcMar>
            <w:vAlign w:val="center"/>
          </w:tcPr>
          <w:p w14:paraId="10ADC303"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Внутривенное введение бевацизумаба</w:t>
            </w:r>
          </w:p>
        </w:tc>
        <w:tc>
          <w:tcPr>
            <w:tcW w:w="278" w:type="pct"/>
            <w:tcMar>
              <w:left w:w="28" w:type="dxa"/>
              <w:right w:w="28" w:type="dxa"/>
            </w:tcMar>
            <w:vAlign w:val="center"/>
          </w:tcPr>
          <w:p w14:paraId="751EFFE3" w14:textId="77777777" w:rsidR="005C6E88" w:rsidRPr="009E6200" w:rsidRDefault="005C6E88" w:rsidP="007B46F5">
            <w:pPr>
              <w:pStyle w:val="SDText"/>
              <w:jc w:val="both"/>
              <w:rPr>
                <w:rFonts w:cs="Times New Roman"/>
                <w:b/>
                <w:sz w:val="16"/>
                <w:szCs w:val="16"/>
                <w:lang w:eastAsia="ru-RU"/>
              </w:rPr>
            </w:pPr>
          </w:p>
        </w:tc>
        <w:tc>
          <w:tcPr>
            <w:tcW w:w="400" w:type="pct"/>
            <w:tcMar>
              <w:left w:w="28" w:type="dxa"/>
              <w:right w:w="28" w:type="dxa"/>
            </w:tcMar>
            <w:vAlign w:val="center"/>
          </w:tcPr>
          <w:p w14:paraId="414B9157" w14:textId="77777777" w:rsidR="005C6E88" w:rsidRPr="009E6200" w:rsidRDefault="005C6E88" w:rsidP="007B46F5">
            <w:pPr>
              <w:pStyle w:val="SDText"/>
              <w:jc w:val="both"/>
              <w:rPr>
                <w:rFonts w:cs="Times New Roman"/>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0B138369" w14:textId="77777777" w:rsidR="005C6E88" w:rsidRPr="009E6200" w:rsidRDefault="005C6E88" w:rsidP="007B46F5">
            <w:pPr>
              <w:pStyle w:val="SDText"/>
              <w:jc w:val="both"/>
              <w:rPr>
                <w:rFonts w:cs="Times New Roman"/>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06A50D98" w14:textId="77777777" w:rsidR="005C6E88" w:rsidRPr="009E6200" w:rsidRDefault="005C6E88" w:rsidP="007B46F5">
            <w:pPr>
              <w:pStyle w:val="SDText"/>
              <w:jc w:val="both"/>
              <w:rPr>
                <w:rFonts w:cs="Times New Roman"/>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05072769" w14:textId="77777777" w:rsidR="005C6E88" w:rsidRPr="009E6200" w:rsidRDefault="005C6E88" w:rsidP="007B46F5">
            <w:pPr>
              <w:pStyle w:val="SDText"/>
              <w:jc w:val="both"/>
              <w:rPr>
                <w:rFonts w:cs="Times New Roman"/>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7E7F9A8B" w14:textId="77777777" w:rsidR="005C6E88" w:rsidRPr="009E6200" w:rsidRDefault="005C6E88" w:rsidP="007B46F5">
            <w:pPr>
              <w:pStyle w:val="SDText"/>
              <w:jc w:val="both"/>
              <w:rPr>
                <w:rFonts w:cs="Times New Roman"/>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0058B791" w14:textId="77777777" w:rsidR="005C6E88" w:rsidRPr="009E6200" w:rsidRDefault="005C6E88" w:rsidP="007B46F5">
            <w:pPr>
              <w:pStyle w:val="SDText"/>
              <w:jc w:val="both"/>
              <w:rPr>
                <w:rFonts w:cs="Times New Roman"/>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6686ECE5" w14:textId="77777777" w:rsidR="005C6E88" w:rsidRPr="009E6200" w:rsidRDefault="005C6E88" w:rsidP="007B46F5">
            <w:pPr>
              <w:pStyle w:val="SDText"/>
              <w:jc w:val="both"/>
              <w:rPr>
                <w:rFonts w:cs="Times New Roman"/>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613B0860" w14:textId="77777777" w:rsidR="005C6E88" w:rsidRPr="009E6200" w:rsidRDefault="005C6E88" w:rsidP="007B46F5">
            <w:pPr>
              <w:pStyle w:val="SDText"/>
              <w:jc w:val="both"/>
              <w:rPr>
                <w:rFonts w:cs="Times New Roman"/>
                <w:sz w:val="16"/>
                <w:szCs w:val="16"/>
                <w:lang w:eastAsia="ru-RU"/>
              </w:rPr>
            </w:pPr>
            <w:r w:rsidRPr="009E6200">
              <w:rPr>
                <w:rFonts w:cs="Times New Roman"/>
                <w:b/>
                <w:sz w:val="16"/>
                <w:szCs w:val="16"/>
                <w:lang w:eastAsia="ru-RU"/>
              </w:rPr>
              <w:t>●</w:t>
            </w:r>
          </w:p>
        </w:tc>
        <w:tc>
          <w:tcPr>
            <w:tcW w:w="190" w:type="pct"/>
            <w:tcMar>
              <w:left w:w="28" w:type="dxa"/>
              <w:right w:w="28" w:type="dxa"/>
            </w:tcMar>
            <w:vAlign w:val="center"/>
          </w:tcPr>
          <w:p w14:paraId="30BD246A" w14:textId="77777777" w:rsidR="005C6E88" w:rsidRPr="009E6200" w:rsidRDefault="005C6E88" w:rsidP="007B46F5">
            <w:pPr>
              <w:pStyle w:val="SDText"/>
              <w:jc w:val="both"/>
              <w:rPr>
                <w:rFonts w:cs="Times New Roman"/>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632AD2AB" w14:textId="77777777" w:rsidR="005C6E88" w:rsidRPr="009E6200" w:rsidRDefault="005C6E88" w:rsidP="007B46F5">
            <w:pPr>
              <w:pStyle w:val="SDText"/>
              <w:jc w:val="both"/>
              <w:rPr>
                <w:rFonts w:cs="Times New Roman"/>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7CE0D3FE" w14:textId="77777777" w:rsidR="005C6E88" w:rsidRPr="009E6200" w:rsidRDefault="005C6E88" w:rsidP="007B46F5">
            <w:pPr>
              <w:pStyle w:val="SDText"/>
              <w:jc w:val="both"/>
              <w:rPr>
                <w:rFonts w:cs="Times New Roman"/>
                <w:sz w:val="16"/>
                <w:szCs w:val="16"/>
                <w:lang w:eastAsia="ru-RU"/>
              </w:rPr>
            </w:pPr>
            <w:r w:rsidRPr="009E6200">
              <w:rPr>
                <w:rFonts w:cs="Times New Roman"/>
                <w:b/>
                <w:sz w:val="16"/>
                <w:szCs w:val="16"/>
                <w:lang w:eastAsia="ru-RU"/>
              </w:rPr>
              <w:t>●</w:t>
            </w:r>
          </w:p>
        </w:tc>
        <w:tc>
          <w:tcPr>
            <w:tcW w:w="190" w:type="pct"/>
            <w:tcMar>
              <w:left w:w="28" w:type="dxa"/>
              <w:right w:w="28" w:type="dxa"/>
            </w:tcMar>
            <w:vAlign w:val="center"/>
          </w:tcPr>
          <w:p w14:paraId="5831AA5D" w14:textId="77777777" w:rsidR="005C6E88" w:rsidRPr="009E6200" w:rsidRDefault="005C6E88" w:rsidP="007B46F5">
            <w:pPr>
              <w:pStyle w:val="SDText"/>
              <w:jc w:val="both"/>
              <w:rPr>
                <w:rFonts w:cs="Times New Roman"/>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04618BA1" w14:textId="77777777" w:rsidR="005C6E88" w:rsidRPr="009E6200" w:rsidRDefault="005C6E88" w:rsidP="007B46F5">
            <w:pPr>
              <w:pStyle w:val="SDText"/>
              <w:jc w:val="both"/>
              <w:rPr>
                <w:rFonts w:cs="Times New Roman"/>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2D364ACC" w14:textId="77777777" w:rsidR="005C6E88" w:rsidRPr="009E6200" w:rsidRDefault="005C6E88" w:rsidP="007B46F5">
            <w:pPr>
              <w:pStyle w:val="SDText"/>
              <w:jc w:val="both"/>
              <w:rPr>
                <w:rFonts w:cs="Times New Roman"/>
                <w:sz w:val="16"/>
                <w:szCs w:val="16"/>
                <w:lang w:eastAsia="ru-RU"/>
              </w:rPr>
            </w:pPr>
            <w:r w:rsidRPr="009E6200">
              <w:rPr>
                <w:rFonts w:cs="Times New Roman"/>
                <w:b/>
                <w:sz w:val="16"/>
                <w:szCs w:val="16"/>
                <w:lang w:eastAsia="ru-RU"/>
              </w:rPr>
              <w:t>●</w:t>
            </w:r>
          </w:p>
        </w:tc>
        <w:tc>
          <w:tcPr>
            <w:tcW w:w="190" w:type="pct"/>
            <w:tcMar>
              <w:left w:w="28" w:type="dxa"/>
              <w:right w:w="28" w:type="dxa"/>
            </w:tcMar>
            <w:vAlign w:val="center"/>
          </w:tcPr>
          <w:p w14:paraId="16E04D80" w14:textId="77777777" w:rsidR="005C6E88" w:rsidRPr="009E6200" w:rsidRDefault="005C6E88" w:rsidP="007B46F5">
            <w:pPr>
              <w:pStyle w:val="SDText"/>
              <w:jc w:val="both"/>
              <w:rPr>
                <w:rFonts w:cs="Times New Roman"/>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3609F5BA" w14:textId="77777777" w:rsidR="005C6E88" w:rsidRPr="009E6200" w:rsidRDefault="005C6E88" w:rsidP="007B46F5">
            <w:pPr>
              <w:pStyle w:val="SDText"/>
              <w:jc w:val="both"/>
              <w:rPr>
                <w:rFonts w:cs="Times New Roman"/>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3724AC53" w14:textId="77777777" w:rsidR="005C6E88" w:rsidRPr="009E6200" w:rsidRDefault="005C6E88" w:rsidP="007B46F5">
            <w:pPr>
              <w:pStyle w:val="SDText"/>
              <w:jc w:val="both"/>
              <w:rPr>
                <w:rFonts w:cs="Times New Roman"/>
                <w:sz w:val="16"/>
                <w:szCs w:val="16"/>
                <w:lang w:eastAsia="ru-RU"/>
              </w:rPr>
            </w:pPr>
            <w:r w:rsidRPr="009E6200">
              <w:rPr>
                <w:rFonts w:cs="Times New Roman"/>
                <w:b/>
                <w:sz w:val="16"/>
                <w:szCs w:val="16"/>
                <w:lang w:eastAsia="ru-RU"/>
              </w:rPr>
              <w:t>●</w:t>
            </w:r>
          </w:p>
        </w:tc>
        <w:tc>
          <w:tcPr>
            <w:tcW w:w="190" w:type="pct"/>
            <w:tcMar>
              <w:left w:w="28" w:type="dxa"/>
              <w:right w:w="28" w:type="dxa"/>
            </w:tcMar>
            <w:vAlign w:val="center"/>
          </w:tcPr>
          <w:p w14:paraId="14F3B822" w14:textId="77777777" w:rsidR="005C6E88" w:rsidRPr="009E6200" w:rsidRDefault="005C6E88" w:rsidP="007B46F5">
            <w:pPr>
              <w:pStyle w:val="SDText"/>
              <w:jc w:val="both"/>
              <w:rPr>
                <w:rFonts w:cs="Times New Roman"/>
                <w:sz w:val="16"/>
                <w:szCs w:val="16"/>
                <w:lang w:eastAsia="ru-RU"/>
              </w:rPr>
            </w:pPr>
            <w:r w:rsidRPr="009E6200">
              <w:rPr>
                <w:rFonts w:cs="Times New Roman"/>
                <w:b/>
                <w:sz w:val="16"/>
                <w:szCs w:val="16"/>
                <w:lang w:eastAsia="ru-RU"/>
              </w:rPr>
              <w:t>●</w:t>
            </w:r>
          </w:p>
        </w:tc>
        <w:tc>
          <w:tcPr>
            <w:tcW w:w="191" w:type="pct"/>
            <w:vAlign w:val="center"/>
          </w:tcPr>
          <w:p w14:paraId="64EBAADE"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18" w:type="pct"/>
            <w:tcMar>
              <w:left w:w="28" w:type="dxa"/>
              <w:right w:w="28" w:type="dxa"/>
            </w:tcMar>
            <w:vAlign w:val="center"/>
          </w:tcPr>
          <w:p w14:paraId="40070188" w14:textId="77777777" w:rsidR="005C6E88" w:rsidRPr="009E6200" w:rsidRDefault="005C6E88" w:rsidP="007B46F5">
            <w:pPr>
              <w:pStyle w:val="SDText"/>
              <w:jc w:val="both"/>
              <w:rPr>
                <w:rFonts w:cs="Times New Roman"/>
                <w:b/>
                <w:sz w:val="16"/>
                <w:szCs w:val="16"/>
                <w:lang w:eastAsia="ru-RU"/>
              </w:rPr>
            </w:pPr>
          </w:p>
        </w:tc>
        <w:tc>
          <w:tcPr>
            <w:tcW w:w="174" w:type="pct"/>
          </w:tcPr>
          <w:p w14:paraId="67D2940C" w14:textId="77777777" w:rsidR="005C6E88" w:rsidRPr="009E6200" w:rsidRDefault="005C6E88" w:rsidP="007B46F5">
            <w:pPr>
              <w:pStyle w:val="SDText"/>
              <w:jc w:val="both"/>
              <w:rPr>
                <w:rFonts w:cs="Times New Roman"/>
                <w:b/>
                <w:sz w:val="16"/>
                <w:szCs w:val="16"/>
                <w:lang w:eastAsia="ru-RU"/>
              </w:rPr>
            </w:pPr>
          </w:p>
        </w:tc>
      </w:tr>
      <w:tr w:rsidR="005C6E88" w:rsidRPr="009E6200" w14:paraId="5B935120" w14:textId="77777777" w:rsidTr="00992857">
        <w:trPr>
          <w:cantSplit/>
          <w:trHeight w:val="170"/>
        </w:trPr>
        <w:tc>
          <w:tcPr>
            <w:tcW w:w="1355" w:type="pct"/>
            <w:tcMar>
              <w:left w:w="28" w:type="dxa"/>
              <w:right w:w="28" w:type="dxa"/>
            </w:tcMar>
            <w:vAlign w:val="center"/>
          </w:tcPr>
          <w:p w14:paraId="072E6F77"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Внутривенное введение препаратов сопутствующей  химиотерапии</w:t>
            </w:r>
            <w:r w:rsidRPr="00695820">
              <w:rPr>
                <w:rStyle w:val="FootnoteReference"/>
              </w:rPr>
              <w:footnoteReference w:id="25"/>
            </w:r>
          </w:p>
        </w:tc>
        <w:tc>
          <w:tcPr>
            <w:tcW w:w="278" w:type="pct"/>
            <w:tcMar>
              <w:left w:w="28" w:type="dxa"/>
              <w:right w:w="28" w:type="dxa"/>
            </w:tcMar>
            <w:vAlign w:val="center"/>
          </w:tcPr>
          <w:p w14:paraId="1B76E17A" w14:textId="77777777" w:rsidR="005C6E88" w:rsidRPr="009E6200" w:rsidRDefault="005C6E88" w:rsidP="007B46F5">
            <w:pPr>
              <w:pStyle w:val="SDText"/>
              <w:jc w:val="both"/>
              <w:rPr>
                <w:rFonts w:cs="Times New Roman"/>
                <w:b/>
                <w:sz w:val="16"/>
                <w:szCs w:val="16"/>
                <w:lang w:eastAsia="ru-RU"/>
              </w:rPr>
            </w:pPr>
          </w:p>
        </w:tc>
        <w:tc>
          <w:tcPr>
            <w:tcW w:w="400" w:type="pct"/>
            <w:tcMar>
              <w:left w:w="28" w:type="dxa"/>
              <w:right w:w="28" w:type="dxa"/>
            </w:tcMar>
            <w:vAlign w:val="center"/>
          </w:tcPr>
          <w:p w14:paraId="3AB4D678"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46948891"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4B480DBF"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264447E2"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2486675E"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533858D0"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33B41155"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1E09C7B1"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783E94A9"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13D9FC8D"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2CBA6918"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065E7638"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70E9F42B"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5A490DCE"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3FA37F2A"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7E52343D"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32AAFB07"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646D008D" w14:textId="77777777" w:rsidR="005C6E88" w:rsidRPr="009E6200" w:rsidRDefault="005C6E88" w:rsidP="007B46F5">
            <w:pPr>
              <w:pStyle w:val="SDText"/>
              <w:jc w:val="both"/>
              <w:rPr>
                <w:rFonts w:cs="Times New Roman"/>
                <w:b/>
                <w:sz w:val="16"/>
                <w:szCs w:val="16"/>
                <w:lang w:eastAsia="ru-RU"/>
              </w:rPr>
            </w:pPr>
          </w:p>
        </w:tc>
        <w:tc>
          <w:tcPr>
            <w:tcW w:w="191" w:type="pct"/>
            <w:vAlign w:val="center"/>
          </w:tcPr>
          <w:p w14:paraId="44BB063A" w14:textId="77777777" w:rsidR="005C6E88" w:rsidRPr="009E6200" w:rsidRDefault="005C6E88" w:rsidP="007B46F5">
            <w:pPr>
              <w:pStyle w:val="SDText"/>
              <w:jc w:val="both"/>
              <w:rPr>
                <w:rFonts w:cs="Times New Roman"/>
                <w:b/>
                <w:sz w:val="16"/>
                <w:szCs w:val="16"/>
                <w:lang w:eastAsia="ru-RU"/>
              </w:rPr>
            </w:pPr>
          </w:p>
        </w:tc>
        <w:tc>
          <w:tcPr>
            <w:tcW w:w="118" w:type="pct"/>
            <w:tcMar>
              <w:left w:w="28" w:type="dxa"/>
              <w:right w:w="28" w:type="dxa"/>
            </w:tcMar>
            <w:vAlign w:val="center"/>
          </w:tcPr>
          <w:p w14:paraId="55EAB337" w14:textId="77777777" w:rsidR="005C6E88" w:rsidRPr="009E6200" w:rsidRDefault="005C6E88" w:rsidP="007B46F5">
            <w:pPr>
              <w:pStyle w:val="SDText"/>
              <w:jc w:val="both"/>
              <w:rPr>
                <w:rFonts w:cs="Times New Roman"/>
                <w:b/>
                <w:sz w:val="16"/>
                <w:szCs w:val="16"/>
                <w:lang w:eastAsia="ru-RU"/>
              </w:rPr>
            </w:pPr>
          </w:p>
        </w:tc>
        <w:tc>
          <w:tcPr>
            <w:tcW w:w="174" w:type="pct"/>
          </w:tcPr>
          <w:p w14:paraId="27EA1E26" w14:textId="77777777" w:rsidR="005C6E88" w:rsidRPr="009E6200" w:rsidRDefault="005C6E88" w:rsidP="007B46F5">
            <w:pPr>
              <w:pStyle w:val="SDText"/>
              <w:jc w:val="both"/>
              <w:rPr>
                <w:rFonts w:cs="Times New Roman"/>
                <w:b/>
                <w:sz w:val="16"/>
                <w:szCs w:val="16"/>
                <w:lang w:eastAsia="ru-RU"/>
              </w:rPr>
            </w:pPr>
          </w:p>
        </w:tc>
      </w:tr>
      <w:tr w:rsidR="005C6E88" w:rsidRPr="009E6200" w14:paraId="3CA60648" w14:textId="77777777" w:rsidTr="00992857">
        <w:trPr>
          <w:cantSplit/>
          <w:trHeight w:val="170"/>
        </w:trPr>
        <w:tc>
          <w:tcPr>
            <w:tcW w:w="1355" w:type="pct"/>
            <w:tcMar>
              <w:left w:w="28" w:type="dxa"/>
              <w:right w:w="28" w:type="dxa"/>
            </w:tcMar>
            <w:vAlign w:val="center"/>
          </w:tcPr>
          <w:p w14:paraId="3D9C10BE"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Информирование пациента о переходе в продленную часть исследования со следующего визита при сохранении пользы от лечения бевацизумабом</w:t>
            </w:r>
          </w:p>
        </w:tc>
        <w:tc>
          <w:tcPr>
            <w:tcW w:w="278" w:type="pct"/>
            <w:tcMar>
              <w:left w:w="28" w:type="dxa"/>
              <w:right w:w="28" w:type="dxa"/>
            </w:tcMar>
            <w:vAlign w:val="center"/>
          </w:tcPr>
          <w:p w14:paraId="273B13E1" w14:textId="77777777" w:rsidR="005C6E88" w:rsidRPr="009E6200" w:rsidRDefault="005C6E88" w:rsidP="007B46F5">
            <w:pPr>
              <w:pStyle w:val="SDText"/>
              <w:jc w:val="both"/>
              <w:rPr>
                <w:rFonts w:cs="Times New Roman"/>
                <w:b/>
                <w:sz w:val="16"/>
                <w:szCs w:val="16"/>
                <w:lang w:eastAsia="ru-RU"/>
              </w:rPr>
            </w:pPr>
          </w:p>
        </w:tc>
        <w:tc>
          <w:tcPr>
            <w:tcW w:w="400" w:type="pct"/>
            <w:tcMar>
              <w:left w:w="28" w:type="dxa"/>
              <w:right w:w="28" w:type="dxa"/>
            </w:tcMar>
            <w:vAlign w:val="center"/>
          </w:tcPr>
          <w:p w14:paraId="207663D3"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78E05B42"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5219E95D"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471A6E53"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5C074250"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1D87E0F0"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00CD23EB"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58E7A1D8"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4938D381"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2416E0B8"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1CB7B90E"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4F430921"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59C215EC"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05CFDDE6"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128067E5"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631E7D87"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23C28CDF"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79A2FEE8" w14:textId="77777777" w:rsidR="005C6E88" w:rsidRPr="009E6200" w:rsidRDefault="005C6E88" w:rsidP="007B46F5">
            <w:pPr>
              <w:pStyle w:val="SDText"/>
              <w:jc w:val="both"/>
              <w:rPr>
                <w:rFonts w:cs="Times New Roman"/>
                <w:b/>
                <w:sz w:val="16"/>
                <w:szCs w:val="16"/>
                <w:lang w:eastAsia="ru-RU"/>
              </w:rPr>
            </w:pPr>
          </w:p>
        </w:tc>
        <w:tc>
          <w:tcPr>
            <w:tcW w:w="191" w:type="pct"/>
            <w:vAlign w:val="center"/>
          </w:tcPr>
          <w:p w14:paraId="7D19F773" w14:textId="77777777" w:rsidR="005C6E88" w:rsidRPr="009E6200" w:rsidRDefault="005C6E88" w:rsidP="007B46F5">
            <w:pPr>
              <w:pStyle w:val="SDText"/>
              <w:jc w:val="both"/>
              <w:rPr>
                <w:rFonts w:cs="Times New Roman"/>
                <w:b/>
                <w:sz w:val="16"/>
                <w:szCs w:val="16"/>
                <w:lang w:eastAsia="ru-RU"/>
              </w:rPr>
            </w:pPr>
          </w:p>
        </w:tc>
        <w:tc>
          <w:tcPr>
            <w:tcW w:w="118" w:type="pct"/>
            <w:tcMar>
              <w:left w:w="28" w:type="dxa"/>
              <w:right w:w="28" w:type="dxa"/>
            </w:tcMar>
            <w:vAlign w:val="center"/>
          </w:tcPr>
          <w:p w14:paraId="6836E9A4" w14:textId="77777777" w:rsidR="005C6E88" w:rsidRPr="009E6200" w:rsidRDefault="005C6E88" w:rsidP="007B46F5">
            <w:pPr>
              <w:pStyle w:val="SDText"/>
              <w:jc w:val="both"/>
              <w:rPr>
                <w:rFonts w:cs="Times New Roman"/>
                <w:b/>
                <w:sz w:val="16"/>
                <w:szCs w:val="16"/>
                <w:lang w:eastAsia="ru-RU"/>
              </w:rPr>
            </w:pPr>
          </w:p>
        </w:tc>
        <w:tc>
          <w:tcPr>
            <w:tcW w:w="174" w:type="pct"/>
          </w:tcPr>
          <w:p w14:paraId="1DAE23F4" w14:textId="77777777" w:rsidR="005C6E88" w:rsidRPr="009E6200" w:rsidRDefault="005C6E88" w:rsidP="007B46F5">
            <w:pPr>
              <w:pStyle w:val="SDText"/>
              <w:jc w:val="both"/>
              <w:rPr>
                <w:rFonts w:cs="Times New Roman"/>
                <w:b/>
                <w:sz w:val="16"/>
                <w:szCs w:val="16"/>
                <w:lang w:eastAsia="ru-RU"/>
              </w:rPr>
            </w:pPr>
          </w:p>
        </w:tc>
      </w:tr>
      <w:tr w:rsidR="005C6E88" w:rsidRPr="009E6200" w14:paraId="1D4C962E" w14:textId="77777777" w:rsidTr="00992857">
        <w:trPr>
          <w:cantSplit/>
          <w:trHeight w:val="170"/>
        </w:trPr>
        <w:tc>
          <w:tcPr>
            <w:tcW w:w="1355" w:type="pct"/>
            <w:tcMar>
              <w:left w:w="28" w:type="dxa"/>
              <w:right w:w="28" w:type="dxa"/>
            </w:tcMar>
            <w:vAlign w:val="center"/>
          </w:tcPr>
          <w:p w14:paraId="484BCC4D" w14:textId="0C86FA04"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 xml:space="preserve">Разослепление врача-исследователя и пациента в случае подтверждения эквивалентности препарата </w:t>
            </w:r>
            <w:r w:rsidRPr="009E6200">
              <w:rPr>
                <w:rFonts w:cs="Times New Roman"/>
                <w:sz w:val="16"/>
                <w:szCs w:val="16"/>
                <w:lang w:val="en-US" w:eastAsia="ru-RU"/>
              </w:rPr>
              <w:t>RPH</w:t>
            </w:r>
            <w:r w:rsidRPr="009E6200">
              <w:rPr>
                <w:rFonts w:cs="Times New Roman"/>
                <w:sz w:val="16"/>
                <w:szCs w:val="16"/>
                <w:lang w:eastAsia="ru-RU"/>
              </w:rPr>
              <w:t>-001 препарату Авастин</w:t>
            </w:r>
            <w:r w:rsidRPr="009E6200">
              <w:rPr>
                <w:rFonts w:cs="Times New Roman"/>
                <w:sz w:val="16"/>
                <w:szCs w:val="16"/>
                <w:vertAlign w:val="superscript"/>
                <w:lang w:eastAsia="ru-RU"/>
              </w:rPr>
              <w:t>®</w:t>
            </w:r>
            <w:r w:rsidRPr="009E6200">
              <w:rPr>
                <w:rFonts w:cs="Times New Roman"/>
                <w:sz w:val="16"/>
                <w:szCs w:val="16"/>
                <w:lang w:eastAsia="ru-RU"/>
              </w:rPr>
              <w:t xml:space="preserve"> по результатам основной части исследования. На ближайшем после такого подтверждения визите пациентам, получавшим Авастин</w:t>
            </w:r>
            <w:r w:rsidRPr="009E6200">
              <w:rPr>
                <w:rFonts w:cs="Times New Roman"/>
                <w:sz w:val="16"/>
                <w:szCs w:val="16"/>
                <w:vertAlign w:val="superscript"/>
                <w:lang w:eastAsia="ru-RU"/>
              </w:rPr>
              <w:t>®</w:t>
            </w:r>
            <w:r w:rsidRPr="009E6200">
              <w:rPr>
                <w:rFonts w:cs="Times New Roman"/>
                <w:sz w:val="16"/>
                <w:szCs w:val="16"/>
                <w:lang w:eastAsia="ru-RU"/>
              </w:rPr>
              <w:t xml:space="preserve">, будет предложено продолжить лечение препаратом </w:t>
            </w:r>
            <w:r w:rsidRPr="009E6200">
              <w:rPr>
                <w:rFonts w:cs="Times New Roman"/>
                <w:sz w:val="16"/>
                <w:szCs w:val="16"/>
                <w:lang w:val="en-US" w:eastAsia="ru-RU"/>
              </w:rPr>
              <w:t>RPH</w:t>
            </w:r>
            <w:r w:rsidRPr="009E6200">
              <w:rPr>
                <w:rFonts w:cs="Times New Roman"/>
                <w:sz w:val="16"/>
                <w:szCs w:val="16"/>
                <w:lang w:eastAsia="ru-RU"/>
              </w:rPr>
              <w:t>-001</w:t>
            </w:r>
          </w:p>
        </w:tc>
        <w:tc>
          <w:tcPr>
            <w:tcW w:w="278" w:type="pct"/>
            <w:tcMar>
              <w:left w:w="28" w:type="dxa"/>
              <w:right w:w="28" w:type="dxa"/>
            </w:tcMar>
            <w:vAlign w:val="center"/>
          </w:tcPr>
          <w:p w14:paraId="1EE97F24" w14:textId="77777777" w:rsidR="005C6E88" w:rsidRPr="009E6200" w:rsidRDefault="005C6E88" w:rsidP="007B46F5">
            <w:pPr>
              <w:pStyle w:val="SDText"/>
              <w:jc w:val="both"/>
              <w:rPr>
                <w:rFonts w:cs="Times New Roman"/>
                <w:b/>
                <w:sz w:val="16"/>
                <w:szCs w:val="16"/>
                <w:lang w:eastAsia="ru-RU"/>
              </w:rPr>
            </w:pPr>
          </w:p>
        </w:tc>
        <w:tc>
          <w:tcPr>
            <w:tcW w:w="400" w:type="pct"/>
            <w:tcMar>
              <w:left w:w="28" w:type="dxa"/>
              <w:right w:w="28" w:type="dxa"/>
            </w:tcMar>
            <w:vAlign w:val="center"/>
          </w:tcPr>
          <w:p w14:paraId="7EBF4165"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0A3CBE2D"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575868D6"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75BAC530"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192BAE69"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3BCEC23E"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05FEA509"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150DFBF3"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54875D29"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680DDD76" w14:textId="08BC872C" w:rsidR="005C6E88" w:rsidRPr="009E6200" w:rsidRDefault="008B1D71"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76F5E376" w14:textId="70DB0F22" w:rsidR="005C6E88" w:rsidRPr="009E6200" w:rsidRDefault="008B1D71"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0" w:type="pct"/>
            <w:tcMar>
              <w:left w:w="28" w:type="dxa"/>
              <w:right w:w="28" w:type="dxa"/>
            </w:tcMar>
            <w:vAlign w:val="center"/>
          </w:tcPr>
          <w:p w14:paraId="52241FC6" w14:textId="097C3C5E" w:rsidR="005C6E88" w:rsidRPr="009E6200" w:rsidRDefault="00217789"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4EE3DD26" w14:textId="6218340E" w:rsidR="005C6E88" w:rsidRPr="009E6200" w:rsidRDefault="008B1D71"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16A7DC11" w14:textId="5D2787DA" w:rsidR="005C6E88" w:rsidRPr="009E6200" w:rsidRDefault="008B1D71"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0" w:type="pct"/>
            <w:tcMar>
              <w:left w:w="28" w:type="dxa"/>
              <w:right w:w="28" w:type="dxa"/>
            </w:tcMar>
            <w:vAlign w:val="center"/>
          </w:tcPr>
          <w:p w14:paraId="40B222CF" w14:textId="52DF96D6" w:rsidR="005C6E88" w:rsidRPr="009E6200" w:rsidRDefault="00217789"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0CEE469B" w14:textId="226C48E1" w:rsidR="005C6E88" w:rsidRPr="009E6200" w:rsidRDefault="008B1D71"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2C174EE6" w14:textId="20FADE65" w:rsidR="005C6E88" w:rsidRPr="009E6200" w:rsidRDefault="008B1D71"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0" w:type="pct"/>
            <w:tcMar>
              <w:left w:w="28" w:type="dxa"/>
              <w:right w:w="28" w:type="dxa"/>
            </w:tcMar>
            <w:vAlign w:val="center"/>
          </w:tcPr>
          <w:p w14:paraId="153A95F0" w14:textId="0A945353" w:rsidR="005C6E88" w:rsidRPr="009E6200" w:rsidRDefault="00217789"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1" w:type="pct"/>
            <w:vAlign w:val="center"/>
          </w:tcPr>
          <w:p w14:paraId="0396DD80" w14:textId="04EF5FBE" w:rsidR="005C6E88" w:rsidRPr="009E6200" w:rsidRDefault="008B1D71" w:rsidP="007B46F5">
            <w:pPr>
              <w:pStyle w:val="SDText"/>
              <w:jc w:val="both"/>
              <w:rPr>
                <w:rFonts w:cs="Times New Roman"/>
                <w:b/>
                <w:sz w:val="16"/>
                <w:szCs w:val="16"/>
                <w:lang w:eastAsia="ru-RU"/>
              </w:rPr>
            </w:pPr>
            <w:r w:rsidRPr="009E6200">
              <w:rPr>
                <w:rFonts w:cs="Times New Roman"/>
                <w:b/>
                <w:sz w:val="16"/>
                <w:szCs w:val="16"/>
                <w:lang w:eastAsia="ru-RU"/>
              </w:rPr>
              <w:t>●</w:t>
            </w:r>
          </w:p>
        </w:tc>
        <w:tc>
          <w:tcPr>
            <w:tcW w:w="118" w:type="pct"/>
            <w:tcMar>
              <w:left w:w="28" w:type="dxa"/>
              <w:right w:w="28" w:type="dxa"/>
            </w:tcMar>
            <w:vAlign w:val="center"/>
          </w:tcPr>
          <w:p w14:paraId="4DBC2BA6" w14:textId="77777777" w:rsidR="005C6E88" w:rsidRPr="009E6200" w:rsidRDefault="005C6E88" w:rsidP="007B46F5">
            <w:pPr>
              <w:pStyle w:val="SDText"/>
              <w:jc w:val="both"/>
              <w:rPr>
                <w:rFonts w:cs="Times New Roman"/>
                <w:b/>
                <w:sz w:val="16"/>
                <w:szCs w:val="16"/>
                <w:lang w:eastAsia="ru-RU"/>
              </w:rPr>
            </w:pPr>
          </w:p>
        </w:tc>
        <w:tc>
          <w:tcPr>
            <w:tcW w:w="174" w:type="pct"/>
          </w:tcPr>
          <w:p w14:paraId="46E36954" w14:textId="77777777" w:rsidR="005C6E88" w:rsidRPr="009E6200" w:rsidRDefault="005C6E88" w:rsidP="007B46F5">
            <w:pPr>
              <w:pStyle w:val="SDText"/>
              <w:jc w:val="both"/>
              <w:rPr>
                <w:rFonts w:cs="Times New Roman"/>
                <w:b/>
                <w:sz w:val="16"/>
                <w:szCs w:val="16"/>
                <w:lang w:eastAsia="ru-RU"/>
              </w:rPr>
            </w:pPr>
          </w:p>
        </w:tc>
      </w:tr>
      <w:tr w:rsidR="005C6E88" w:rsidRPr="009E6200" w14:paraId="1266542F" w14:textId="77777777" w:rsidTr="00992857">
        <w:trPr>
          <w:cantSplit/>
          <w:trHeight w:val="170"/>
        </w:trPr>
        <w:tc>
          <w:tcPr>
            <w:tcW w:w="1355" w:type="pct"/>
            <w:tcMar>
              <w:left w:w="28" w:type="dxa"/>
              <w:right w:w="28" w:type="dxa"/>
            </w:tcMar>
            <w:vAlign w:val="center"/>
          </w:tcPr>
          <w:p w14:paraId="1E2A344F" w14:textId="77777777" w:rsidR="005C6E88" w:rsidRPr="009E6200" w:rsidRDefault="005C6E88" w:rsidP="007B46F5">
            <w:pPr>
              <w:pStyle w:val="SDText"/>
              <w:jc w:val="both"/>
              <w:rPr>
                <w:rFonts w:cs="Times New Roman"/>
                <w:sz w:val="16"/>
                <w:szCs w:val="16"/>
                <w:lang w:eastAsia="ru-RU"/>
              </w:rPr>
            </w:pPr>
            <w:r w:rsidRPr="009E6200">
              <w:rPr>
                <w:rFonts w:cs="Times New Roman"/>
                <w:sz w:val="16"/>
                <w:szCs w:val="16"/>
                <w:lang w:eastAsia="ru-RU"/>
              </w:rPr>
              <w:t>Оценка критериев исключения</w:t>
            </w:r>
          </w:p>
        </w:tc>
        <w:tc>
          <w:tcPr>
            <w:tcW w:w="278" w:type="pct"/>
            <w:tcMar>
              <w:left w:w="28" w:type="dxa"/>
              <w:right w:w="28" w:type="dxa"/>
            </w:tcMar>
            <w:vAlign w:val="center"/>
          </w:tcPr>
          <w:p w14:paraId="54258D1F" w14:textId="77777777" w:rsidR="005C6E88" w:rsidRPr="009E6200" w:rsidRDefault="005C6E88" w:rsidP="007B46F5">
            <w:pPr>
              <w:pStyle w:val="SDText"/>
              <w:jc w:val="both"/>
              <w:rPr>
                <w:rFonts w:cs="Times New Roman"/>
                <w:b/>
                <w:sz w:val="16"/>
                <w:szCs w:val="16"/>
                <w:lang w:eastAsia="ru-RU"/>
              </w:rPr>
            </w:pPr>
          </w:p>
        </w:tc>
        <w:tc>
          <w:tcPr>
            <w:tcW w:w="400" w:type="pct"/>
            <w:tcMar>
              <w:left w:w="28" w:type="dxa"/>
              <w:right w:w="28" w:type="dxa"/>
            </w:tcMar>
            <w:vAlign w:val="center"/>
          </w:tcPr>
          <w:p w14:paraId="3FA3B09C"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05BB1C0E"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762FEE38"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27D2CFD5"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5D7BF106"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76DA5A6E"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31CC1357"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7D0EC14D"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0" w:type="pct"/>
            <w:tcMar>
              <w:left w:w="28" w:type="dxa"/>
              <w:right w:w="28" w:type="dxa"/>
            </w:tcMar>
            <w:vAlign w:val="center"/>
          </w:tcPr>
          <w:p w14:paraId="3A1A98DD"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296733B9"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77380716"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0" w:type="pct"/>
            <w:tcMar>
              <w:left w:w="28" w:type="dxa"/>
              <w:right w:w="28" w:type="dxa"/>
            </w:tcMar>
            <w:vAlign w:val="center"/>
          </w:tcPr>
          <w:p w14:paraId="3B74D0C0"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0B793609"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441ABA68"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0" w:type="pct"/>
            <w:tcMar>
              <w:left w:w="28" w:type="dxa"/>
              <w:right w:w="28" w:type="dxa"/>
            </w:tcMar>
            <w:vAlign w:val="center"/>
          </w:tcPr>
          <w:p w14:paraId="506DF807"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25D112FD"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60D243B5"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0" w:type="pct"/>
            <w:tcMar>
              <w:left w:w="28" w:type="dxa"/>
              <w:right w:w="28" w:type="dxa"/>
            </w:tcMar>
            <w:vAlign w:val="center"/>
          </w:tcPr>
          <w:p w14:paraId="7D7C61C0"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1" w:type="pct"/>
            <w:vAlign w:val="center"/>
          </w:tcPr>
          <w:p w14:paraId="27BEEB47"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18" w:type="pct"/>
            <w:tcMar>
              <w:left w:w="28" w:type="dxa"/>
              <w:right w:w="28" w:type="dxa"/>
            </w:tcMar>
            <w:vAlign w:val="center"/>
          </w:tcPr>
          <w:p w14:paraId="6254C541"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c>
          <w:tcPr>
            <w:tcW w:w="174" w:type="pct"/>
          </w:tcPr>
          <w:p w14:paraId="69202CDF" w14:textId="77777777" w:rsidR="005C6E88" w:rsidRPr="009E6200" w:rsidRDefault="005C6E88" w:rsidP="007B46F5">
            <w:pPr>
              <w:pStyle w:val="SDText"/>
              <w:jc w:val="both"/>
              <w:rPr>
                <w:rFonts w:cs="Times New Roman"/>
                <w:b/>
                <w:sz w:val="16"/>
                <w:szCs w:val="16"/>
                <w:lang w:eastAsia="ru-RU"/>
              </w:rPr>
            </w:pPr>
            <w:r w:rsidRPr="009E6200">
              <w:rPr>
                <w:rFonts w:cs="Times New Roman"/>
                <w:b/>
                <w:sz w:val="16"/>
                <w:szCs w:val="16"/>
                <w:lang w:eastAsia="ru-RU"/>
              </w:rPr>
              <w:t>●</w:t>
            </w:r>
          </w:p>
        </w:tc>
      </w:tr>
      <w:tr w:rsidR="005C6E88" w:rsidRPr="009E6200" w14:paraId="74D6EDE4" w14:textId="77777777" w:rsidTr="00992857">
        <w:trPr>
          <w:cantSplit/>
          <w:trHeight w:val="170"/>
        </w:trPr>
        <w:tc>
          <w:tcPr>
            <w:tcW w:w="1355" w:type="pct"/>
            <w:tcMar>
              <w:left w:w="28" w:type="dxa"/>
              <w:right w:w="28" w:type="dxa"/>
            </w:tcMar>
            <w:vAlign w:val="center"/>
          </w:tcPr>
          <w:p w14:paraId="7AB85B7F" w14:textId="6C37C8E0" w:rsidR="005C6E88" w:rsidRPr="009E6200" w:rsidRDefault="00BE2B03" w:rsidP="007B46F5">
            <w:pPr>
              <w:pStyle w:val="SDText"/>
              <w:jc w:val="both"/>
              <w:rPr>
                <w:rFonts w:cs="Times New Roman"/>
                <w:sz w:val="16"/>
                <w:szCs w:val="16"/>
                <w:lang w:eastAsia="ru-RU"/>
              </w:rPr>
            </w:pPr>
            <w:r>
              <w:rPr>
                <w:rFonts w:cs="Times New Roman"/>
                <w:sz w:val="16"/>
                <w:szCs w:val="16"/>
                <w:lang w:eastAsia="ru-RU"/>
              </w:rPr>
              <w:t>Телефонный контакт</w:t>
            </w:r>
            <w:r>
              <w:rPr>
                <w:rStyle w:val="FootnoteReference"/>
                <w:rFonts w:cs="Times New Roman"/>
                <w:sz w:val="16"/>
                <w:szCs w:val="16"/>
                <w:lang w:eastAsia="ru-RU"/>
              </w:rPr>
              <w:footnoteReference w:id="26"/>
            </w:r>
          </w:p>
        </w:tc>
        <w:tc>
          <w:tcPr>
            <w:tcW w:w="278" w:type="pct"/>
            <w:tcMar>
              <w:left w:w="28" w:type="dxa"/>
              <w:right w:w="28" w:type="dxa"/>
            </w:tcMar>
            <w:vAlign w:val="center"/>
          </w:tcPr>
          <w:p w14:paraId="0D9B21D5" w14:textId="58D7BB01" w:rsidR="005C6E88" w:rsidRPr="009E6200" w:rsidRDefault="005C6E88" w:rsidP="007B46F5">
            <w:pPr>
              <w:pStyle w:val="SDText"/>
              <w:jc w:val="both"/>
              <w:rPr>
                <w:rFonts w:cs="Times New Roman"/>
                <w:b/>
                <w:sz w:val="16"/>
                <w:szCs w:val="16"/>
                <w:lang w:eastAsia="ru-RU"/>
              </w:rPr>
            </w:pPr>
          </w:p>
        </w:tc>
        <w:tc>
          <w:tcPr>
            <w:tcW w:w="400" w:type="pct"/>
            <w:tcMar>
              <w:left w:w="28" w:type="dxa"/>
              <w:right w:w="28" w:type="dxa"/>
            </w:tcMar>
            <w:vAlign w:val="center"/>
          </w:tcPr>
          <w:p w14:paraId="136DA440"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7042E3BE"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5127EE94"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03F875AB"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6DC6C2B0"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7D27C229"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79509235"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2305EA13"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34F1A741"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35AA45FA" w14:textId="3B0D3C45"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604B47BC"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430BCED0"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3709E166" w14:textId="126BFD76" w:rsidR="005C6E88" w:rsidRPr="009E6200" w:rsidRDefault="00BE2B03"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1118C5BF"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7E66F2FF" w14:textId="242832DD" w:rsidR="005C6E88" w:rsidRPr="009E6200" w:rsidRDefault="00BE2B03" w:rsidP="007B46F5">
            <w:pPr>
              <w:pStyle w:val="SDText"/>
              <w:jc w:val="both"/>
              <w:rPr>
                <w:rFonts w:cs="Times New Roman"/>
                <w:b/>
                <w:sz w:val="16"/>
                <w:szCs w:val="16"/>
                <w:lang w:eastAsia="ru-RU"/>
              </w:rPr>
            </w:pPr>
            <w:r w:rsidRPr="009E6200">
              <w:rPr>
                <w:rFonts w:cs="Times New Roman"/>
                <w:b/>
                <w:sz w:val="16"/>
                <w:szCs w:val="16"/>
                <w:lang w:eastAsia="ru-RU"/>
              </w:rPr>
              <w:t>●</w:t>
            </w:r>
          </w:p>
        </w:tc>
        <w:tc>
          <w:tcPr>
            <w:tcW w:w="133" w:type="pct"/>
            <w:tcMar>
              <w:left w:w="28" w:type="dxa"/>
              <w:right w:w="28" w:type="dxa"/>
            </w:tcMar>
            <w:vAlign w:val="center"/>
          </w:tcPr>
          <w:p w14:paraId="4E850CD5" w14:textId="77777777" w:rsidR="005C6E88" w:rsidRPr="009E6200" w:rsidRDefault="005C6E88" w:rsidP="007B46F5">
            <w:pPr>
              <w:pStyle w:val="SDText"/>
              <w:jc w:val="both"/>
              <w:rPr>
                <w:rFonts w:cs="Times New Roman"/>
                <w:b/>
                <w:sz w:val="16"/>
                <w:szCs w:val="16"/>
                <w:lang w:eastAsia="ru-RU"/>
              </w:rPr>
            </w:pPr>
          </w:p>
        </w:tc>
        <w:tc>
          <w:tcPr>
            <w:tcW w:w="133" w:type="pct"/>
            <w:tcMar>
              <w:left w:w="28" w:type="dxa"/>
              <w:right w:w="28" w:type="dxa"/>
            </w:tcMar>
            <w:vAlign w:val="center"/>
          </w:tcPr>
          <w:p w14:paraId="614A2C4E" w14:textId="77777777" w:rsidR="005C6E88" w:rsidRPr="009E6200" w:rsidRDefault="005C6E88" w:rsidP="007B46F5">
            <w:pPr>
              <w:pStyle w:val="SDText"/>
              <w:jc w:val="both"/>
              <w:rPr>
                <w:rFonts w:cs="Times New Roman"/>
                <w:b/>
                <w:sz w:val="16"/>
                <w:szCs w:val="16"/>
                <w:lang w:eastAsia="ru-RU"/>
              </w:rPr>
            </w:pPr>
          </w:p>
        </w:tc>
        <w:tc>
          <w:tcPr>
            <w:tcW w:w="190" w:type="pct"/>
            <w:tcMar>
              <w:left w:w="28" w:type="dxa"/>
              <w:right w:w="28" w:type="dxa"/>
            </w:tcMar>
            <w:vAlign w:val="center"/>
          </w:tcPr>
          <w:p w14:paraId="75929FDF" w14:textId="5733535F" w:rsidR="005C6E88" w:rsidRPr="009E6200" w:rsidRDefault="00BE2B03" w:rsidP="007B46F5">
            <w:pPr>
              <w:pStyle w:val="SDText"/>
              <w:jc w:val="both"/>
              <w:rPr>
                <w:rFonts w:cs="Times New Roman"/>
                <w:b/>
                <w:sz w:val="16"/>
                <w:szCs w:val="16"/>
                <w:lang w:eastAsia="ru-RU"/>
              </w:rPr>
            </w:pPr>
            <w:r w:rsidRPr="009E6200">
              <w:rPr>
                <w:rFonts w:cs="Times New Roman"/>
                <w:b/>
                <w:sz w:val="16"/>
                <w:szCs w:val="16"/>
                <w:lang w:eastAsia="ru-RU"/>
              </w:rPr>
              <w:t>●</w:t>
            </w:r>
          </w:p>
        </w:tc>
        <w:tc>
          <w:tcPr>
            <w:tcW w:w="191" w:type="pct"/>
            <w:vAlign w:val="center"/>
          </w:tcPr>
          <w:p w14:paraId="150C31AA" w14:textId="77777777" w:rsidR="005C6E88" w:rsidRPr="009E6200" w:rsidRDefault="005C6E88" w:rsidP="007B46F5">
            <w:pPr>
              <w:pStyle w:val="SDText"/>
              <w:jc w:val="both"/>
              <w:rPr>
                <w:rFonts w:cs="Times New Roman"/>
                <w:b/>
                <w:sz w:val="16"/>
                <w:szCs w:val="16"/>
                <w:lang w:eastAsia="ru-RU"/>
              </w:rPr>
            </w:pPr>
          </w:p>
        </w:tc>
        <w:tc>
          <w:tcPr>
            <w:tcW w:w="118" w:type="pct"/>
            <w:tcMar>
              <w:left w:w="28" w:type="dxa"/>
              <w:right w:w="28" w:type="dxa"/>
            </w:tcMar>
            <w:vAlign w:val="center"/>
          </w:tcPr>
          <w:p w14:paraId="0FD9FFC8" w14:textId="77777777" w:rsidR="005C6E88" w:rsidRPr="009E6200" w:rsidRDefault="005C6E88" w:rsidP="007B46F5">
            <w:pPr>
              <w:pStyle w:val="SDText"/>
              <w:jc w:val="both"/>
              <w:rPr>
                <w:rFonts w:cs="Times New Roman"/>
                <w:b/>
                <w:sz w:val="16"/>
                <w:szCs w:val="16"/>
                <w:lang w:eastAsia="ru-RU"/>
              </w:rPr>
            </w:pPr>
          </w:p>
        </w:tc>
        <w:tc>
          <w:tcPr>
            <w:tcW w:w="174" w:type="pct"/>
          </w:tcPr>
          <w:p w14:paraId="393657E6" w14:textId="77777777" w:rsidR="005C6E88" w:rsidRPr="009E6200" w:rsidRDefault="005C6E88" w:rsidP="007B46F5">
            <w:pPr>
              <w:pStyle w:val="SDText"/>
              <w:jc w:val="both"/>
              <w:rPr>
                <w:rFonts w:cs="Times New Roman"/>
                <w:b/>
                <w:sz w:val="16"/>
                <w:szCs w:val="16"/>
                <w:lang w:eastAsia="ru-RU"/>
              </w:rPr>
            </w:pPr>
          </w:p>
        </w:tc>
      </w:tr>
    </w:tbl>
    <w:p w14:paraId="66AB2A74" w14:textId="77777777" w:rsidR="00826531" w:rsidRPr="009E6200" w:rsidRDefault="00826531" w:rsidP="007B46F5">
      <w:pPr>
        <w:jc w:val="both"/>
        <w:rPr>
          <w:i/>
          <w:iCs/>
        </w:rPr>
      </w:pPr>
    </w:p>
    <w:p w14:paraId="4F88834D" w14:textId="50F208BC" w:rsidR="001E3374" w:rsidRPr="009E6200" w:rsidRDefault="001E3374" w:rsidP="007B46F5">
      <w:pPr>
        <w:jc w:val="both"/>
        <w:rPr>
          <w:i/>
          <w:iCs/>
        </w:rPr>
      </w:pPr>
      <w:r w:rsidRPr="009E6200">
        <w:rPr>
          <w:i/>
          <w:iCs/>
        </w:rPr>
        <w:t xml:space="preserve">Примечание 1. </w:t>
      </w:r>
      <w:r w:rsidRPr="009E6200">
        <w:rPr>
          <w:b/>
          <w:bCs/>
          <w:i/>
          <w:iCs/>
        </w:rPr>
        <w:t>Контакт оценки дожития:</w:t>
      </w:r>
      <w:r w:rsidRPr="009E6200">
        <w:rPr>
          <w:i/>
          <w:iCs/>
        </w:rPr>
        <w:t xml:space="preserve"> В случае досрочного</w:t>
      </w:r>
      <w:r w:rsidR="000D786B" w:rsidRPr="009E6200">
        <w:rPr>
          <w:i/>
          <w:iCs/>
        </w:rPr>
        <w:t xml:space="preserve"> прекращения терапии</w:t>
      </w:r>
      <w:r w:rsidRPr="009E6200">
        <w:rPr>
          <w:i/>
          <w:iCs/>
        </w:rPr>
        <w:t xml:space="preserve"> пациент</w:t>
      </w:r>
      <w:r w:rsidR="000D786B" w:rsidRPr="009E6200">
        <w:rPr>
          <w:i/>
          <w:iCs/>
        </w:rPr>
        <w:t xml:space="preserve">ом в рамках исследования </w:t>
      </w:r>
      <w:r w:rsidRPr="009E6200">
        <w:rPr>
          <w:i/>
          <w:iCs/>
        </w:rPr>
        <w:t xml:space="preserve">до достижения 1 года от момента рандомизации с пациентом будет поддерживаться контакт </w:t>
      </w:r>
      <w:r w:rsidR="001020A4" w:rsidRPr="009E6200">
        <w:rPr>
          <w:i/>
          <w:iCs/>
        </w:rPr>
        <w:t xml:space="preserve">до 12 месяцев от момента рандомизации </w:t>
      </w:r>
      <w:r w:rsidRPr="009E6200">
        <w:rPr>
          <w:i/>
          <w:iCs/>
        </w:rPr>
        <w:t>каждые 2 месяца (±14 дней).</w:t>
      </w:r>
    </w:p>
    <w:p w14:paraId="4321EEAC" w14:textId="46128348" w:rsidR="001E3374" w:rsidRPr="009E6200" w:rsidRDefault="001E3374" w:rsidP="007B46F5">
      <w:pPr>
        <w:jc w:val="both"/>
        <w:rPr>
          <w:i/>
          <w:iCs/>
        </w:rPr>
      </w:pPr>
      <w:r w:rsidRPr="009E6200">
        <w:rPr>
          <w:i/>
          <w:iCs/>
        </w:rPr>
        <w:t xml:space="preserve">Примечание 2. </w:t>
      </w:r>
      <w:r w:rsidRPr="009E6200">
        <w:rPr>
          <w:b/>
          <w:bCs/>
          <w:i/>
          <w:iCs/>
        </w:rPr>
        <w:t xml:space="preserve">Визит преждевременного завершения участия в исследовании: </w:t>
      </w:r>
      <w:r w:rsidRPr="009E6200">
        <w:rPr>
          <w:i/>
          <w:iCs/>
        </w:rPr>
        <w:t>На</w:t>
      </w:r>
      <w:r w:rsidR="00BE521E" w:rsidRPr="009E6200">
        <w:rPr>
          <w:i/>
          <w:iCs/>
        </w:rPr>
        <w:t xml:space="preserve"> </w:t>
      </w:r>
      <w:r w:rsidRPr="009E6200">
        <w:rPr>
          <w:i/>
          <w:iCs/>
        </w:rPr>
        <w:t xml:space="preserve">визите преждевременного завершения участия в исследовании </w:t>
      </w:r>
      <w:r w:rsidR="00BE521E" w:rsidRPr="009E6200">
        <w:rPr>
          <w:i/>
          <w:iCs/>
        </w:rPr>
        <w:t>в дополнение к приведенным в таблице процедурам могут выполняться обследования по клиническим показаниям по решению врача-исследователя (в частности, методы визуализации)</w:t>
      </w:r>
      <w:r w:rsidRPr="009E6200">
        <w:rPr>
          <w:i/>
          <w:iCs/>
        </w:rPr>
        <w:t>.</w:t>
      </w:r>
    </w:p>
    <w:p w14:paraId="07CE2430" w14:textId="77777777" w:rsidR="001E3374" w:rsidRPr="009E6200" w:rsidRDefault="001E3374" w:rsidP="007B46F5">
      <w:pPr>
        <w:pStyle w:val="SDText"/>
        <w:jc w:val="both"/>
        <w:rPr>
          <w:lang w:eastAsia="ru-RU"/>
        </w:rPr>
        <w:sectPr w:rsidR="001E3374" w:rsidRPr="009E6200" w:rsidSect="00A42483">
          <w:pgSz w:w="16838" w:h="11906" w:orient="landscape"/>
          <w:pgMar w:top="850" w:right="1134" w:bottom="1701" w:left="1134" w:header="708" w:footer="708" w:gutter="0"/>
          <w:cols w:space="708"/>
          <w:docGrid w:linePitch="360"/>
        </w:sectPr>
      </w:pPr>
    </w:p>
    <w:p w14:paraId="0A4F07E7" w14:textId="3D85F45B" w:rsidR="00B03DAD" w:rsidRPr="00992857" w:rsidRDefault="00697E56" w:rsidP="007B46F5">
      <w:pPr>
        <w:pStyle w:val="Heading3"/>
        <w:spacing w:before="0" w:after="0" w:line="240" w:lineRule="auto"/>
        <w:ind w:left="709" w:hanging="709"/>
        <w:jc w:val="both"/>
        <w:rPr>
          <w:color w:val="auto"/>
          <w:sz w:val="24"/>
        </w:rPr>
      </w:pPr>
      <w:bookmarkStart w:id="122" w:name="_Ref466031009"/>
      <w:bookmarkStart w:id="123" w:name="_Toc120865244"/>
      <w:r w:rsidRPr="00992857">
        <w:rPr>
          <w:color w:val="auto"/>
          <w:sz w:val="24"/>
        </w:rPr>
        <w:t>Процедуры исследования</w:t>
      </w:r>
      <w:bookmarkEnd w:id="122"/>
      <w:bookmarkEnd w:id="123"/>
    </w:p>
    <w:p w14:paraId="56FC150F" w14:textId="77777777" w:rsidR="00BB6320" w:rsidRPr="00BB6320" w:rsidRDefault="00BB6320" w:rsidP="007B46F5">
      <w:pPr>
        <w:pStyle w:val="SDText"/>
        <w:rPr>
          <w:lang w:eastAsia="ru-RU"/>
        </w:rPr>
      </w:pPr>
    </w:p>
    <w:p w14:paraId="14EEE0D1" w14:textId="6334D847" w:rsidR="006C0BF7" w:rsidRDefault="006C0BF7" w:rsidP="007B46F5">
      <w:pPr>
        <w:pStyle w:val="Heading4"/>
        <w:spacing w:before="0" w:after="0"/>
        <w:ind w:left="862" w:hanging="862"/>
        <w:jc w:val="both"/>
        <w:rPr>
          <w:color w:val="auto"/>
        </w:rPr>
      </w:pPr>
      <w:bookmarkStart w:id="124" w:name="_Toc120865245"/>
      <w:r w:rsidRPr="009E6200">
        <w:rPr>
          <w:color w:val="auto"/>
        </w:rPr>
        <w:t>Информированное согласие</w:t>
      </w:r>
      <w:bookmarkEnd w:id="124"/>
    </w:p>
    <w:p w14:paraId="7D5A043D" w14:textId="77777777" w:rsidR="00BB6320" w:rsidRPr="00BB6320" w:rsidRDefault="00BB6320" w:rsidP="007B46F5">
      <w:pPr>
        <w:rPr>
          <w:lang w:eastAsia="ru-RU"/>
        </w:rPr>
      </w:pPr>
    </w:p>
    <w:p w14:paraId="2B3378BC" w14:textId="77777777" w:rsidR="006C0BF7" w:rsidRPr="009E6200" w:rsidRDefault="006C0BF7" w:rsidP="007B46F5">
      <w:pPr>
        <w:ind w:firstLine="709"/>
        <w:jc w:val="both"/>
        <w:rPr>
          <w:lang w:eastAsia="ru-RU"/>
        </w:rPr>
      </w:pPr>
      <w:r w:rsidRPr="009E6200">
        <w:rPr>
          <w:lang w:eastAsia="ru-RU"/>
        </w:rPr>
        <w:t>До начала любых процедур исследования пациент должен прочесть информацию для пациента и подписать форму информированного согласия. Исследователь должен убедиться, что пациент правильно понял информацию о процедурах исследования и связанных с ними ограничениях.</w:t>
      </w:r>
    </w:p>
    <w:p w14:paraId="70AB90B9" w14:textId="77777777" w:rsidR="006C0BF7" w:rsidRPr="009E6200" w:rsidRDefault="006C0BF7" w:rsidP="007B46F5">
      <w:pPr>
        <w:ind w:firstLine="709"/>
        <w:jc w:val="both"/>
        <w:rPr>
          <w:lang w:eastAsia="ru-RU"/>
        </w:rPr>
      </w:pPr>
      <w:r w:rsidRPr="009E6200">
        <w:rPr>
          <w:lang w:eastAsia="ru-RU"/>
        </w:rPr>
        <w:t>У пациента должно быть достаточно времени на размышления относительно своего участия в исследовании. Пациенту должна быть предоставлена возможность задать дополнительные вопросы и получить на них ответы.</w:t>
      </w:r>
    </w:p>
    <w:p w14:paraId="00DBED8A" w14:textId="2072DE7C" w:rsidR="006C0BF7" w:rsidRPr="009E6200" w:rsidRDefault="006C0BF7" w:rsidP="007B46F5">
      <w:pPr>
        <w:ind w:firstLine="709"/>
        <w:jc w:val="both"/>
        <w:rPr>
          <w:lang w:eastAsia="ru-RU"/>
        </w:rPr>
      </w:pPr>
      <w:r w:rsidRPr="009E6200">
        <w:rPr>
          <w:lang w:eastAsia="ru-RU"/>
        </w:rPr>
        <w:t xml:space="preserve">В ходе получения информированного согласия должны быть учтены этические и регуляторные аспекты получения этой процедуры, описанные в Разделе </w:t>
      </w:r>
      <w:r w:rsidR="002C1E19" w:rsidRPr="009E6200">
        <w:rPr>
          <w:lang w:eastAsia="ru-RU"/>
        </w:rPr>
        <w:fldChar w:fldCharType="begin"/>
      </w:r>
      <w:r w:rsidR="002C1E19" w:rsidRPr="009E6200">
        <w:rPr>
          <w:lang w:eastAsia="ru-RU"/>
        </w:rPr>
        <w:instrText xml:space="preserve"> REF _Ref12620635 \n \h </w:instrText>
      </w:r>
      <w:r w:rsidR="009E6200">
        <w:rPr>
          <w:lang w:eastAsia="ru-RU"/>
        </w:rPr>
        <w:instrText xml:space="preserve"> \* MERGEFORMAT </w:instrText>
      </w:r>
      <w:r w:rsidR="002C1E19" w:rsidRPr="009E6200">
        <w:rPr>
          <w:lang w:eastAsia="ru-RU"/>
        </w:rPr>
      </w:r>
      <w:r w:rsidR="002C1E19" w:rsidRPr="009E6200">
        <w:rPr>
          <w:lang w:eastAsia="ru-RU"/>
        </w:rPr>
        <w:fldChar w:fldCharType="separate"/>
      </w:r>
      <w:r w:rsidR="005A436A">
        <w:rPr>
          <w:lang w:eastAsia="ru-RU"/>
        </w:rPr>
        <w:t>11.2</w:t>
      </w:r>
      <w:r w:rsidR="002C1E19" w:rsidRPr="009E6200">
        <w:rPr>
          <w:lang w:eastAsia="ru-RU"/>
        </w:rPr>
        <w:fldChar w:fldCharType="end"/>
      </w:r>
      <w:r w:rsidR="002C1E19" w:rsidRPr="009E6200">
        <w:rPr>
          <w:lang w:eastAsia="ru-RU"/>
        </w:rPr>
        <w:t xml:space="preserve"> </w:t>
      </w:r>
      <w:r w:rsidRPr="009E6200">
        <w:rPr>
          <w:lang w:eastAsia="ru-RU"/>
        </w:rPr>
        <w:t>Протокола.</w:t>
      </w:r>
    </w:p>
    <w:p w14:paraId="10348301" w14:textId="77777777" w:rsidR="006C0BF7" w:rsidRPr="009E6200" w:rsidRDefault="006C0BF7" w:rsidP="007B46F5">
      <w:pPr>
        <w:ind w:firstLine="357"/>
        <w:jc w:val="both"/>
        <w:rPr>
          <w:lang w:eastAsia="ru-RU"/>
        </w:rPr>
      </w:pPr>
      <w:r w:rsidRPr="009E6200">
        <w:rPr>
          <w:lang w:eastAsia="ru-RU"/>
        </w:rPr>
        <w:t>В беседе Исследователя с пациентом особое внимание следует уделить обсуждению следующих аспектов:</w:t>
      </w:r>
    </w:p>
    <w:p w14:paraId="499275DC" w14:textId="77777777" w:rsidR="006C0BF7" w:rsidRPr="009E6200" w:rsidRDefault="006C0BF7" w:rsidP="007B46F5">
      <w:pPr>
        <w:pStyle w:val="SDText"/>
        <w:numPr>
          <w:ilvl w:val="0"/>
          <w:numId w:val="15"/>
        </w:numPr>
        <w:ind w:left="357" w:hanging="215"/>
        <w:jc w:val="both"/>
        <w:rPr>
          <w:lang w:eastAsia="ru-RU"/>
        </w:rPr>
      </w:pPr>
      <w:r w:rsidRPr="009E6200">
        <w:rPr>
          <w:lang w:eastAsia="ru-RU"/>
        </w:rPr>
        <w:t>Особенности (фармакологическая группа, механизм действия, показания и противопоказания к применению, возможные НЯ, способ введения и доза) исследуемого и референтного лекарственного средства, а также других используемых препаратов химиотерапии;</w:t>
      </w:r>
    </w:p>
    <w:p w14:paraId="12C05C9E" w14:textId="77777777" w:rsidR="006C0BF7" w:rsidRPr="009E6200" w:rsidRDefault="006C0BF7" w:rsidP="007B46F5">
      <w:pPr>
        <w:pStyle w:val="SDText"/>
        <w:numPr>
          <w:ilvl w:val="0"/>
          <w:numId w:val="15"/>
        </w:numPr>
        <w:ind w:left="357" w:hanging="215"/>
        <w:jc w:val="both"/>
        <w:rPr>
          <w:lang w:eastAsia="ru-RU"/>
        </w:rPr>
      </w:pPr>
      <w:r w:rsidRPr="009E6200">
        <w:rPr>
          <w:lang w:eastAsia="ru-RU"/>
        </w:rPr>
        <w:t>Условия отбора проб крови;</w:t>
      </w:r>
    </w:p>
    <w:p w14:paraId="78ADD38A" w14:textId="77777777" w:rsidR="006C0BF7" w:rsidRPr="009E6200" w:rsidRDefault="006C0BF7" w:rsidP="007B46F5">
      <w:pPr>
        <w:pStyle w:val="SDText"/>
        <w:numPr>
          <w:ilvl w:val="0"/>
          <w:numId w:val="15"/>
        </w:numPr>
        <w:ind w:left="357" w:hanging="215"/>
        <w:jc w:val="both"/>
        <w:rPr>
          <w:lang w:eastAsia="ru-RU"/>
        </w:rPr>
      </w:pPr>
      <w:r w:rsidRPr="009E6200">
        <w:rPr>
          <w:lang w:eastAsia="ru-RU"/>
        </w:rPr>
        <w:t>Время прибытия пациента в Исследовательский центр;</w:t>
      </w:r>
    </w:p>
    <w:p w14:paraId="3F99538A" w14:textId="77777777" w:rsidR="006C0BF7" w:rsidRPr="009E6200" w:rsidRDefault="006C0BF7" w:rsidP="007B46F5">
      <w:pPr>
        <w:pStyle w:val="SDText"/>
        <w:numPr>
          <w:ilvl w:val="0"/>
          <w:numId w:val="15"/>
        </w:numPr>
        <w:ind w:left="357" w:hanging="215"/>
        <w:jc w:val="both"/>
        <w:rPr>
          <w:lang w:eastAsia="ru-RU"/>
        </w:rPr>
      </w:pPr>
      <w:r w:rsidRPr="009E6200">
        <w:rPr>
          <w:lang w:eastAsia="ru-RU"/>
        </w:rPr>
        <w:t>Режим дня, режим приема пищи, питьевой режим, ограничения приема лекарственных средств и другие ограничения;</w:t>
      </w:r>
    </w:p>
    <w:p w14:paraId="78269917" w14:textId="77777777" w:rsidR="006C0BF7" w:rsidRPr="009E6200" w:rsidRDefault="006C0BF7" w:rsidP="007B46F5">
      <w:pPr>
        <w:pStyle w:val="SDText"/>
        <w:numPr>
          <w:ilvl w:val="0"/>
          <w:numId w:val="15"/>
        </w:numPr>
        <w:ind w:left="357" w:hanging="215"/>
        <w:jc w:val="both"/>
        <w:rPr>
          <w:lang w:eastAsia="ru-RU"/>
        </w:rPr>
      </w:pPr>
      <w:r w:rsidRPr="009E6200">
        <w:rPr>
          <w:lang w:eastAsia="ru-RU"/>
        </w:rPr>
        <w:t>Возможность возникновения НЯ и их проявления;</w:t>
      </w:r>
    </w:p>
    <w:p w14:paraId="7BCBFDE4" w14:textId="77777777" w:rsidR="006C0BF7" w:rsidRPr="009E6200" w:rsidRDefault="006C0BF7" w:rsidP="007B46F5">
      <w:pPr>
        <w:pStyle w:val="SDText"/>
        <w:numPr>
          <w:ilvl w:val="0"/>
          <w:numId w:val="15"/>
        </w:numPr>
        <w:ind w:left="357" w:hanging="215"/>
        <w:jc w:val="both"/>
        <w:rPr>
          <w:lang w:eastAsia="ru-RU"/>
        </w:rPr>
      </w:pPr>
      <w:r w:rsidRPr="009E6200">
        <w:rPr>
          <w:lang w:eastAsia="ru-RU"/>
        </w:rPr>
        <w:t>Возможность оказания медицинской помощи во время исследования;</w:t>
      </w:r>
    </w:p>
    <w:p w14:paraId="5BD7FB74" w14:textId="77777777" w:rsidR="006C0BF7" w:rsidRPr="009E6200" w:rsidRDefault="006C0BF7" w:rsidP="007B46F5">
      <w:pPr>
        <w:pStyle w:val="SDText"/>
        <w:numPr>
          <w:ilvl w:val="0"/>
          <w:numId w:val="15"/>
        </w:numPr>
        <w:ind w:left="357" w:hanging="215"/>
        <w:jc w:val="both"/>
        <w:rPr>
          <w:lang w:eastAsia="ru-RU"/>
        </w:rPr>
      </w:pPr>
      <w:r w:rsidRPr="009E6200">
        <w:rPr>
          <w:lang w:eastAsia="ru-RU"/>
        </w:rPr>
        <w:t>Условия страхования здоровья и вознаграждения;</w:t>
      </w:r>
    </w:p>
    <w:p w14:paraId="07D67313" w14:textId="77777777" w:rsidR="006C0BF7" w:rsidRPr="009E6200" w:rsidRDefault="006C0BF7" w:rsidP="007B46F5">
      <w:pPr>
        <w:pStyle w:val="SDText"/>
        <w:numPr>
          <w:ilvl w:val="0"/>
          <w:numId w:val="15"/>
        </w:numPr>
        <w:ind w:left="357" w:hanging="215"/>
        <w:jc w:val="both"/>
        <w:rPr>
          <w:lang w:eastAsia="ru-RU"/>
        </w:rPr>
      </w:pPr>
      <w:r w:rsidRPr="009E6200">
        <w:rPr>
          <w:lang w:eastAsia="ru-RU"/>
        </w:rPr>
        <w:t>Возможность добровольно выйти из исследования;</w:t>
      </w:r>
    </w:p>
    <w:p w14:paraId="490962E3" w14:textId="3F590A85" w:rsidR="006C0BF7" w:rsidRDefault="006C0BF7" w:rsidP="007B46F5">
      <w:pPr>
        <w:pStyle w:val="SDText"/>
        <w:numPr>
          <w:ilvl w:val="0"/>
          <w:numId w:val="15"/>
        </w:numPr>
        <w:ind w:left="357" w:hanging="215"/>
        <w:jc w:val="both"/>
        <w:rPr>
          <w:lang w:eastAsia="ru-RU"/>
        </w:rPr>
      </w:pPr>
      <w:r w:rsidRPr="009E6200">
        <w:rPr>
          <w:lang w:eastAsia="ru-RU"/>
        </w:rPr>
        <w:t>Конфиденциальность информации о пациенте.</w:t>
      </w:r>
    </w:p>
    <w:p w14:paraId="55F55998" w14:textId="77777777" w:rsidR="00BB6320" w:rsidRPr="009E6200" w:rsidRDefault="00BB6320" w:rsidP="007B46F5">
      <w:pPr>
        <w:pStyle w:val="SDText"/>
        <w:ind w:left="357"/>
        <w:jc w:val="both"/>
        <w:rPr>
          <w:lang w:eastAsia="ru-RU"/>
        </w:rPr>
      </w:pPr>
    </w:p>
    <w:p w14:paraId="08238725" w14:textId="407AE1F0" w:rsidR="007D52A2" w:rsidRDefault="007D52A2" w:rsidP="007B46F5">
      <w:pPr>
        <w:pStyle w:val="Heading4"/>
        <w:spacing w:before="0" w:after="0"/>
        <w:ind w:left="0" w:firstLine="0"/>
        <w:jc w:val="both"/>
        <w:rPr>
          <w:color w:val="auto"/>
        </w:rPr>
      </w:pPr>
      <w:bookmarkStart w:id="125" w:name="_Toc120865246"/>
      <w:r w:rsidRPr="009E6200">
        <w:rPr>
          <w:color w:val="auto"/>
        </w:rPr>
        <w:t>Сбор анамнеза, демографических данных, антропометрия</w:t>
      </w:r>
      <w:r w:rsidR="00E535DE" w:rsidRPr="009E6200">
        <w:rPr>
          <w:color w:val="auto"/>
        </w:rPr>
        <w:t>, регистрация сопутствующей терапии</w:t>
      </w:r>
      <w:bookmarkEnd w:id="125"/>
    </w:p>
    <w:p w14:paraId="453A8437" w14:textId="77777777" w:rsidR="00BB6320" w:rsidRPr="00BB6320" w:rsidRDefault="00BB6320" w:rsidP="007B46F5">
      <w:pPr>
        <w:rPr>
          <w:lang w:eastAsia="ru-RU"/>
        </w:rPr>
      </w:pPr>
    </w:p>
    <w:p w14:paraId="56044066" w14:textId="77777777" w:rsidR="00F6468A" w:rsidRPr="009E6200" w:rsidRDefault="007D52A2" w:rsidP="007B46F5">
      <w:pPr>
        <w:ind w:firstLine="709"/>
        <w:jc w:val="both"/>
        <w:rPr>
          <w:lang w:eastAsia="ru-RU"/>
        </w:rPr>
      </w:pPr>
      <w:r w:rsidRPr="009E6200">
        <w:rPr>
          <w:lang w:eastAsia="ru-RU"/>
        </w:rPr>
        <w:t xml:space="preserve">При сборе анамнеза обращают внимание на ранее перенесенные заболевания, сопутствующие </w:t>
      </w:r>
      <w:r w:rsidR="00A35516" w:rsidRPr="009E6200">
        <w:rPr>
          <w:lang w:eastAsia="ru-RU"/>
        </w:rPr>
        <w:t xml:space="preserve">клинически значимые </w:t>
      </w:r>
      <w:r w:rsidRPr="009E6200">
        <w:rPr>
          <w:lang w:eastAsia="ru-RU"/>
        </w:rPr>
        <w:t xml:space="preserve">хронические заболевания, наследственность, привычные интоксикации (статус курения, употребление алкоголя, наркотиков), аллергологический анамнез, перенесенные операции и травмы, уточняется профессиональный анамнез, постоянная или периодическая лекарственная терапия. </w:t>
      </w:r>
    </w:p>
    <w:p w14:paraId="7C277E77" w14:textId="77777777" w:rsidR="00F6468A" w:rsidRPr="009E6200" w:rsidRDefault="00F6468A" w:rsidP="007B46F5">
      <w:pPr>
        <w:ind w:firstLine="360"/>
        <w:jc w:val="both"/>
        <w:rPr>
          <w:lang w:eastAsia="ru-RU"/>
        </w:rPr>
      </w:pPr>
      <w:r w:rsidRPr="009E6200">
        <w:rPr>
          <w:lang w:eastAsia="ru-RU"/>
        </w:rPr>
        <w:t>По статусу курения пациенты класс</w:t>
      </w:r>
      <w:r w:rsidR="0035314A" w:rsidRPr="009E6200">
        <w:rPr>
          <w:lang w:eastAsia="ru-RU"/>
        </w:rPr>
        <w:t>и</w:t>
      </w:r>
      <w:r w:rsidRPr="009E6200">
        <w:rPr>
          <w:lang w:eastAsia="ru-RU"/>
        </w:rPr>
        <w:t>фицируются следующим образом:</w:t>
      </w:r>
    </w:p>
    <w:p w14:paraId="122B8D46" w14:textId="77777777" w:rsidR="00F6468A" w:rsidRPr="009E6200" w:rsidRDefault="00F6468A" w:rsidP="007B46F5">
      <w:pPr>
        <w:pStyle w:val="ListParagraph"/>
        <w:numPr>
          <w:ilvl w:val="0"/>
          <w:numId w:val="36"/>
        </w:numPr>
        <w:spacing w:line="240" w:lineRule="auto"/>
        <w:ind w:hanging="153"/>
        <w:rPr>
          <w:lang w:val="ru-RU" w:eastAsia="ru-RU"/>
        </w:rPr>
      </w:pPr>
      <w:r w:rsidRPr="009E6200">
        <w:rPr>
          <w:lang w:val="ru-RU" w:eastAsia="ru-RU"/>
        </w:rPr>
        <w:t>группа высокого риска по курению: стаж курения 20 пачка/лет и более, продолжающие курить пациенты или пациенты, бросившие курить менее чем за 15 лет до визита рандомизации;</w:t>
      </w:r>
    </w:p>
    <w:p w14:paraId="2BD77B97" w14:textId="77777777" w:rsidR="00F6468A" w:rsidRPr="009E6200" w:rsidRDefault="00F6468A" w:rsidP="007B46F5">
      <w:pPr>
        <w:pStyle w:val="ListParagraph"/>
        <w:numPr>
          <w:ilvl w:val="0"/>
          <w:numId w:val="36"/>
        </w:numPr>
        <w:spacing w:line="240" w:lineRule="auto"/>
        <w:ind w:hanging="153"/>
        <w:rPr>
          <w:lang w:val="ru-RU" w:eastAsia="ru-RU"/>
        </w:rPr>
      </w:pPr>
      <w:r w:rsidRPr="009E6200">
        <w:rPr>
          <w:lang w:val="ru-RU" w:eastAsia="ru-RU"/>
        </w:rPr>
        <w:t>группа низкого риска по курению: пациенты, которые никогда не курили или бросили курить более чем за 15 лет до визита рандомизации.</w:t>
      </w:r>
    </w:p>
    <w:p w14:paraId="04AD1C70" w14:textId="77777777" w:rsidR="00A35516" w:rsidRPr="009E6200" w:rsidRDefault="00A35516" w:rsidP="007B46F5">
      <w:pPr>
        <w:ind w:firstLine="567"/>
        <w:jc w:val="both"/>
        <w:rPr>
          <w:lang w:eastAsia="ru-RU"/>
        </w:rPr>
      </w:pPr>
      <w:r w:rsidRPr="009E6200">
        <w:rPr>
          <w:lang w:eastAsia="ru-RU"/>
        </w:rPr>
        <w:t>Про</w:t>
      </w:r>
      <w:r w:rsidR="00906D58" w:rsidRPr="009E6200">
        <w:rPr>
          <w:lang w:eastAsia="ru-RU"/>
        </w:rPr>
        <w:t>изво</w:t>
      </w:r>
      <w:r w:rsidRPr="009E6200">
        <w:rPr>
          <w:lang w:eastAsia="ru-RU"/>
        </w:rPr>
        <w:t>дится сбор онкологического (</w:t>
      </w:r>
      <w:r w:rsidR="00906D58" w:rsidRPr="009E6200">
        <w:rPr>
          <w:lang w:eastAsia="ru-RU"/>
        </w:rPr>
        <w:t>сведения о проведении терапевтического и хирургического лечения</w:t>
      </w:r>
      <w:r w:rsidR="00F2340C" w:rsidRPr="009E6200">
        <w:rPr>
          <w:lang w:eastAsia="ru-RU"/>
        </w:rPr>
        <w:t>; наличие других онкологических заболеваний в анамнезе</w:t>
      </w:r>
      <w:r w:rsidR="00906D58" w:rsidRPr="009E6200">
        <w:rPr>
          <w:lang w:eastAsia="ru-RU"/>
        </w:rPr>
        <w:t>)</w:t>
      </w:r>
      <w:r w:rsidR="00F2340C" w:rsidRPr="009E6200">
        <w:rPr>
          <w:lang w:eastAsia="ru-RU"/>
        </w:rPr>
        <w:t xml:space="preserve">, </w:t>
      </w:r>
      <w:r w:rsidR="00906D58" w:rsidRPr="009E6200">
        <w:rPr>
          <w:lang w:eastAsia="ru-RU"/>
        </w:rPr>
        <w:t xml:space="preserve">трансфузионного </w:t>
      </w:r>
      <w:r w:rsidR="00F2340C" w:rsidRPr="009E6200">
        <w:rPr>
          <w:lang w:eastAsia="ru-RU"/>
        </w:rPr>
        <w:t xml:space="preserve">и аллергологического </w:t>
      </w:r>
      <w:r w:rsidR="00906D58" w:rsidRPr="009E6200">
        <w:rPr>
          <w:lang w:eastAsia="ru-RU"/>
        </w:rPr>
        <w:t xml:space="preserve">анамнеза. У пациента берутся сведения о получении лекарственных препаратов (включая вакцины) и биодобавок в течение </w:t>
      </w:r>
      <w:r w:rsidR="00E535DE" w:rsidRPr="009E6200">
        <w:rPr>
          <w:lang w:eastAsia="ru-RU"/>
        </w:rPr>
        <w:t>1 мес. до процедуры скрининга</w:t>
      </w:r>
      <w:r w:rsidR="008B27B8" w:rsidRPr="009E6200">
        <w:rPr>
          <w:lang w:eastAsia="ru-RU"/>
        </w:rPr>
        <w:t xml:space="preserve"> и прием которых продолжается в настоящее время</w:t>
      </w:r>
      <w:r w:rsidR="00E535DE" w:rsidRPr="009E6200">
        <w:rPr>
          <w:lang w:eastAsia="ru-RU"/>
        </w:rPr>
        <w:t>, а также прохождении лучевой или гормональной терапии в течение 21 дня до процедуры скрининга.</w:t>
      </w:r>
    </w:p>
    <w:p w14:paraId="00289A3B" w14:textId="77777777" w:rsidR="007D52A2" w:rsidRPr="009E6200" w:rsidRDefault="007D52A2" w:rsidP="007B46F5">
      <w:pPr>
        <w:ind w:firstLine="567"/>
        <w:jc w:val="both"/>
        <w:rPr>
          <w:lang w:eastAsia="ru-RU"/>
        </w:rPr>
      </w:pPr>
      <w:r w:rsidRPr="009E6200">
        <w:rPr>
          <w:lang w:eastAsia="ru-RU"/>
        </w:rPr>
        <w:t>Уточняется метод контрацепции, которым пользуется</w:t>
      </w:r>
      <w:r w:rsidR="00A273F0" w:rsidRPr="009E6200">
        <w:rPr>
          <w:lang w:eastAsia="ru-RU"/>
        </w:rPr>
        <w:t xml:space="preserve"> </w:t>
      </w:r>
      <w:r w:rsidR="00382F64" w:rsidRPr="009E6200">
        <w:rPr>
          <w:lang w:eastAsia="ru-RU"/>
        </w:rPr>
        <w:t>участник исследования</w:t>
      </w:r>
      <w:r w:rsidRPr="009E6200">
        <w:rPr>
          <w:lang w:eastAsia="ru-RU"/>
        </w:rPr>
        <w:t xml:space="preserve">, при подписании информированного согласия </w:t>
      </w:r>
      <w:r w:rsidR="00A273F0" w:rsidRPr="009E6200">
        <w:rPr>
          <w:lang w:eastAsia="ru-RU"/>
        </w:rPr>
        <w:t>пациент</w:t>
      </w:r>
      <w:r w:rsidRPr="009E6200">
        <w:rPr>
          <w:lang w:eastAsia="ru-RU"/>
        </w:rPr>
        <w:t xml:space="preserve"> выражает согласие на использование </w:t>
      </w:r>
      <w:r w:rsidR="00F2340C" w:rsidRPr="009E6200">
        <w:rPr>
          <w:lang w:eastAsia="ru-RU"/>
        </w:rPr>
        <w:t xml:space="preserve">одного из рекомендованных в соответствии с протоколом исследования методов контрацепции начиная </w:t>
      </w:r>
      <w:r w:rsidR="00952424" w:rsidRPr="009E6200">
        <w:rPr>
          <w:lang w:eastAsia="ru-RU"/>
        </w:rPr>
        <w:t>с момента подписания информированного согласия,</w:t>
      </w:r>
      <w:r w:rsidR="00F2340C" w:rsidRPr="009E6200">
        <w:rPr>
          <w:lang w:eastAsia="ru-RU"/>
        </w:rPr>
        <w:t xml:space="preserve"> и, как минимум, в течение 6 мес</w:t>
      </w:r>
      <w:r w:rsidR="001E3374" w:rsidRPr="009E6200">
        <w:rPr>
          <w:lang w:eastAsia="ru-RU"/>
        </w:rPr>
        <w:t>яцев</w:t>
      </w:r>
      <w:r w:rsidR="00F2340C" w:rsidRPr="009E6200">
        <w:rPr>
          <w:lang w:eastAsia="ru-RU"/>
        </w:rPr>
        <w:t xml:space="preserve"> после введения последней дозы исследуемого препарата/препарата сравнения</w:t>
      </w:r>
      <w:r w:rsidR="001E3374" w:rsidRPr="009E6200">
        <w:rPr>
          <w:lang w:eastAsia="ru-RU"/>
        </w:rPr>
        <w:t xml:space="preserve"> </w:t>
      </w:r>
      <w:r w:rsidRPr="009E6200">
        <w:rPr>
          <w:lang w:eastAsia="ru-RU"/>
        </w:rPr>
        <w:t xml:space="preserve">на протяжении всего исследования и месяца после завершения исследования </w:t>
      </w:r>
    </w:p>
    <w:p w14:paraId="30B17CFC" w14:textId="77777777" w:rsidR="007D52A2" w:rsidRPr="009E6200" w:rsidRDefault="007D52A2" w:rsidP="007B46F5">
      <w:pPr>
        <w:ind w:firstLine="567"/>
        <w:jc w:val="both"/>
        <w:rPr>
          <w:lang w:eastAsia="ru-RU"/>
        </w:rPr>
      </w:pPr>
      <w:r w:rsidRPr="009E6200">
        <w:rPr>
          <w:lang w:eastAsia="ru-RU"/>
        </w:rPr>
        <w:t xml:space="preserve">В первичной документации отмечаются пол, возраст, раса и этническая принадлежность </w:t>
      </w:r>
      <w:r w:rsidR="00652EC8" w:rsidRPr="009E6200">
        <w:rPr>
          <w:lang w:eastAsia="ru-RU"/>
        </w:rPr>
        <w:t>пациента</w:t>
      </w:r>
      <w:r w:rsidRPr="009E6200">
        <w:rPr>
          <w:lang w:eastAsia="ru-RU"/>
        </w:rPr>
        <w:t xml:space="preserve">. С помощью ростомера измеряется рост </w:t>
      </w:r>
      <w:r w:rsidR="00652EC8" w:rsidRPr="009E6200">
        <w:rPr>
          <w:lang w:eastAsia="ru-RU"/>
        </w:rPr>
        <w:t>пациента</w:t>
      </w:r>
      <w:r w:rsidRPr="009E6200">
        <w:rPr>
          <w:lang w:eastAsia="ru-RU"/>
        </w:rPr>
        <w:t xml:space="preserve"> в сантиметрах, с помощью медицинских весов – масса тела.</w:t>
      </w:r>
    </w:p>
    <w:p w14:paraId="2414A831" w14:textId="77777777" w:rsidR="007D52A2" w:rsidRPr="009E6200" w:rsidRDefault="007D52A2" w:rsidP="007B46F5">
      <w:pPr>
        <w:ind w:firstLine="567"/>
        <w:jc w:val="both"/>
        <w:rPr>
          <w:lang w:eastAsia="ru-RU"/>
        </w:rPr>
      </w:pPr>
      <w:r w:rsidRPr="009E6200">
        <w:rPr>
          <w:lang w:eastAsia="ru-RU"/>
        </w:rPr>
        <w:t>Измерение роста</w:t>
      </w:r>
      <w:r w:rsidR="00AA6DFF" w:rsidRPr="009E6200">
        <w:rPr>
          <w:lang w:eastAsia="ru-RU"/>
        </w:rPr>
        <w:t xml:space="preserve"> будет проводиться с помощью сертифицированного ростомера, массы тела – с помощью сертифицированных </w:t>
      </w:r>
      <w:r w:rsidR="00BE1FFF" w:rsidRPr="009E6200">
        <w:rPr>
          <w:lang w:eastAsia="ru-RU"/>
        </w:rPr>
        <w:t>медицинских весов</w:t>
      </w:r>
      <w:r w:rsidRPr="009E6200">
        <w:rPr>
          <w:lang w:eastAsia="ru-RU"/>
        </w:rPr>
        <w:t xml:space="preserve">. </w:t>
      </w:r>
    </w:p>
    <w:p w14:paraId="47851D18" w14:textId="77777777" w:rsidR="007D52A2" w:rsidRPr="009E6200" w:rsidRDefault="007D52A2" w:rsidP="007B46F5">
      <w:pPr>
        <w:pStyle w:val="SDText"/>
        <w:jc w:val="both"/>
        <w:rPr>
          <w:i/>
          <w:lang w:eastAsia="ru-RU"/>
        </w:rPr>
      </w:pPr>
    </w:p>
    <w:p w14:paraId="58B9EB86" w14:textId="2D3D0179" w:rsidR="00DD31C4" w:rsidRDefault="00DD31C4" w:rsidP="007B46F5">
      <w:pPr>
        <w:pStyle w:val="Heading4"/>
        <w:spacing w:before="0" w:after="0"/>
        <w:ind w:left="862" w:hanging="862"/>
        <w:jc w:val="both"/>
      </w:pPr>
      <w:bookmarkStart w:id="126" w:name="_Toc527138518"/>
      <w:bookmarkStart w:id="127" w:name="_Toc120865247"/>
      <w:r w:rsidRPr="009E6200">
        <w:t>Физикальный осмотр</w:t>
      </w:r>
      <w:bookmarkEnd w:id="126"/>
      <w:bookmarkEnd w:id="127"/>
      <w:r w:rsidRPr="009E6200">
        <w:t xml:space="preserve"> </w:t>
      </w:r>
    </w:p>
    <w:p w14:paraId="186E4E16" w14:textId="77777777" w:rsidR="00BB6320" w:rsidRPr="00BB6320" w:rsidRDefault="00BB6320" w:rsidP="007B46F5">
      <w:pPr>
        <w:rPr>
          <w:lang w:eastAsia="ru-RU"/>
        </w:rPr>
      </w:pPr>
    </w:p>
    <w:p w14:paraId="6F8D4A4B" w14:textId="1683DA0F" w:rsidR="00DD31C4" w:rsidRDefault="00DD31C4" w:rsidP="007B46F5">
      <w:pPr>
        <w:pStyle w:val="SDText"/>
        <w:ind w:firstLine="709"/>
        <w:jc w:val="both"/>
      </w:pPr>
      <w:r w:rsidRPr="009E6200">
        <w:t>Физикальный осмотр будет проводиться по общим правилам пропедевтики внутренних болезней: последовательно будет проведен общий осмотр, осмотр слизистых и кожного покрова, пальпаци</w:t>
      </w:r>
      <w:r w:rsidR="00952424" w:rsidRPr="009E6200">
        <w:t>я</w:t>
      </w:r>
      <w:r w:rsidRPr="009E6200">
        <w:t xml:space="preserve"> лимфоузлов, оценка опорно-двигательного аппарата, пальпация, перкуссия и аускультация по основным системам органов (сердечно- сосудистая, дыхательная, пищеварительная, мочевыделительная системы).</w:t>
      </w:r>
    </w:p>
    <w:p w14:paraId="5B51340F" w14:textId="77777777" w:rsidR="00BB6320" w:rsidRPr="009E6200" w:rsidRDefault="00BB6320" w:rsidP="007B46F5">
      <w:pPr>
        <w:pStyle w:val="SDText"/>
        <w:ind w:firstLine="709"/>
        <w:jc w:val="both"/>
      </w:pPr>
    </w:p>
    <w:p w14:paraId="1A681E8D" w14:textId="77777777" w:rsidR="00E535DE" w:rsidRPr="009E6200" w:rsidRDefault="00E535DE" w:rsidP="007B46F5">
      <w:pPr>
        <w:pStyle w:val="Heading4"/>
        <w:spacing w:before="0" w:after="0"/>
        <w:jc w:val="both"/>
        <w:rPr>
          <w:color w:val="auto"/>
        </w:rPr>
      </w:pPr>
      <w:bookmarkStart w:id="128" w:name="_Toc120865248"/>
      <w:r w:rsidRPr="009E6200">
        <w:rPr>
          <w:color w:val="auto"/>
        </w:rPr>
        <w:t>Оценка основных жизненных показателей</w:t>
      </w:r>
      <w:bookmarkEnd w:id="128"/>
    </w:p>
    <w:p w14:paraId="78BA37F9" w14:textId="77777777" w:rsidR="00BB6320" w:rsidRDefault="00BB6320" w:rsidP="007B46F5">
      <w:pPr>
        <w:pStyle w:val="SDText"/>
        <w:jc w:val="both"/>
      </w:pPr>
    </w:p>
    <w:p w14:paraId="2768D214" w14:textId="3B3198A8" w:rsidR="00D751B0" w:rsidRPr="009E6200" w:rsidRDefault="00D751B0" w:rsidP="007B46F5">
      <w:pPr>
        <w:pStyle w:val="SDText"/>
        <w:ind w:firstLine="360"/>
        <w:jc w:val="both"/>
      </w:pPr>
      <w:r w:rsidRPr="009E6200">
        <w:t>Оценка основных жизненных показателей включает:</w:t>
      </w:r>
    </w:p>
    <w:p w14:paraId="7B500E59" w14:textId="77777777" w:rsidR="00D751B0" w:rsidRPr="009E6200" w:rsidRDefault="00D751B0" w:rsidP="007B46F5">
      <w:pPr>
        <w:pStyle w:val="SDText"/>
        <w:numPr>
          <w:ilvl w:val="0"/>
          <w:numId w:val="30"/>
        </w:numPr>
        <w:ind w:hanging="356"/>
        <w:jc w:val="both"/>
      </w:pPr>
      <w:r w:rsidRPr="009E6200">
        <w:t>измерение систолического и диастолического АД;</w:t>
      </w:r>
    </w:p>
    <w:p w14:paraId="4943584E" w14:textId="77777777" w:rsidR="00D751B0" w:rsidRPr="009E6200" w:rsidRDefault="00D751B0" w:rsidP="007B46F5">
      <w:pPr>
        <w:pStyle w:val="SDText"/>
        <w:numPr>
          <w:ilvl w:val="0"/>
          <w:numId w:val="30"/>
        </w:numPr>
        <w:ind w:hanging="356"/>
        <w:jc w:val="both"/>
      </w:pPr>
      <w:r w:rsidRPr="009E6200">
        <w:t>подсчет ЧСС за 1 мин;</w:t>
      </w:r>
    </w:p>
    <w:p w14:paraId="379F786F" w14:textId="77777777" w:rsidR="00D751B0" w:rsidRPr="009E6200" w:rsidRDefault="00D751B0" w:rsidP="007B46F5">
      <w:pPr>
        <w:pStyle w:val="SDText"/>
        <w:numPr>
          <w:ilvl w:val="0"/>
          <w:numId w:val="30"/>
        </w:numPr>
        <w:ind w:hanging="356"/>
        <w:jc w:val="both"/>
      </w:pPr>
      <w:r w:rsidRPr="009E6200">
        <w:t>подсчет ЧДД за 1 мин;</w:t>
      </w:r>
    </w:p>
    <w:p w14:paraId="7BDC1AD4" w14:textId="77777777" w:rsidR="00D751B0" w:rsidRPr="009E6200" w:rsidRDefault="00D751B0" w:rsidP="007B46F5">
      <w:pPr>
        <w:pStyle w:val="SDText"/>
        <w:numPr>
          <w:ilvl w:val="0"/>
          <w:numId w:val="30"/>
        </w:numPr>
        <w:ind w:hanging="356"/>
        <w:jc w:val="both"/>
      </w:pPr>
      <w:r w:rsidRPr="009E6200">
        <w:t>измерение температуры тела.</w:t>
      </w:r>
    </w:p>
    <w:p w14:paraId="45FE356B" w14:textId="077D573D" w:rsidR="00D751B0" w:rsidRPr="009E6200" w:rsidRDefault="00D751B0" w:rsidP="007B46F5">
      <w:pPr>
        <w:pStyle w:val="SDText"/>
        <w:ind w:firstLine="709"/>
        <w:jc w:val="both"/>
      </w:pPr>
      <w:r w:rsidRPr="009E6200">
        <w:t xml:space="preserve">Измерение АД будет проводиться Исследователем в соответствии с графиком процедур исследования (см. </w:t>
      </w:r>
      <w:r w:rsidR="00F63600" w:rsidRPr="009E6200">
        <w:t>р</w:t>
      </w:r>
      <w:r w:rsidRPr="009E6200">
        <w:t>аздел</w:t>
      </w:r>
      <w:r w:rsidR="00F63600" w:rsidRPr="009E6200">
        <w:t xml:space="preserve"> </w:t>
      </w:r>
      <w:r w:rsidR="00F63600" w:rsidRPr="009E6200">
        <w:fldChar w:fldCharType="begin"/>
      </w:r>
      <w:r w:rsidR="00F63600" w:rsidRPr="009E6200">
        <w:instrText xml:space="preserve"> REF _Ref16246617 \r \h </w:instrText>
      </w:r>
      <w:r w:rsidR="009E6200">
        <w:instrText xml:space="preserve"> \* MERGEFORMAT </w:instrText>
      </w:r>
      <w:r w:rsidR="00F63600" w:rsidRPr="009E6200">
        <w:fldChar w:fldCharType="separate"/>
      </w:r>
      <w:r w:rsidR="005A436A">
        <w:t>4.2.3</w:t>
      </w:r>
      <w:r w:rsidR="00F63600" w:rsidRPr="009E6200">
        <w:fldChar w:fldCharType="end"/>
      </w:r>
      <w:r w:rsidRPr="009E6200">
        <w:t>) медицинским тонометром, зарегистрированным в РФ в качестве изделия медицинского назначения и сертифицированным уполномоченным органом. Процедура измерения АД будет выполняться в соответствии с инструкцией по применению используемого тонометра.</w:t>
      </w:r>
    </w:p>
    <w:p w14:paraId="44543432" w14:textId="77777777" w:rsidR="00D751B0" w:rsidRPr="009E6200" w:rsidRDefault="00D751B0" w:rsidP="007B46F5">
      <w:pPr>
        <w:pStyle w:val="SDText"/>
        <w:ind w:firstLine="709"/>
        <w:jc w:val="both"/>
      </w:pPr>
      <w:r w:rsidRPr="009E6200">
        <w:t>Измерения систолического АД</w:t>
      </w:r>
      <w:r w:rsidR="00402B11" w:rsidRPr="009E6200">
        <w:t xml:space="preserve"> и</w:t>
      </w:r>
      <w:r w:rsidRPr="009E6200">
        <w:t xml:space="preserve"> диастолического АД выполняются в положении сидя или полулежа через 5 мин отдыха</w:t>
      </w:r>
      <w:r w:rsidR="002627A0" w:rsidRPr="009E6200">
        <w:t>, предпочтительно,</w:t>
      </w:r>
      <w:r w:rsidRPr="009E6200">
        <w:t xml:space="preserve"> на одной и той же руке и, по возможности, одним и тем же сотрудником Исследовательского центра в период участия конкретного пациента в исследовании.</w:t>
      </w:r>
      <w:r w:rsidR="00402B11" w:rsidRPr="009E6200">
        <w:t xml:space="preserve"> Подсчет ЧСС выполняется при аускультации сердца в положении сидя через 5 минут отдыха.</w:t>
      </w:r>
    </w:p>
    <w:p w14:paraId="6D633256" w14:textId="3FF6301A" w:rsidR="009F7BC4" w:rsidRDefault="00D751B0" w:rsidP="007B46F5">
      <w:pPr>
        <w:ind w:firstLine="709"/>
        <w:jc w:val="both"/>
        <w:rPr>
          <w:lang w:eastAsia="ru-RU"/>
        </w:rPr>
      </w:pPr>
      <w:r w:rsidRPr="009E6200">
        <w:t>Для выявления НЯ исследователь должен опросить пациента на предмет изменения самочувствия или жалоб с помощью вопросов: «Как Вы себя чувствуете?», «Что Вас беспокоит?», «Изменилось ли Ваше самочувствие с момента предыдущего опроса?». Опрос для выявления НЯ может проводиться и в ходе наблюдения за пациентом при подозрении на развитие НЯ</w:t>
      </w:r>
      <w:r w:rsidR="00E535DE" w:rsidRPr="009E6200">
        <w:rPr>
          <w:lang w:eastAsia="ru-RU"/>
        </w:rPr>
        <w:t>.</w:t>
      </w:r>
    </w:p>
    <w:p w14:paraId="62A03607" w14:textId="77777777" w:rsidR="00992857" w:rsidRPr="009E6200" w:rsidRDefault="00992857" w:rsidP="007B46F5">
      <w:pPr>
        <w:ind w:firstLine="709"/>
        <w:jc w:val="both"/>
        <w:rPr>
          <w:lang w:eastAsia="ru-RU"/>
        </w:rPr>
      </w:pPr>
    </w:p>
    <w:p w14:paraId="118EF4B9" w14:textId="69011037" w:rsidR="00882182" w:rsidRDefault="00882182" w:rsidP="007B46F5">
      <w:pPr>
        <w:pStyle w:val="Heading4"/>
        <w:spacing w:before="0" w:after="0"/>
        <w:ind w:left="862" w:hanging="862"/>
        <w:jc w:val="both"/>
        <w:rPr>
          <w:color w:val="auto"/>
        </w:rPr>
      </w:pPr>
      <w:bookmarkStart w:id="129" w:name="_Toc486996182"/>
      <w:bookmarkStart w:id="130" w:name="_Toc120865249"/>
      <w:r w:rsidRPr="009E6200">
        <w:rPr>
          <w:color w:val="auto"/>
        </w:rPr>
        <w:t>Лабораторные исследования</w:t>
      </w:r>
      <w:bookmarkEnd w:id="129"/>
      <w:bookmarkEnd w:id="130"/>
    </w:p>
    <w:p w14:paraId="68D7F441" w14:textId="77777777" w:rsidR="00BB6320" w:rsidRPr="00BB6320" w:rsidRDefault="00BB6320" w:rsidP="007B46F5">
      <w:pPr>
        <w:rPr>
          <w:lang w:eastAsia="ru-RU"/>
        </w:rPr>
      </w:pPr>
    </w:p>
    <w:p w14:paraId="344F0AD7" w14:textId="77777777" w:rsidR="008B27B8" w:rsidRPr="009E6200" w:rsidRDefault="008B27B8" w:rsidP="007B46F5">
      <w:pPr>
        <w:pStyle w:val="Heading5"/>
        <w:spacing w:before="0" w:after="0"/>
        <w:ind w:left="1009" w:hanging="1009"/>
        <w:jc w:val="both"/>
        <w:rPr>
          <w:color w:val="auto"/>
          <w:lang w:eastAsia="ru-RU"/>
        </w:rPr>
      </w:pPr>
      <w:bookmarkStart w:id="131" w:name="_Toc11065071"/>
      <w:bookmarkStart w:id="132" w:name="_Toc120865250"/>
      <w:r w:rsidRPr="009E6200">
        <w:rPr>
          <w:color w:val="auto"/>
          <w:lang w:eastAsia="ru-RU"/>
        </w:rPr>
        <w:t>Анализы образцов крови (общий, биохимический, серологический</w:t>
      </w:r>
      <w:r w:rsidR="00A16F08" w:rsidRPr="009E6200">
        <w:rPr>
          <w:color w:val="auto"/>
          <w:lang w:eastAsia="ru-RU"/>
        </w:rPr>
        <w:t>, коагулограмма</w:t>
      </w:r>
      <w:r w:rsidRPr="009E6200">
        <w:rPr>
          <w:color w:val="auto"/>
          <w:lang w:eastAsia="ru-RU"/>
        </w:rPr>
        <w:t>)</w:t>
      </w:r>
      <w:bookmarkEnd w:id="131"/>
      <w:bookmarkEnd w:id="132"/>
    </w:p>
    <w:p w14:paraId="22832831" w14:textId="77777777" w:rsidR="00BB6320" w:rsidRDefault="00BB6320" w:rsidP="007B46F5">
      <w:pPr>
        <w:jc w:val="both"/>
        <w:rPr>
          <w:lang w:eastAsia="ru-RU"/>
        </w:rPr>
      </w:pPr>
    </w:p>
    <w:p w14:paraId="575FA555" w14:textId="623B92FF" w:rsidR="008B27B8" w:rsidRPr="009E6200" w:rsidRDefault="008B27B8" w:rsidP="007B46F5">
      <w:pPr>
        <w:ind w:firstLine="709"/>
        <w:jc w:val="both"/>
        <w:rPr>
          <w:lang w:eastAsia="ru-RU"/>
        </w:rPr>
      </w:pPr>
      <w:r w:rsidRPr="009E6200">
        <w:rPr>
          <w:lang w:eastAsia="ru-RU"/>
        </w:rPr>
        <w:t>Отбор образцов крови для анализа будет производиться утром натощак (</w:t>
      </w:r>
      <w:r w:rsidR="002C09AA" w:rsidRPr="009E6200">
        <w:rPr>
          <w:lang w:eastAsia="ru-RU"/>
        </w:rPr>
        <w:t>не менее 8</w:t>
      </w:r>
      <w:r w:rsidRPr="009E6200">
        <w:rPr>
          <w:lang w:eastAsia="ru-RU"/>
        </w:rPr>
        <w:t xml:space="preserve"> ч после последнего приема пищи) </w:t>
      </w:r>
      <w:r w:rsidR="00FE6B25" w:rsidRPr="009E6200">
        <w:rPr>
          <w:lang w:eastAsia="ru-RU"/>
        </w:rPr>
        <w:t xml:space="preserve">из вены согласно </w:t>
      </w:r>
      <w:r w:rsidR="00DB5EF0" w:rsidRPr="009E6200">
        <w:rPr>
          <w:lang w:eastAsia="ru-RU"/>
        </w:rPr>
        <w:t xml:space="preserve">рутинной практике исследовательского центра </w:t>
      </w:r>
      <w:r w:rsidR="006C281D">
        <w:rPr>
          <w:lang w:eastAsia="ru-RU"/>
        </w:rPr>
        <w:t>(</w:t>
      </w:r>
      <w:r w:rsidR="006C281D" w:rsidRPr="000424B7">
        <w:rPr>
          <w:rFonts w:cs="Times New Roman"/>
          <w:szCs w:val="24"/>
        </w:rPr>
        <w:t>начиная с Визита 2, накануне (не ранее, чем за 2 дня до визита) или в день визита пациента в центр) в отн</w:t>
      </w:r>
      <w:r w:rsidR="006C281D">
        <w:rPr>
          <w:rFonts w:cs="Times New Roman"/>
          <w:szCs w:val="24"/>
        </w:rPr>
        <w:t>ошении процедур отбора образцов</w:t>
      </w:r>
      <w:r w:rsidR="00DB5EF0" w:rsidRPr="009E6200">
        <w:rPr>
          <w:lang w:eastAsia="ru-RU"/>
        </w:rPr>
        <w:t>.</w:t>
      </w:r>
    </w:p>
    <w:p w14:paraId="0B5695CF" w14:textId="77777777" w:rsidR="008B27B8" w:rsidRPr="009E6200" w:rsidRDefault="008B27B8" w:rsidP="007B46F5">
      <w:pPr>
        <w:ind w:firstLine="709"/>
        <w:jc w:val="both"/>
        <w:rPr>
          <w:lang w:eastAsia="ru-RU"/>
        </w:rPr>
      </w:pPr>
      <w:r w:rsidRPr="009E6200">
        <w:rPr>
          <w:lang w:eastAsia="ru-RU"/>
        </w:rPr>
        <w:t xml:space="preserve">Всего для </w:t>
      </w:r>
      <w:r w:rsidR="003949FD" w:rsidRPr="009E6200">
        <w:rPr>
          <w:lang w:eastAsia="ru-RU"/>
        </w:rPr>
        <w:t xml:space="preserve">лабораторных </w:t>
      </w:r>
      <w:r w:rsidRPr="009E6200">
        <w:rPr>
          <w:lang w:eastAsia="ru-RU"/>
        </w:rPr>
        <w:t xml:space="preserve">анализов необходим отбор </w:t>
      </w:r>
      <w:r w:rsidR="00556565" w:rsidRPr="009E6200">
        <w:rPr>
          <w:lang w:eastAsia="ru-RU"/>
        </w:rPr>
        <w:t>от 11 до</w:t>
      </w:r>
      <w:r w:rsidRPr="009E6200">
        <w:rPr>
          <w:lang w:eastAsia="ru-RU"/>
        </w:rPr>
        <w:t xml:space="preserve"> </w:t>
      </w:r>
      <w:r w:rsidR="00DA24D0" w:rsidRPr="009E6200">
        <w:rPr>
          <w:lang w:eastAsia="ru-RU"/>
        </w:rPr>
        <w:t>23</w:t>
      </w:r>
      <w:r w:rsidRPr="009E6200">
        <w:rPr>
          <w:lang w:eastAsia="ru-RU"/>
        </w:rPr>
        <w:t xml:space="preserve"> мл крови </w:t>
      </w:r>
      <w:r w:rsidR="003949FD" w:rsidRPr="009E6200">
        <w:rPr>
          <w:lang w:eastAsia="ru-RU"/>
        </w:rPr>
        <w:t>в зависимости от визита</w:t>
      </w:r>
      <w:r w:rsidR="006A7E02" w:rsidRPr="009E6200">
        <w:rPr>
          <w:lang w:eastAsia="ru-RU"/>
        </w:rPr>
        <w:t>.</w:t>
      </w:r>
    </w:p>
    <w:p w14:paraId="13BDD735" w14:textId="77777777" w:rsidR="008B27B8" w:rsidRPr="009E6200" w:rsidRDefault="008B27B8" w:rsidP="007B46F5">
      <w:pPr>
        <w:ind w:firstLine="709"/>
        <w:jc w:val="both"/>
        <w:rPr>
          <w:lang w:eastAsia="ru-RU"/>
        </w:rPr>
      </w:pPr>
      <w:r w:rsidRPr="009E6200">
        <w:rPr>
          <w:lang w:eastAsia="ru-RU"/>
        </w:rPr>
        <w:t>Клинический анализ крови (концентрация гемоглобина, гематокрит, количество эритроцитов, количество тромбоцитов, количество лейкоцитов, лейкоцитарная формула, скорость оседания эритроцитов [СОЭ]), биохимический анализ крови (концентрация глюкозы, общего белка,</w:t>
      </w:r>
      <w:r w:rsidR="00FF3ED2" w:rsidRPr="009E6200">
        <w:rPr>
          <w:lang w:eastAsia="ru-RU"/>
        </w:rPr>
        <w:t xml:space="preserve"> альбумина,</w:t>
      </w:r>
      <w:r w:rsidRPr="009E6200">
        <w:rPr>
          <w:lang w:eastAsia="ru-RU"/>
        </w:rPr>
        <w:t xml:space="preserve"> общего билирубина, креатинина, мочевины, активности АЛТ, АСТ и ЩФ)</w:t>
      </w:r>
      <w:r w:rsidR="00A16F08" w:rsidRPr="009E6200">
        <w:rPr>
          <w:lang w:eastAsia="ru-RU"/>
        </w:rPr>
        <w:t xml:space="preserve">, коагулограмма (АЧТВ, ПВ, </w:t>
      </w:r>
      <w:r w:rsidR="00FF3ED2" w:rsidRPr="009E6200">
        <w:rPr>
          <w:lang w:eastAsia="ru-RU"/>
        </w:rPr>
        <w:t xml:space="preserve">МНО, </w:t>
      </w:r>
      <w:r w:rsidR="00A16F08" w:rsidRPr="009E6200">
        <w:rPr>
          <w:lang w:eastAsia="ru-RU"/>
        </w:rPr>
        <w:t xml:space="preserve">фибриноген) </w:t>
      </w:r>
      <w:r w:rsidRPr="009E6200">
        <w:rPr>
          <w:lang w:eastAsia="ru-RU"/>
        </w:rPr>
        <w:t>будут проведены в лаборатории Исследовательского центра.</w:t>
      </w:r>
    </w:p>
    <w:p w14:paraId="74F5B7C9" w14:textId="439C464F" w:rsidR="008B27B8" w:rsidRDefault="00A16F08" w:rsidP="007B46F5">
      <w:pPr>
        <w:ind w:firstLine="709"/>
        <w:jc w:val="both"/>
        <w:rPr>
          <w:lang w:eastAsia="ru-RU"/>
        </w:rPr>
      </w:pPr>
      <w:r w:rsidRPr="009E6200">
        <w:rPr>
          <w:lang w:eastAsia="ru-RU"/>
        </w:rPr>
        <w:t>При проведении серологического исследования крови буд</w:t>
      </w:r>
      <w:r w:rsidR="00B81339" w:rsidRPr="009E6200">
        <w:rPr>
          <w:lang w:eastAsia="ru-RU"/>
        </w:rPr>
        <w:t>у</w:t>
      </w:r>
      <w:r w:rsidRPr="009E6200">
        <w:rPr>
          <w:lang w:eastAsia="ru-RU"/>
        </w:rPr>
        <w:t>т определяться следующие показатели:</w:t>
      </w:r>
      <w:r w:rsidRPr="009E6200">
        <w:t xml:space="preserve"> </w:t>
      </w:r>
      <w:r w:rsidRPr="009E6200">
        <w:rPr>
          <w:lang w:eastAsia="ru-RU"/>
        </w:rPr>
        <w:t>HBs-Ag, анти-HCV, анти-ВИЧ,</w:t>
      </w:r>
      <w:r w:rsidR="00FF3ED2" w:rsidRPr="009E6200">
        <w:rPr>
          <w:lang w:eastAsia="ru-RU"/>
        </w:rPr>
        <w:t xml:space="preserve"> анализ на сифилис</w:t>
      </w:r>
      <w:r w:rsidRPr="009E6200">
        <w:rPr>
          <w:lang w:eastAsia="ru-RU"/>
        </w:rPr>
        <w:t xml:space="preserve">. </w:t>
      </w:r>
      <w:r w:rsidR="008B27B8" w:rsidRPr="009E6200">
        <w:rPr>
          <w:lang w:eastAsia="ru-RU"/>
        </w:rPr>
        <w:t>Допустимо использовать результаты ранее выполненных обследований, если их давность не превышает 60 дней до даты проведения скрининга.</w:t>
      </w:r>
    </w:p>
    <w:p w14:paraId="5D421373" w14:textId="77777777" w:rsidR="00BB6320" w:rsidRPr="009E6200" w:rsidRDefault="00BB6320" w:rsidP="007B46F5">
      <w:pPr>
        <w:ind w:firstLine="709"/>
        <w:jc w:val="both"/>
        <w:rPr>
          <w:lang w:eastAsia="ru-RU"/>
        </w:rPr>
      </w:pPr>
    </w:p>
    <w:p w14:paraId="11988851" w14:textId="639C7EE4" w:rsidR="00C23AFE" w:rsidRPr="009E6200" w:rsidRDefault="00C23AFE" w:rsidP="007B46F5">
      <w:pPr>
        <w:pStyle w:val="Heading5"/>
        <w:spacing w:before="0" w:after="0"/>
        <w:jc w:val="both"/>
        <w:rPr>
          <w:color w:val="auto"/>
          <w:lang w:eastAsia="ru-RU"/>
        </w:rPr>
      </w:pPr>
      <w:bookmarkStart w:id="133" w:name="_Toc120865251"/>
      <w:r w:rsidRPr="009E6200">
        <w:rPr>
          <w:color w:val="auto"/>
          <w:lang w:eastAsia="ru-RU"/>
        </w:rPr>
        <w:t>С</w:t>
      </w:r>
      <w:r w:rsidR="00D034C0" w:rsidRPr="009E6200">
        <w:rPr>
          <w:color w:val="auto"/>
          <w:lang w:eastAsia="ru-RU"/>
        </w:rPr>
        <w:t>корость клубочковой фильтрации (СКФ)</w:t>
      </w:r>
      <w:bookmarkEnd w:id="133"/>
    </w:p>
    <w:p w14:paraId="539D4EB8" w14:textId="77777777" w:rsidR="00BB6320" w:rsidRDefault="00BB6320" w:rsidP="007B46F5">
      <w:pPr>
        <w:ind w:firstLine="709"/>
        <w:jc w:val="both"/>
      </w:pPr>
    </w:p>
    <w:p w14:paraId="0A4BDCC3" w14:textId="26046F5E" w:rsidR="00C23AFE" w:rsidRDefault="00C23AFE" w:rsidP="007B46F5">
      <w:pPr>
        <w:ind w:firstLine="709"/>
        <w:jc w:val="both"/>
      </w:pPr>
      <w:r w:rsidRPr="009E6200">
        <w:t>В рамках биохимического анализа крови по концентрации креатинина в сыворотке крови с помощью метода CKD-EP</w:t>
      </w:r>
      <w:r w:rsidRPr="009E6200">
        <w:rPr>
          <w:lang w:val="en-US"/>
        </w:rPr>
        <w:t>I</w:t>
      </w:r>
      <w:r w:rsidRPr="009E6200">
        <w:t xml:space="preserve"> (Levey A.S. и соавт.) </w:t>
      </w:r>
      <w:r w:rsidR="00E26006" w:rsidRPr="009E6200">
        <w:fldChar w:fldCharType="begin"/>
      </w:r>
      <w:r w:rsidR="005C3D92" w:rsidRPr="009E6200">
        <w:instrText xml:space="preserve"> ADDIN ZOTERO_ITEM CSL_CITATION {"citationID":"bZfzDh2d","properties":{"formattedCitation":"[16]","plainCitation":"[16]","noteIndex":0},"citationItems":[{"id":34998,"uris":["http://zotero.org/groups/2341397/items/D2W2PYVB"],"uri":["http://zotero.org/groups/2341397/items/D2W2PYVB"],"itemData":{"id":34998,"type":"book","title":"Национальные рекомендации. Хроническая болезнь почек: основные принципы скрининга, диагностики, профилактики и подходы к лечению. Под редакцией Рабочей группы членов Правления Научного общества нефрологов России. Руководитель группы А.В. Смирнов.","publisher":"Левша. Санкт-Петербург","number-of-pages":"51","issued":{"date-parts":[["2012"]]}}}],"schema":"https://github.com/citation-style-language/schema/raw/master/csl-citation.json"} </w:instrText>
      </w:r>
      <w:r w:rsidR="00E26006" w:rsidRPr="009E6200">
        <w:fldChar w:fldCharType="separate"/>
      </w:r>
      <w:r w:rsidR="005C3D92" w:rsidRPr="009E6200">
        <w:rPr>
          <w:rFonts w:cs="Times New Roman"/>
        </w:rPr>
        <w:t>[16]</w:t>
      </w:r>
      <w:r w:rsidR="00E26006" w:rsidRPr="009E6200">
        <w:fldChar w:fldCharType="end"/>
      </w:r>
      <w:r w:rsidR="00E26006" w:rsidRPr="009E6200">
        <w:t xml:space="preserve"> </w:t>
      </w:r>
      <w:r w:rsidRPr="009E6200">
        <w:t>(</w:t>
      </w:r>
      <w:r w:rsidR="00077013" w:rsidRPr="009E6200">
        <w:fldChar w:fldCharType="begin"/>
      </w:r>
      <w:r w:rsidR="00077013" w:rsidRPr="009E6200">
        <w:instrText xml:space="preserve"> REF _Ref25812347 \h </w:instrText>
      </w:r>
      <w:r w:rsidR="009E6200">
        <w:instrText xml:space="preserve"> \* MERGEFORMAT </w:instrText>
      </w:r>
      <w:r w:rsidR="00077013" w:rsidRPr="009E6200">
        <w:fldChar w:fldCharType="separate"/>
      </w:r>
      <w:r w:rsidR="005A436A" w:rsidRPr="009E6200">
        <w:t xml:space="preserve">Таблица </w:t>
      </w:r>
      <w:r w:rsidR="005A436A">
        <w:rPr>
          <w:noProof/>
        </w:rPr>
        <w:t>1</w:t>
      </w:r>
      <w:r w:rsidR="00077013" w:rsidRPr="009E6200">
        <w:fldChar w:fldCharType="end"/>
      </w:r>
      <w:r w:rsidRPr="009E6200">
        <w:t>) будет проведена оценка скорости клубочковй фильтрации.</w:t>
      </w:r>
    </w:p>
    <w:p w14:paraId="58A2B4B2" w14:textId="77777777" w:rsidR="00992857" w:rsidRDefault="00992857" w:rsidP="007B46F5">
      <w:pPr>
        <w:jc w:val="both"/>
        <w:rPr>
          <w:b/>
        </w:rPr>
      </w:pPr>
      <w:bookmarkStart w:id="134" w:name="_Ref531093914"/>
      <w:bookmarkStart w:id="135" w:name="_Ref25812347"/>
    </w:p>
    <w:p w14:paraId="6F6E150A" w14:textId="3D43445F" w:rsidR="00C23AFE" w:rsidRPr="009E6200" w:rsidRDefault="00C23AFE" w:rsidP="007B46F5">
      <w:pPr>
        <w:jc w:val="both"/>
      </w:pPr>
      <w:r w:rsidRPr="00BB6320">
        <w:rPr>
          <w:b/>
        </w:rPr>
        <w:t>Таблица</w:t>
      </w:r>
      <w:r w:rsidR="00BB6320" w:rsidRPr="00BB6320">
        <w:rPr>
          <w:b/>
        </w:rPr>
        <w:t xml:space="preserve"> 4-</w:t>
      </w:r>
      <w:r w:rsidR="00A179C3" w:rsidRPr="00BB6320">
        <w:rPr>
          <w:b/>
        </w:rPr>
        <w:fldChar w:fldCharType="begin"/>
      </w:r>
      <w:r w:rsidR="00A179C3" w:rsidRPr="00BB6320">
        <w:rPr>
          <w:b/>
        </w:rPr>
        <w:instrText xml:space="preserve"> SEQ Таблица \* ARABIC </w:instrText>
      </w:r>
      <w:r w:rsidR="00A179C3" w:rsidRPr="00BB6320">
        <w:rPr>
          <w:b/>
        </w:rPr>
        <w:fldChar w:fldCharType="separate"/>
      </w:r>
      <w:r w:rsidR="005A436A" w:rsidRPr="00BB6320">
        <w:rPr>
          <w:b/>
          <w:noProof/>
        </w:rPr>
        <w:t>1</w:t>
      </w:r>
      <w:r w:rsidR="00A179C3" w:rsidRPr="00BB6320">
        <w:rPr>
          <w:b/>
          <w:noProof/>
        </w:rPr>
        <w:fldChar w:fldCharType="end"/>
      </w:r>
      <w:bookmarkEnd w:id="134"/>
      <w:bookmarkEnd w:id="135"/>
      <w:r w:rsidRPr="009E6200">
        <w:t xml:space="preserve"> Уравнения CKD-EPI, 2009 г, модификация 2011 г.</w:t>
      </w:r>
    </w:p>
    <w:tbl>
      <w:tblPr>
        <w:tblStyle w:val="TableGrid"/>
        <w:tblW w:w="0" w:type="auto"/>
        <w:tblLook w:val="04A0" w:firstRow="1" w:lastRow="0" w:firstColumn="1" w:lastColumn="0" w:noHBand="0" w:noVBand="1"/>
      </w:tblPr>
      <w:tblGrid>
        <w:gridCol w:w="2337"/>
        <w:gridCol w:w="1399"/>
        <w:gridCol w:w="1769"/>
        <w:gridCol w:w="3840"/>
      </w:tblGrid>
      <w:tr w:rsidR="00F46B68" w:rsidRPr="009E6200" w14:paraId="54C54EFA" w14:textId="77777777" w:rsidTr="00E25CC8">
        <w:tc>
          <w:tcPr>
            <w:tcW w:w="2337" w:type="dxa"/>
            <w:vAlign w:val="center"/>
          </w:tcPr>
          <w:p w14:paraId="6D2A2122" w14:textId="77777777" w:rsidR="00C23AFE" w:rsidRPr="009E6200" w:rsidRDefault="00C23AFE" w:rsidP="007B46F5">
            <w:pPr>
              <w:jc w:val="both"/>
              <w:rPr>
                <w:rFonts w:eastAsia="Times New Roman" w:cs="Tahoma"/>
                <w:b/>
                <w:bCs/>
                <w:sz w:val="18"/>
                <w:szCs w:val="18"/>
                <w:lang w:eastAsia="ru-RU"/>
              </w:rPr>
            </w:pPr>
            <w:r w:rsidRPr="009E6200">
              <w:rPr>
                <w:rFonts w:eastAsia="Times New Roman" w:cs="Tahoma"/>
                <w:b/>
                <w:bCs/>
                <w:sz w:val="18"/>
                <w:szCs w:val="18"/>
                <w:lang w:eastAsia="ru-RU"/>
              </w:rPr>
              <w:t>Раса</w:t>
            </w:r>
          </w:p>
        </w:tc>
        <w:tc>
          <w:tcPr>
            <w:tcW w:w="1399" w:type="dxa"/>
            <w:vAlign w:val="center"/>
          </w:tcPr>
          <w:p w14:paraId="044602FA" w14:textId="77777777" w:rsidR="00C23AFE" w:rsidRPr="009E6200" w:rsidRDefault="00C23AFE" w:rsidP="007B46F5">
            <w:pPr>
              <w:jc w:val="both"/>
              <w:rPr>
                <w:rFonts w:eastAsia="Times New Roman" w:cs="Tahoma"/>
                <w:b/>
                <w:bCs/>
                <w:sz w:val="18"/>
                <w:szCs w:val="18"/>
                <w:lang w:eastAsia="ru-RU"/>
              </w:rPr>
            </w:pPr>
            <w:r w:rsidRPr="009E6200">
              <w:rPr>
                <w:rFonts w:eastAsia="Times New Roman" w:cs="Tahoma"/>
                <w:b/>
                <w:bCs/>
                <w:sz w:val="18"/>
                <w:szCs w:val="18"/>
                <w:lang w:eastAsia="ru-RU"/>
              </w:rPr>
              <w:t>Пол</w:t>
            </w:r>
          </w:p>
        </w:tc>
        <w:tc>
          <w:tcPr>
            <w:tcW w:w="1769" w:type="dxa"/>
            <w:vAlign w:val="center"/>
          </w:tcPr>
          <w:p w14:paraId="0CECDA69" w14:textId="77777777" w:rsidR="00C23AFE" w:rsidRPr="009E6200" w:rsidRDefault="00C23AFE" w:rsidP="007B46F5">
            <w:pPr>
              <w:jc w:val="both"/>
              <w:rPr>
                <w:rFonts w:eastAsia="Times New Roman" w:cs="Tahoma"/>
                <w:b/>
                <w:bCs/>
                <w:sz w:val="18"/>
                <w:szCs w:val="18"/>
                <w:lang w:eastAsia="ru-RU"/>
              </w:rPr>
            </w:pPr>
            <w:r w:rsidRPr="009E6200">
              <w:rPr>
                <w:rFonts w:eastAsia="Times New Roman" w:cs="Tahoma"/>
                <w:b/>
                <w:bCs/>
                <w:sz w:val="18"/>
                <w:szCs w:val="18"/>
                <w:lang w:val="en-US" w:eastAsia="ru-RU"/>
              </w:rPr>
              <w:t>SCr</w:t>
            </w:r>
            <w:r w:rsidRPr="009E6200">
              <w:rPr>
                <w:rFonts w:eastAsia="Times New Roman" w:cs="Tahoma"/>
                <w:b/>
                <w:bCs/>
                <w:sz w:val="18"/>
                <w:szCs w:val="18"/>
                <w:lang w:eastAsia="ru-RU"/>
              </w:rPr>
              <w:t>*,</w:t>
            </w:r>
            <w:r w:rsidRPr="009E6200">
              <w:rPr>
                <w:rFonts w:eastAsia="Times New Roman" w:cs="Tahoma"/>
                <w:b/>
                <w:bCs/>
                <w:sz w:val="18"/>
                <w:szCs w:val="18"/>
                <w:lang w:eastAsia="ru-RU"/>
              </w:rPr>
              <w:br/>
              <w:t>мг/100 мл**</w:t>
            </w:r>
          </w:p>
        </w:tc>
        <w:tc>
          <w:tcPr>
            <w:tcW w:w="3840" w:type="dxa"/>
            <w:vAlign w:val="center"/>
          </w:tcPr>
          <w:p w14:paraId="75839A59" w14:textId="77777777" w:rsidR="00C23AFE" w:rsidRPr="009E6200" w:rsidRDefault="00C23AFE" w:rsidP="007B46F5">
            <w:pPr>
              <w:jc w:val="both"/>
              <w:rPr>
                <w:rFonts w:eastAsia="Times New Roman" w:cs="Tahoma"/>
                <w:b/>
                <w:bCs/>
                <w:sz w:val="18"/>
                <w:szCs w:val="18"/>
                <w:lang w:eastAsia="ru-RU"/>
              </w:rPr>
            </w:pPr>
            <w:r w:rsidRPr="009E6200">
              <w:rPr>
                <w:rFonts w:eastAsia="Times New Roman" w:cs="Tahoma"/>
                <w:b/>
                <w:bCs/>
                <w:sz w:val="18"/>
                <w:szCs w:val="18"/>
                <w:lang w:eastAsia="ru-RU"/>
              </w:rPr>
              <w:t>Формула</w:t>
            </w:r>
          </w:p>
        </w:tc>
      </w:tr>
      <w:tr w:rsidR="00F46B68" w:rsidRPr="009E6200" w14:paraId="285E0929" w14:textId="77777777" w:rsidTr="00E25CC8">
        <w:tc>
          <w:tcPr>
            <w:tcW w:w="2337" w:type="dxa"/>
            <w:vAlign w:val="center"/>
          </w:tcPr>
          <w:p w14:paraId="3073B665"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Чернокожие</w:t>
            </w:r>
          </w:p>
        </w:tc>
        <w:tc>
          <w:tcPr>
            <w:tcW w:w="1399" w:type="dxa"/>
            <w:vAlign w:val="center"/>
          </w:tcPr>
          <w:p w14:paraId="622917E8"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Женский</w:t>
            </w:r>
          </w:p>
        </w:tc>
        <w:tc>
          <w:tcPr>
            <w:tcW w:w="1769" w:type="dxa"/>
            <w:vAlign w:val="center"/>
          </w:tcPr>
          <w:p w14:paraId="5D87099A"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≤0,7</w:t>
            </w:r>
          </w:p>
        </w:tc>
        <w:tc>
          <w:tcPr>
            <w:tcW w:w="3840" w:type="dxa"/>
            <w:vAlign w:val="center"/>
          </w:tcPr>
          <w:p w14:paraId="20884F7C"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167*(0,993)</w:t>
            </w:r>
            <w:r w:rsidRPr="009E6200">
              <w:rPr>
                <w:rFonts w:eastAsia="Times New Roman" w:cs="Tahoma"/>
                <w:bCs/>
                <w:sz w:val="20"/>
                <w:szCs w:val="20"/>
                <w:vertAlign w:val="superscript"/>
                <w:lang w:eastAsia="ru-RU"/>
              </w:rPr>
              <w:t>Возраст</w:t>
            </w:r>
            <w:r w:rsidRPr="009E6200">
              <w:rPr>
                <w:rFonts w:eastAsia="Times New Roman" w:cs="Tahoma"/>
                <w:sz w:val="20"/>
                <w:szCs w:val="20"/>
                <w:lang w:eastAsia="ru-RU"/>
              </w:rPr>
              <w:t>*(</w:t>
            </w:r>
            <w:r w:rsidRPr="009E6200">
              <w:rPr>
                <w:rFonts w:eastAsia="Times New Roman" w:cs="Tahoma"/>
                <w:bCs/>
                <w:sz w:val="20"/>
                <w:szCs w:val="20"/>
                <w:lang w:eastAsia="ru-RU"/>
              </w:rPr>
              <w:t>SCr</w:t>
            </w:r>
            <w:r w:rsidRPr="009E6200">
              <w:rPr>
                <w:rFonts w:eastAsia="Times New Roman" w:cs="Tahoma"/>
                <w:sz w:val="20"/>
                <w:szCs w:val="20"/>
                <w:lang w:eastAsia="ru-RU"/>
              </w:rPr>
              <w:t>/0,7)</w:t>
            </w:r>
            <w:r w:rsidRPr="009E6200">
              <w:rPr>
                <w:rFonts w:eastAsia="Times New Roman" w:cs="Tahoma"/>
                <w:sz w:val="20"/>
                <w:szCs w:val="20"/>
                <w:vertAlign w:val="superscript"/>
                <w:lang w:eastAsia="ru-RU"/>
              </w:rPr>
              <w:t>-0,328</w:t>
            </w:r>
          </w:p>
        </w:tc>
      </w:tr>
      <w:tr w:rsidR="00F46B68" w:rsidRPr="009E6200" w14:paraId="34DBC91C" w14:textId="77777777" w:rsidTr="00E25CC8">
        <w:tc>
          <w:tcPr>
            <w:tcW w:w="2337" w:type="dxa"/>
            <w:vAlign w:val="center"/>
          </w:tcPr>
          <w:p w14:paraId="3A923DD1"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Чернокожие</w:t>
            </w:r>
          </w:p>
        </w:tc>
        <w:tc>
          <w:tcPr>
            <w:tcW w:w="1399" w:type="dxa"/>
            <w:vAlign w:val="center"/>
          </w:tcPr>
          <w:p w14:paraId="175A3F30"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Женский</w:t>
            </w:r>
          </w:p>
        </w:tc>
        <w:tc>
          <w:tcPr>
            <w:tcW w:w="1769" w:type="dxa"/>
            <w:vAlign w:val="center"/>
          </w:tcPr>
          <w:p w14:paraId="7C36DA1E"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&gt;0,7</w:t>
            </w:r>
          </w:p>
        </w:tc>
        <w:tc>
          <w:tcPr>
            <w:tcW w:w="3840" w:type="dxa"/>
            <w:vAlign w:val="center"/>
          </w:tcPr>
          <w:p w14:paraId="5F5AAE40" w14:textId="77777777" w:rsidR="00C23AFE" w:rsidRPr="009E6200" w:rsidRDefault="00C23AFE" w:rsidP="007B46F5">
            <w:pPr>
              <w:jc w:val="both"/>
              <w:rPr>
                <w:rFonts w:eastAsia="Times New Roman" w:cs="Tahoma"/>
                <w:sz w:val="20"/>
                <w:szCs w:val="20"/>
                <w:lang w:val="en-US" w:eastAsia="ru-RU"/>
              </w:rPr>
            </w:pPr>
            <w:r w:rsidRPr="009E6200">
              <w:rPr>
                <w:rFonts w:eastAsia="Times New Roman" w:cs="Tahoma"/>
                <w:sz w:val="20"/>
                <w:szCs w:val="20"/>
                <w:lang w:eastAsia="ru-RU"/>
              </w:rPr>
              <w:t>167*(0,993)</w:t>
            </w:r>
            <w:r w:rsidRPr="009E6200">
              <w:rPr>
                <w:rFonts w:eastAsia="Times New Roman" w:cs="Tahoma"/>
                <w:bCs/>
                <w:sz w:val="20"/>
                <w:szCs w:val="20"/>
                <w:vertAlign w:val="superscript"/>
                <w:lang w:eastAsia="ru-RU"/>
              </w:rPr>
              <w:t>Возраст</w:t>
            </w:r>
            <w:r w:rsidRPr="009E6200">
              <w:rPr>
                <w:rFonts w:eastAsia="Times New Roman" w:cs="Tahoma"/>
                <w:sz w:val="20"/>
                <w:szCs w:val="20"/>
                <w:lang w:eastAsia="ru-RU"/>
              </w:rPr>
              <w:t>*</w:t>
            </w:r>
            <w:r w:rsidRPr="009E6200">
              <w:rPr>
                <w:rFonts w:eastAsia="Times New Roman" w:cs="Tahoma"/>
                <w:sz w:val="20"/>
                <w:szCs w:val="20"/>
                <w:lang w:val="en-US" w:eastAsia="ru-RU"/>
              </w:rPr>
              <w:t>(</w:t>
            </w:r>
            <w:r w:rsidRPr="009E6200">
              <w:rPr>
                <w:rFonts w:eastAsia="Times New Roman" w:cs="Tahoma"/>
                <w:bCs/>
                <w:sz w:val="20"/>
                <w:szCs w:val="20"/>
                <w:lang w:eastAsia="ru-RU"/>
              </w:rPr>
              <w:t>SCr</w:t>
            </w:r>
            <w:r w:rsidRPr="009E6200">
              <w:rPr>
                <w:rFonts w:eastAsia="Times New Roman" w:cs="Tahoma"/>
                <w:sz w:val="20"/>
                <w:szCs w:val="20"/>
                <w:lang w:eastAsia="ru-RU"/>
              </w:rPr>
              <w:t>/0,7)</w:t>
            </w:r>
            <w:r w:rsidRPr="009E6200">
              <w:rPr>
                <w:rFonts w:eastAsia="Times New Roman" w:cs="Tahoma"/>
                <w:sz w:val="20"/>
                <w:szCs w:val="20"/>
                <w:vertAlign w:val="superscript"/>
                <w:lang w:eastAsia="ru-RU"/>
              </w:rPr>
              <w:t>-1,21</w:t>
            </w:r>
            <w:r w:rsidRPr="009E6200">
              <w:rPr>
                <w:rFonts w:eastAsia="Times New Roman" w:cs="Tahoma"/>
                <w:sz w:val="20"/>
                <w:szCs w:val="20"/>
                <w:vertAlign w:val="superscript"/>
                <w:lang w:val="en-US" w:eastAsia="ru-RU"/>
              </w:rPr>
              <w:t>0</w:t>
            </w:r>
          </w:p>
        </w:tc>
      </w:tr>
      <w:tr w:rsidR="00F46B68" w:rsidRPr="009E6200" w14:paraId="57AD9AB6" w14:textId="77777777" w:rsidTr="00E25CC8">
        <w:tc>
          <w:tcPr>
            <w:tcW w:w="2337" w:type="dxa"/>
            <w:vAlign w:val="center"/>
          </w:tcPr>
          <w:p w14:paraId="6EBEF450"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Чернокожие</w:t>
            </w:r>
          </w:p>
        </w:tc>
        <w:tc>
          <w:tcPr>
            <w:tcW w:w="1399" w:type="dxa"/>
            <w:vAlign w:val="center"/>
          </w:tcPr>
          <w:p w14:paraId="2EAF834B"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Мужской</w:t>
            </w:r>
          </w:p>
        </w:tc>
        <w:tc>
          <w:tcPr>
            <w:tcW w:w="1769" w:type="dxa"/>
            <w:vAlign w:val="center"/>
          </w:tcPr>
          <w:p w14:paraId="1E4CB32F"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≤0,9</w:t>
            </w:r>
          </w:p>
        </w:tc>
        <w:tc>
          <w:tcPr>
            <w:tcW w:w="3840" w:type="dxa"/>
            <w:vAlign w:val="center"/>
          </w:tcPr>
          <w:p w14:paraId="7F82CADE"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164*(0,993)</w:t>
            </w:r>
            <w:r w:rsidRPr="009E6200">
              <w:rPr>
                <w:rFonts w:eastAsia="Times New Roman" w:cs="Tahoma"/>
                <w:bCs/>
                <w:sz w:val="20"/>
                <w:szCs w:val="20"/>
                <w:vertAlign w:val="superscript"/>
                <w:lang w:eastAsia="ru-RU"/>
              </w:rPr>
              <w:t>Возраст</w:t>
            </w:r>
            <w:r w:rsidRPr="009E6200">
              <w:rPr>
                <w:rFonts w:eastAsia="Times New Roman" w:cs="Tahoma"/>
                <w:sz w:val="20"/>
                <w:szCs w:val="20"/>
                <w:lang w:eastAsia="ru-RU"/>
              </w:rPr>
              <w:t>*</w:t>
            </w:r>
            <w:r w:rsidRPr="009E6200">
              <w:rPr>
                <w:rFonts w:eastAsia="Times New Roman" w:cs="Tahoma"/>
                <w:bCs/>
                <w:sz w:val="20"/>
                <w:szCs w:val="20"/>
                <w:lang w:eastAsia="ru-RU"/>
              </w:rPr>
              <w:t>(SCr</w:t>
            </w:r>
            <w:r w:rsidRPr="009E6200">
              <w:rPr>
                <w:rFonts w:eastAsia="Times New Roman" w:cs="Tahoma"/>
                <w:sz w:val="20"/>
                <w:szCs w:val="20"/>
                <w:lang w:eastAsia="ru-RU"/>
              </w:rPr>
              <w:t>/0,9)</w:t>
            </w:r>
            <w:r w:rsidRPr="009E6200">
              <w:rPr>
                <w:rFonts w:eastAsia="Times New Roman" w:cs="Tahoma"/>
                <w:sz w:val="20"/>
                <w:szCs w:val="20"/>
                <w:vertAlign w:val="superscript"/>
                <w:lang w:eastAsia="ru-RU"/>
              </w:rPr>
              <w:t>-0,412</w:t>
            </w:r>
          </w:p>
        </w:tc>
      </w:tr>
      <w:tr w:rsidR="00F46B68" w:rsidRPr="009E6200" w14:paraId="07BE055B" w14:textId="77777777" w:rsidTr="00E25CC8">
        <w:tc>
          <w:tcPr>
            <w:tcW w:w="2337" w:type="dxa"/>
            <w:vAlign w:val="center"/>
          </w:tcPr>
          <w:p w14:paraId="3A151FE5"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Чернокожие</w:t>
            </w:r>
          </w:p>
        </w:tc>
        <w:tc>
          <w:tcPr>
            <w:tcW w:w="1399" w:type="dxa"/>
            <w:vAlign w:val="center"/>
          </w:tcPr>
          <w:p w14:paraId="57755D9F"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Мужской</w:t>
            </w:r>
          </w:p>
        </w:tc>
        <w:tc>
          <w:tcPr>
            <w:tcW w:w="1769" w:type="dxa"/>
            <w:vAlign w:val="center"/>
          </w:tcPr>
          <w:p w14:paraId="4C9576E6"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&gt;0,9</w:t>
            </w:r>
          </w:p>
        </w:tc>
        <w:tc>
          <w:tcPr>
            <w:tcW w:w="3840" w:type="dxa"/>
            <w:vAlign w:val="center"/>
          </w:tcPr>
          <w:p w14:paraId="1CFF431A" w14:textId="77777777" w:rsidR="00C23AFE" w:rsidRPr="009E6200" w:rsidRDefault="00C23AFE" w:rsidP="007B46F5">
            <w:pPr>
              <w:jc w:val="both"/>
              <w:rPr>
                <w:rFonts w:eastAsia="Times New Roman" w:cs="Tahoma"/>
                <w:sz w:val="20"/>
                <w:szCs w:val="20"/>
                <w:lang w:val="en-US" w:eastAsia="ru-RU"/>
              </w:rPr>
            </w:pPr>
            <w:r w:rsidRPr="009E6200">
              <w:rPr>
                <w:rFonts w:eastAsia="Times New Roman" w:cs="Tahoma"/>
                <w:sz w:val="20"/>
                <w:szCs w:val="20"/>
                <w:lang w:eastAsia="ru-RU"/>
              </w:rPr>
              <w:t>164*(0,993)</w:t>
            </w:r>
            <w:r w:rsidRPr="009E6200">
              <w:rPr>
                <w:rFonts w:eastAsia="Times New Roman" w:cs="Tahoma"/>
                <w:bCs/>
                <w:sz w:val="20"/>
                <w:szCs w:val="20"/>
                <w:vertAlign w:val="superscript"/>
                <w:lang w:eastAsia="ru-RU"/>
              </w:rPr>
              <w:t>Возраст</w:t>
            </w:r>
            <w:r w:rsidRPr="009E6200">
              <w:rPr>
                <w:rFonts w:eastAsia="Times New Roman" w:cs="Tahoma"/>
                <w:sz w:val="20"/>
                <w:szCs w:val="20"/>
                <w:lang w:eastAsia="ru-RU"/>
              </w:rPr>
              <w:t>*</w:t>
            </w:r>
            <w:r w:rsidRPr="009E6200">
              <w:rPr>
                <w:rFonts w:eastAsia="Times New Roman" w:cs="Tahoma"/>
                <w:bCs/>
                <w:sz w:val="20"/>
                <w:szCs w:val="20"/>
                <w:lang w:eastAsia="ru-RU"/>
              </w:rPr>
              <w:t>(SCr</w:t>
            </w:r>
            <w:r w:rsidRPr="009E6200">
              <w:rPr>
                <w:rFonts w:eastAsia="Times New Roman" w:cs="Tahoma"/>
                <w:sz w:val="20"/>
                <w:szCs w:val="20"/>
                <w:lang w:eastAsia="ru-RU"/>
              </w:rPr>
              <w:t>/0,9)</w:t>
            </w:r>
            <w:r w:rsidRPr="009E6200">
              <w:rPr>
                <w:rFonts w:eastAsia="Times New Roman" w:cs="Tahoma"/>
                <w:sz w:val="20"/>
                <w:szCs w:val="20"/>
                <w:vertAlign w:val="superscript"/>
                <w:lang w:eastAsia="ru-RU"/>
              </w:rPr>
              <w:t>-1,21</w:t>
            </w:r>
            <w:r w:rsidRPr="009E6200">
              <w:rPr>
                <w:rFonts w:eastAsia="Times New Roman" w:cs="Tahoma"/>
                <w:sz w:val="20"/>
                <w:szCs w:val="20"/>
                <w:vertAlign w:val="superscript"/>
                <w:lang w:val="en-US" w:eastAsia="ru-RU"/>
              </w:rPr>
              <w:t>0</w:t>
            </w:r>
          </w:p>
        </w:tc>
      </w:tr>
      <w:tr w:rsidR="00F46B68" w:rsidRPr="009E6200" w14:paraId="6510E178" w14:textId="77777777" w:rsidTr="00E25CC8">
        <w:tc>
          <w:tcPr>
            <w:tcW w:w="2337" w:type="dxa"/>
            <w:vAlign w:val="center"/>
          </w:tcPr>
          <w:p w14:paraId="1FE01D6C"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Азиаты</w:t>
            </w:r>
          </w:p>
        </w:tc>
        <w:tc>
          <w:tcPr>
            <w:tcW w:w="1399" w:type="dxa"/>
            <w:vAlign w:val="center"/>
          </w:tcPr>
          <w:p w14:paraId="73D575E6"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Женский</w:t>
            </w:r>
          </w:p>
        </w:tc>
        <w:tc>
          <w:tcPr>
            <w:tcW w:w="1769" w:type="dxa"/>
            <w:vAlign w:val="center"/>
          </w:tcPr>
          <w:p w14:paraId="5F18E533"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≤0,7</w:t>
            </w:r>
          </w:p>
        </w:tc>
        <w:tc>
          <w:tcPr>
            <w:tcW w:w="3840" w:type="dxa"/>
            <w:vAlign w:val="center"/>
          </w:tcPr>
          <w:p w14:paraId="591DBE0D"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151*(0,993)</w:t>
            </w:r>
            <w:r w:rsidRPr="009E6200">
              <w:rPr>
                <w:rFonts w:eastAsia="Times New Roman" w:cs="Tahoma"/>
                <w:bCs/>
                <w:sz w:val="20"/>
                <w:szCs w:val="20"/>
                <w:vertAlign w:val="superscript"/>
                <w:lang w:eastAsia="ru-RU"/>
              </w:rPr>
              <w:t>Возраст</w:t>
            </w:r>
            <w:r w:rsidRPr="009E6200">
              <w:rPr>
                <w:rFonts w:eastAsia="Times New Roman" w:cs="Tahoma"/>
                <w:sz w:val="20"/>
                <w:szCs w:val="20"/>
                <w:lang w:eastAsia="ru-RU"/>
              </w:rPr>
              <w:t>*</w:t>
            </w:r>
            <w:r w:rsidRPr="009E6200">
              <w:rPr>
                <w:rFonts w:eastAsia="Times New Roman" w:cs="Tahoma"/>
                <w:bCs/>
                <w:sz w:val="20"/>
                <w:szCs w:val="20"/>
                <w:lang w:eastAsia="ru-RU"/>
              </w:rPr>
              <w:t>(SCr</w:t>
            </w:r>
            <w:r w:rsidRPr="009E6200">
              <w:rPr>
                <w:rFonts w:eastAsia="Times New Roman" w:cs="Tahoma"/>
                <w:sz w:val="20"/>
                <w:szCs w:val="20"/>
                <w:lang w:eastAsia="ru-RU"/>
              </w:rPr>
              <w:t>/0,7)</w:t>
            </w:r>
            <w:r w:rsidRPr="009E6200">
              <w:rPr>
                <w:rFonts w:eastAsia="Times New Roman" w:cs="Tahoma"/>
                <w:sz w:val="20"/>
                <w:szCs w:val="20"/>
                <w:vertAlign w:val="superscript"/>
                <w:lang w:eastAsia="ru-RU"/>
              </w:rPr>
              <w:t>-0,328</w:t>
            </w:r>
          </w:p>
        </w:tc>
      </w:tr>
      <w:tr w:rsidR="00F46B68" w:rsidRPr="009E6200" w14:paraId="3DEEA6B3" w14:textId="77777777" w:rsidTr="00E25CC8">
        <w:tc>
          <w:tcPr>
            <w:tcW w:w="2337" w:type="dxa"/>
            <w:vAlign w:val="center"/>
          </w:tcPr>
          <w:p w14:paraId="53A6B63F"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Азиаты</w:t>
            </w:r>
          </w:p>
        </w:tc>
        <w:tc>
          <w:tcPr>
            <w:tcW w:w="1399" w:type="dxa"/>
            <w:vAlign w:val="center"/>
          </w:tcPr>
          <w:p w14:paraId="3DAA802E"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Женский</w:t>
            </w:r>
          </w:p>
        </w:tc>
        <w:tc>
          <w:tcPr>
            <w:tcW w:w="1769" w:type="dxa"/>
            <w:vAlign w:val="center"/>
          </w:tcPr>
          <w:p w14:paraId="510430C3"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&gt;0,7</w:t>
            </w:r>
          </w:p>
        </w:tc>
        <w:tc>
          <w:tcPr>
            <w:tcW w:w="3840" w:type="dxa"/>
            <w:vAlign w:val="center"/>
          </w:tcPr>
          <w:p w14:paraId="28CF90B1" w14:textId="77777777" w:rsidR="00C23AFE" w:rsidRPr="009E6200" w:rsidRDefault="00C23AFE" w:rsidP="007B46F5">
            <w:pPr>
              <w:jc w:val="both"/>
              <w:rPr>
                <w:rFonts w:eastAsia="Times New Roman" w:cs="Tahoma"/>
                <w:sz w:val="20"/>
                <w:szCs w:val="20"/>
                <w:lang w:val="en-US" w:eastAsia="ru-RU"/>
              </w:rPr>
            </w:pPr>
            <w:r w:rsidRPr="009E6200">
              <w:rPr>
                <w:rFonts w:eastAsia="Times New Roman" w:cs="Tahoma"/>
                <w:sz w:val="20"/>
                <w:szCs w:val="20"/>
                <w:lang w:eastAsia="ru-RU"/>
              </w:rPr>
              <w:t>151*(0,993)</w:t>
            </w:r>
            <w:r w:rsidRPr="009E6200">
              <w:rPr>
                <w:rFonts w:eastAsia="Times New Roman" w:cs="Tahoma"/>
                <w:bCs/>
                <w:sz w:val="20"/>
                <w:szCs w:val="20"/>
                <w:vertAlign w:val="superscript"/>
                <w:lang w:eastAsia="ru-RU"/>
              </w:rPr>
              <w:t>Возраст</w:t>
            </w:r>
            <w:r w:rsidRPr="009E6200">
              <w:rPr>
                <w:rFonts w:eastAsia="Times New Roman" w:cs="Tahoma"/>
                <w:sz w:val="20"/>
                <w:szCs w:val="20"/>
                <w:lang w:eastAsia="ru-RU"/>
              </w:rPr>
              <w:t>*</w:t>
            </w:r>
            <w:r w:rsidRPr="009E6200">
              <w:rPr>
                <w:rFonts w:eastAsia="Times New Roman" w:cs="Tahoma"/>
                <w:bCs/>
                <w:sz w:val="20"/>
                <w:szCs w:val="20"/>
                <w:lang w:eastAsia="ru-RU"/>
              </w:rPr>
              <w:t>(SCr</w:t>
            </w:r>
            <w:r w:rsidRPr="009E6200">
              <w:rPr>
                <w:rFonts w:eastAsia="Times New Roman" w:cs="Tahoma"/>
                <w:sz w:val="20"/>
                <w:szCs w:val="20"/>
                <w:lang w:eastAsia="ru-RU"/>
              </w:rPr>
              <w:t>/0,7)</w:t>
            </w:r>
            <w:r w:rsidRPr="009E6200">
              <w:rPr>
                <w:rFonts w:eastAsia="Times New Roman" w:cs="Tahoma"/>
                <w:sz w:val="20"/>
                <w:szCs w:val="20"/>
                <w:vertAlign w:val="superscript"/>
                <w:lang w:eastAsia="ru-RU"/>
              </w:rPr>
              <w:t>-1,21</w:t>
            </w:r>
            <w:r w:rsidRPr="009E6200">
              <w:rPr>
                <w:rFonts w:eastAsia="Times New Roman" w:cs="Tahoma"/>
                <w:sz w:val="20"/>
                <w:szCs w:val="20"/>
                <w:vertAlign w:val="superscript"/>
                <w:lang w:val="en-US" w:eastAsia="ru-RU"/>
              </w:rPr>
              <w:t>0</w:t>
            </w:r>
          </w:p>
        </w:tc>
      </w:tr>
      <w:tr w:rsidR="00F46B68" w:rsidRPr="009E6200" w14:paraId="36D2881F" w14:textId="77777777" w:rsidTr="00E25CC8">
        <w:tc>
          <w:tcPr>
            <w:tcW w:w="2337" w:type="dxa"/>
            <w:vAlign w:val="center"/>
          </w:tcPr>
          <w:p w14:paraId="077DF70C"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Азиаты</w:t>
            </w:r>
          </w:p>
        </w:tc>
        <w:tc>
          <w:tcPr>
            <w:tcW w:w="1399" w:type="dxa"/>
            <w:vAlign w:val="center"/>
          </w:tcPr>
          <w:p w14:paraId="067B4EEB"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Мужской</w:t>
            </w:r>
          </w:p>
        </w:tc>
        <w:tc>
          <w:tcPr>
            <w:tcW w:w="1769" w:type="dxa"/>
            <w:vAlign w:val="center"/>
          </w:tcPr>
          <w:p w14:paraId="438F52C1"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≤0,9</w:t>
            </w:r>
          </w:p>
        </w:tc>
        <w:tc>
          <w:tcPr>
            <w:tcW w:w="3840" w:type="dxa"/>
            <w:vAlign w:val="center"/>
          </w:tcPr>
          <w:p w14:paraId="6C669798"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149*(0,993)</w:t>
            </w:r>
            <w:r w:rsidRPr="009E6200">
              <w:rPr>
                <w:rFonts w:eastAsia="Times New Roman" w:cs="Tahoma"/>
                <w:bCs/>
                <w:sz w:val="20"/>
                <w:szCs w:val="20"/>
                <w:vertAlign w:val="superscript"/>
                <w:lang w:eastAsia="ru-RU"/>
              </w:rPr>
              <w:t>Возраст</w:t>
            </w:r>
            <w:r w:rsidRPr="009E6200">
              <w:rPr>
                <w:rFonts w:eastAsia="Times New Roman" w:cs="Tahoma"/>
                <w:sz w:val="20"/>
                <w:szCs w:val="20"/>
                <w:lang w:eastAsia="ru-RU"/>
              </w:rPr>
              <w:t>*</w:t>
            </w:r>
            <w:r w:rsidRPr="009E6200">
              <w:rPr>
                <w:rFonts w:eastAsia="Times New Roman" w:cs="Tahoma"/>
                <w:bCs/>
                <w:sz w:val="20"/>
                <w:szCs w:val="20"/>
                <w:lang w:eastAsia="ru-RU"/>
              </w:rPr>
              <w:t>(SCr</w:t>
            </w:r>
            <w:r w:rsidRPr="009E6200">
              <w:rPr>
                <w:rFonts w:eastAsia="Times New Roman" w:cs="Tahoma"/>
                <w:sz w:val="20"/>
                <w:szCs w:val="20"/>
                <w:lang w:eastAsia="ru-RU"/>
              </w:rPr>
              <w:t>/0,9)</w:t>
            </w:r>
            <w:r w:rsidRPr="009E6200">
              <w:rPr>
                <w:rFonts w:eastAsia="Times New Roman" w:cs="Tahoma"/>
                <w:sz w:val="20"/>
                <w:szCs w:val="20"/>
                <w:vertAlign w:val="superscript"/>
                <w:lang w:eastAsia="ru-RU"/>
              </w:rPr>
              <w:t>-0,412</w:t>
            </w:r>
          </w:p>
        </w:tc>
      </w:tr>
      <w:tr w:rsidR="00F46B68" w:rsidRPr="009E6200" w14:paraId="5AD8C6B3" w14:textId="77777777" w:rsidTr="00E25CC8">
        <w:tc>
          <w:tcPr>
            <w:tcW w:w="2337" w:type="dxa"/>
            <w:vAlign w:val="center"/>
          </w:tcPr>
          <w:p w14:paraId="45BCE84D"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Азиаты</w:t>
            </w:r>
          </w:p>
        </w:tc>
        <w:tc>
          <w:tcPr>
            <w:tcW w:w="1399" w:type="dxa"/>
            <w:vAlign w:val="center"/>
          </w:tcPr>
          <w:p w14:paraId="7B28A00B"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Мужской</w:t>
            </w:r>
          </w:p>
        </w:tc>
        <w:tc>
          <w:tcPr>
            <w:tcW w:w="1769" w:type="dxa"/>
            <w:vAlign w:val="center"/>
          </w:tcPr>
          <w:p w14:paraId="6090D089"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&gt;0,9</w:t>
            </w:r>
          </w:p>
        </w:tc>
        <w:tc>
          <w:tcPr>
            <w:tcW w:w="3840" w:type="dxa"/>
            <w:vAlign w:val="center"/>
          </w:tcPr>
          <w:p w14:paraId="2E9D126E" w14:textId="77777777" w:rsidR="00C23AFE" w:rsidRPr="009E6200" w:rsidRDefault="00C23AFE" w:rsidP="007B46F5">
            <w:pPr>
              <w:jc w:val="both"/>
              <w:rPr>
                <w:rFonts w:eastAsia="Times New Roman" w:cs="Tahoma"/>
                <w:sz w:val="20"/>
                <w:szCs w:val="20"/>
                <w:lang w:val="en-US" w:eastAsia="ru-RU"/>
              </w:rPr>
            </w:pPr>
            <w:r w:rsidRPr="009E6200">
              <w:rPr>
                <w:rFonts w:eastAsia="Times New Roman" w:cs="Tahoma"/>
                <w:sz w:val="20"/>
                <w:szCs w:val="20"/>
                <w:lang w:eastAsia="ru-RU"/>
              </w:rPr>
              <w:t>149*(0,993)</w:t>
            </w:r>
            <w:r w:rsidRPr="009E6200">
              <w:rPr>
                <w:rFonts w:eastAsia="Times New Roman" w:cs="Tahoma"/>
                <w:bCs/>
                <w:sz w:val="20"/>
                <w:szCs w:val="20"/>
                <w:vertAlign w:val="superscript"/>
                <w:lang w:eastAsia="ru-RU"/>
              </w:rPr>
              <w:t>Возраст</w:t>
            </w:r>
            <w:r w:rsidRPr="009E6200">
              <w:rPr>
                <w:rFonts w:eastAsia="Times New Roman" w:cs="Tahoma"/>
                <w:sz w:val="20"/>
                <w:szCs w:val="20"/>
                <w:lang w:eastAsia="ru-RU"/>
              </w:rPr>
              <w:t>*</w:t>
            </w:r>
            <w:r w:rsidRPr="009E6200">
              <w:rPr>
                <w:rFonts w:eastAsia="Times New Roman" w:cs="Tahoma"/>
                <w:bCs/>
                <w:sz w:val="20"/>
                <w:szCs w:val="20"/>
                <w:lang w:eastAsia="ru-RU"/>
              </w:rPr>
              <w:t>(SCr</w:t>
            </w:r>
            <w:r w:rsidRPr="009E6200">
              <w:rPr>
                <w:rFonts w:eastAsia="Times New Roman" w:cs="Tahoma"/>
                <w:sz w:val="20"/>
                <w:szCs w:val="20"/>
                <w:lang w:eastAsia="ru-RU"/>
              </w:rPr>
              <w:t>/0,9)</w:t>
            </w:r>
            <w:r w:rsidRPr="009E6200">
              <w:rPr>
                <w:rFonts w:eastAsia="Times New Roman" w:cs="Tahoma"/>
                <w:sz w:val="20"/>
                <w:szCs w:val="20"/>
                <w:vertAlign w:val="superscript"/>
                <w:lang w:eastAsia="ru-RU"/>
              </w:rPr>
              <w:t>-1,21</w:t>
            </w:r>
            <w:r w:rsidRPr="009E6200">
              <w:rPr>
                <w:rFonts w:eastAsia="Times New Roman" w:cs="Tahoma"/>
                <w:sz w:val="20"/>
                <w:szCs w:val="20"/>
                <w:vertAlign w:val="superscript"/>
                <w:lang w:val="en-US" w:eastAsia="ru-RU"/>
              </w:rPr>
              <w:t>0</w:t>
            </w:r>
          </w:p>
        </w:tc>
      </w:tr>
      <w:tr w:rsidR="00F46B68" w:rsidRPr="009E6200" w14:paraId="29050401" w14:textId="77777777" w:rsidTr="00E25CC8">
        <w:tc>
          <w:tcPr>
            <w:tcW w:w="2337" w:type="dxa"/>
            <w:vAlign w:val="center"/>
          </w:tcPr>
          <w:p w14:paraId="494B9878"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Испаноамериканцы и индейцы</w:t>
            </w:r>
          </w:p>
        </w:tc>
        <w:tc>
          <w:tcPr>
            <w:tcW w:w="1399" w:type="dxa"/>
            <w:vAlign w:val="center"/>
          </w:tcPr>
          <w:p w14:paraId="74250C75"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Женский</w:t>
            </w:r>
          </w:p>
        </w:tc>
        <w:tc>
          <w:tcPr>
            <w:tcW w:w="1769" w:type="dxa"/>
            <w:vAlign w:val="center"/>
          </w:tcPr>
          <w:p w14:paraId="4C5BCEAD"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≤0,7</w:t>
            </w:r>
          </w:p>
        </w:tc>
        <w:tc>
          <w:tcPr>
            <w:tcW w:w="3840" w:type="dxa"/>
            <w:vAlign w:val="center"/>
          </w:tcPr>
          <w:p w14:paraId="7914AB85"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145*(0,993)</w:t>
            </w:r>
            <w:r w:rsidRPr="009E6200">
              <w:rPr>
                <w:rFonts w:eastAsia="Times New Roman" w:cs="Tahoma"/>
                <w:bCs/>
                <w:sz w:val="20"/>
                <w:szCs w:val="20"/>
                <w:vertAlign w:val="superscript"/>
                <w:lang w:eastAsia="ru-RU"/>
              </w:rPr>
              <w:t>Возраст</w:t>
            </w:r>
            <w:r w:rsidRPr="009E6200">
              <w:rPr>
                <w:rFonts w:eastAsia="Times New Roman" w:cs="Tahoma"/>
                <w:sz w:val="20"/>
                <w:szCs w:val="20"/>
                <w:lang w:eastAsia="ru-RU"/>
              </w:rPr>
              <w:t>*</w:t>
            </w:r>
            <w:r w:rsidRPr="009E6200">
              <w:rPr>
                <w:rFonts w:eastAsia="Times New Roman" w:cs="Tahoma"/>
                <w:bCs/>
                <w:sz w:val="20"/>
                <w:szCs w:val="20"/>
                <w:lang w:eastAsia="ru-RU"/>
              </w:rPr>
              <w:t>(SCr</w:t>
            </w:r>
            <w:r w:rsidRPr="009E6200">
              <w:rPr>
                <w:rFonts w:eastAsia="Times New Roman" w:cs="Tahoma"/>
                <w:sz w:val="20"/>
                <w:szCs w:val="20"/>
                <w:lang w:eastAsia="ru-RU"/>
              </w:rPr>
              <w:t>/0,7)</w:t>
            </w:r>
            <w:r w:rsidRPr="009E6200">
              <w:rPr>
                <w:rFonts w:eastAsia="Times New Roman" w:cs="Tahoma"/>
                <w:sz w:val="20"/>
                <w:szCs w:val="20"/>
                <w:vertAlign w:val="superscript"/>
                <w:lang w:eastAsia="ru-RU"/>
              </w:rPr>
              <w:t>-0,328</w:t>
            </w:r>
          </w:p>
        </w:tc>
      </w:tr>
      <w:tr w:rsidR="00F46B68" w:rsidRPr="009E6200" w14:paraId="17A1F405" w14:textId="77777777" w:rsidTr="00E25CC8">
        <w:tc>
          <w:tcPr>
            <w:tcW w:w="2337" w:type="dxa"/>
            <w:vAlign w:val="center"/>
          </w:tcPr>
          <w:p w14:paraId="4077696A"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Испаноамериканцы и индейцы</w:t>
            </w:r>
          </w:p>
        </w:tc>
        <w:tc>
          <w:tcPr>
            <w:tcW w:w="1399" w:type="dxa"/>
            <w:vAlign w:val="center"/>
          </w:tcPr>
          <w:p w14:paraId="4013D330"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Женский</w:t>
            </w:r>
          </w:p>
        </w:tc>
        <w:tc>
          <w:tcPr>
            <w:tcW w:w="1769" w:type="dxa"/>
            <w:vAlign w:val="center"/>
          </w:tcPr>
          <w:p w14:paraId="53999D72"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&gt;0,7</w:t>
            </w:r>
          </w:p>
        </w:tc>
        <w:tc>
          <w:tcPr>
            <w:tcW w:w="3840" w:type="dxa"/>
            <w:vAlign w:val="center"/>
          </w:tcPr>
          <w:p w14:paraId="473A036B" w14:textId="77777777" w:rsidR="00C23AFE" w:rsidRPr="009E6200" w:rsidRDefault="00C23AFE" w:rsidP="007B46F5">
            <w:pPr>
              <w:jc w:val="both"/>
              <w:rPr>
                <w:rFonts w:eastAsia="Times New Roman" w:cs="Tahoma"/>
                <w:sz w:val="20"/>
                <w:szCs w:val="20"/>
                <w:lang w:val="en-US" w:eastAsia="ru-RU"/>
              </w:rPr>
            </w:pPr>
            <w:r w:rsidRPr="009E6200">
              <w:rPr>
                <w:rFonts w:eastAsia="Times New Roman" w:cs="Tahoma"/>
                <w:sz w:val="20"/>
                <w:szCs w:val="20"/>
                <w:lang w:eastAsia="ru-RU"/>
              </w:rPr>
              <w:t>145*(0,993)</w:t>
            </w:r>
            <w:r w:rsidRPr="009E6200">
              <w:rPr>
                <w:rFonts w:eastAsia="Times New Roman" w:cs="Tahoma"/>
                <w:bCs/>
                <w:sz w:val="20"/>
                <w:szCs w:val="20"/>
                <w:vertAlign w:val="superscript"/>
                <w:lang w:eastAsia="ru-RU"/>
              </w:rPr>
              <w:t>Возраст</w:t>
            </w:r>
            <w:r w:rsidRPr="009E6200">
              <w:rPr>
                <w:rFonts w:eastAsia="Times New Roman" w:cs="Tahoma"/>
                <w:sz w:val="20"/>
                <w:szCs w:val="20"/>
                <w:lang w:eastAsia="ru-RU"/>
              </w:rPr>
              <w:t>*</w:t>
            </w:r>
            <w:r w:rsidRPr="009E6200">
              <w:rPr>
                <w:rFonts w:eastAsia="Times New Roman" w:cs="Tahoma"/>
                <w:bCs/>
                <w:sz w:val="20"/>
                <w:szCs w:val="20"/>
                <w:lang w:eastAsia="ru-RU"/>
              </w:rPr>
              <w:t>(SCr</w:t>
            </w:r>
            <w:r w:rsidRPr="009E6200">
              <w:rPr>
                <w:rFonts w:eastAsia="Times New Roman" w:cs="Tahoma"/>
                <w:sz w:val="20"/>
                <w:szCs w:val="20"/>
                <w:lang w:eastAsia="ru-RU"/>
              </w:rPr>
              <w:t>/0,7)</w:t>
            </w:r>
            <w:r w:rsidRPr="009E6200">
              <w:rPr>
                <w:rFonts w:eastAsia="Times New Roman" w:cs="Tahoma"/>
                <w:sz w:val="20"/>
                <w:szCs w:val="20"/>
                <w:vertAlign w:val="superscript"/>
                <w:lang w:eastAsia="ru-RU"/>
              </w:rPr>
              <w:t>-1,21</w:t>
            </w:r>
            <w:r w:rsidRPr="009E6200">
              <w:rPr>
                <w:rFonts w:eastAsia="Times New Roman" w:cs="Tahoma"/>
                <w:sz w:val="20"/>
                <w:szCs w:val="20"/>
                <w:vertAlign w:val="superscript"/>
                <w:lang w:val="en-US" w:eastAsia="ru-RU"/>
              </w:rPr>
              <w:t>0</w:t>
            </w:r>
          </w:p>
        </w:tc>
      </w:tr>
      <w:tr w:rsidR="00F46B68" w:rsidRPr="009E6200" w14:paraId="2309ED9C" w14:textId="77777777" w:rsidTr="00E25CC8">
        <w:tc>
          <w:tcPr>
            <w:tcW w:w="2337" w:type="dxa"/>
            <w:vAlign w:val="center"/>
          </w:tcPr>
          <w:p w14:paraId="3B1B169E"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Испаноамериканцы и индейцы</w:t>
            </w:r>
          </w:p>
        </w:tc>
        <w:tc>
          <w:tcPr>
            <w:tcW w:w="1399" w:type="dxa"/>
            <w:vAlign w:val="center"/>
          </w:tcPr>
          <w:p w14:paraId="193F8B16"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Мужской</w:t>
            </w:r>
          </w:p>
        </w:tc>
        <w:tc>
          <w:tcPr>
            <w:tcW w:w="1769" w:type="dxa"/>
            <w:vAlign w:val="center"/>
          </w:tcPr>
          <w:p w14:paraId="35C77CBF"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≤0,9</w:t>
            </w:r>
          </w:p>
        </w:tc>
        <w:tc>
          <w:tcPr>
            <w:tcW w:w="3840" w:type="dxa"/>
            <w:vAlign w:val="center"/>
          </w:tcPr>
          <w:p w14:paraId="4109763E"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143*(0,993)</w:t>
            </w:r>
            <w:r w:rsidRPr="009E6200">
              <w:rPr>
                <w:rFonts w:eastAsia="Times New Roman" w:cs="Tahoma"/>
                <w:bCs/>
                <w:sz w:val="20"/>
                <w:szCs w:val="20"/>
                <w:vertAlign w:val="superscript"/>
                <w:lang w:eastAsia="ru-RU"/>
              </w:rPr>
              <w:t>Возраст</w:t>
            </w:r>
            <w:r w:rsidRPr="009E6200">
              <w:rPr>
                <w:rFonts w:eastAsia="Times New Roman" w:cs="Tahoma"/>
                <w:sz w:val="20"/>
                <w:szCs w:val="20"/>
                <w:lang w:eastAsia="ru-RU"/>
              </w:rPr>
              <w:t>*</w:t>
            </w:r>
            <w:r w:rsidRPr="009E6200">
              <w:rPr>
                <w:rFonts w:eastAsia="Times New Roman" w:cs="Tahoma"/>
                <w:bCs/>
                <w:sz w:val="20"/>
                <w:szCs w:val="20"/>
                <w:lang w:eastAsia="ru-RU"/>
              </w:rPr>
              <w:t>(SCr</w:t>
            </w:r>
            <w:r w:rsidRPr="009E6200">
              <w:rPr>
                <w:rFonts w:eastAsia="Times New Roman" w:cs="Tahoma"/>
                <w:sz w:val="20"/>
                <w:szCs w:val="20"/>
                <w:lang w:eastAsia="ru-RU"/>
              </w:rPr>
              <w:t>/0,9)</w:t>
            </w:r>
            <w:r w:rsidRPr="009E6200">
              <w:rPr>
                <w:rFonts w:eastAsia="Times New Roman" w:cs="Tahoma"/>
                <w:sz w:val="20"/>
                <w:szCs w:val="20"/>
                <w:vertAlign w:val="superscript"/>
                <w:lang w:eastAsia="ru-RU"/>
              </w:rPr>
              <w:t>-0,412</w:t>
            </w:r>
          </w:p>
        </w:tc>
      </w:tr>
      <w:tr w:rsidR="00F46B68" w:rsidRPr="009E6200" w14:paraId="08EEEBE4" w14:textId="77777777" w:rsidTr="00E25CC8">
        <w:tc>
          <w:tcPr>
            <w:tcW w:w="2337" w:type="dxa"/>
            <w:vAlign w:val="center"/>
          </w:tcPr>
          <w:p w14:paraId="4EED3F48"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Испаноамериканцы и индейцы</w:t>
            </w:r>
          </w:p>
        </w:tc>
        <w:tc>
          <w:tcPr>
            <w:tcW w:w="1399" w:type="dxa"/>
            <w:vAlign w:val="center"/>
          </w:tcPr>
          <w:p w14:paraId="7EA17D2D"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Мужской</w:t>
            </w:r>
          </w:p>
        </w:tc>
        <w:tc>
          <w:tcPr>
            <w:tcW w:w="1769" w:type="dxa"/>
            <w:vAlign w:val="center"/>
          </w:tcPr>
          <w:p w14:paraId="144C2741"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&gt;0,9</w:t>
            </w:r>
          </w:p>
        </w:tc>
        <w:tc>
          <w:tcPr>
            <w:tcW w:w="3840" w:type="dxa"/>
            <w:vAlign w:val="center"/>
          </w:tcPr>
          <w:p w14:paraId="488A9E7D" w14:textId="77777777" w:rsidR="00C23AFE" w:rsidRPr="009E6200" w:rsidRDefault="00C23AFE" w:rsidP="007B46F5">
            <w:pPr>
              <w:jc w:val="both"/>
              <w:rPr>
                <w:rFonts w:eastAsia="Times New Roman" w:cs="Tahoma"/>
                <w:sz w:val="20"/>
                <w:szCs w:val="20"/>
                <w:lang w:val="en-US" w:eastAsia="ru-RU"/>
              </w:rPr>
            </w:pPr>
            <w:r w:rsidRPr="009E6200">
              <w:rPr>
                <w:rFonts w:eastAsia="Times New Roman" w:cs="Tahoma"/>
                <w:sz w:val="20"/>
                <w:szCs w:val="20"/>
                <w:lang w:eastAsia="ru-RU"/>
              </w:rPr>
              <w:t>143*(0,993)</w:t>
            </w:r>
            <w:r w:rsidRPr="009E6200">
              <w:rPr>
                <w:rFonts w:eastAsia="Times New Roman" w:cs="Tahoma"/>
                <w:bCs/>
                <w:sz w:val="20"/>
                <w:szCs w:val="20"/>
                <w:vertAlign w:val="superscript"/>
                <w:lang w:eastAsia="ru-RU"/>
              </w:rPr>
              <w:t>Возраст</w:t>
            </w:r>
            <w:r w:rsidRPr="009E6200">
              <w:rPr>
                <w:rFonts w:eastAsia="Times New Roman" w:cs="Tahoma"/>
                <w:sz w:val="20"/>
                <w:szCs w:val="20"/>
                <w:lang w:eastAsia="ru-RU"/>
              </w:rPr>
              <w:t>*</w:t>
            </w:r>
            <w:r w:rsidRPr="009E6200">
              <w:rPr>
                <w:rFonts w:eastAsia="Times New Roman" w:cs="Tahoma"/>
                <w:bCs/>
                <w:sz w:val="20"/>
                <w:szCs w:val="20"/>
                <w:lang w:eastAsia="ru-RU"/>
              </w:rPr>
              <w:t>(SCr</w:t>
            </w:r>
            <w:r w:rsidRPr="009E6200">
              <w:rPr>
                <w:rFonts w:eastAsia="Times New Roman" w:cs="Tahoma"/>
                <w:sz w:val="20"/>
                <w:szCs w:val="20"/>
                <w:lang w:eastAsia="ru-RU"/>
              </w:rPr>
              <w:t>/0,7)</w:t>
            </w:r>
            <w:r w:rsidRPr="009E6200">
              <w:rPr>
                <w:rFonts w:eastAsia="Times New Roman" w:cs="Tahoma"/>
                <w:sz w:val="20"/>
                <w:szCs w:val="20"/>
                <w:vertAlign w:val="superscript"/>
                <w:lang w:eastAsia="ru-RU"/>
              </w:rPr>
              <w:t>-1,21</w:t>
            </w:r>
            <w:r w:rsidRPr="009E6200">
              <w:rPr>
                <w:rFonts w:eastAsia="Times New Roman" w:cs="Tahoma"/>
                <w:sz w:val="20"/>
                <w:szCs w:val="20"/>
                <w:vertAlign w:val="superscript"/>
                <w:lang w:val="en-US" w:eastAsia="ru-RU"/>
              </w:rPr>
              <w:t>0</w:t>
            </w:r>
          </w:p>
        </w:tc>
      </w:tr>
      <w:tr w:rsidR="00F46B68" w:rsidRPr="009E6200" w14:paraId="2EB9FB70" w14:textId="77777777" w:rsidTr="00E25CC8">
        <w:tc>
          <w:tcPr>
            <w:tcW w:w="2337" w:type="dxa"/>
            <w:vAlign w:val="center"/>
          </w:tcPr>
          <w:p w14:paraId="50DC526F"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Белые и остальные</w:t>
            </w:r>
          </w:p>
        </w:tc>
        <w:tc>
          <w:tcPr>
            <w:tcW w:w="1399" w:type="dxa"/>
            <w:vAlign w:val="center"/>
          </w:tcPr>
          <w:p w14:paraId="2F53468A"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Женский</w:t>
            </w:r>
          </w:p>
        </w:tc>
        <w:tc>
          <w:tcPr>
            <w:tcW w:w="1769" w:type="dxa"/>
            <w:vAlign w:val="center"/>
          </w:tcPr>
          <w:p w14:paraId="28C5EA49"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≤0,7</w:t>
            </w:r>
          </w:p>
        </w:tc>
        <w:tc>
          <w:tcPr>
            <w:tcW w:w="3840" w:type="dxa"/>
            <w:vAlign w:val="center"/>
          </w:tcPr>
          <w:p w14:paraId="4BB9B74E"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144*(0,993)</w:t>
            </w:r>
            <w:r w:rsidRPr="009E6200">
              <w:rPr>
                <w:rFonts w:eastAsia="Times New Roman" w:cs="Tahoma"/>
                <w:bCs/>
                <w:sz w:val="20"/>
                <w:szCs w:val="20"/>
                <w:vertAlign w:val="superscript"/>
                <w:lang w:eastAsia="ru-RU"/>
              </w:rPr>
              <w:t>Возраст</w:t>
            </w:r>
            <w:r w:rsidRPr="009E6200">
              <w:rPr>
                <w:rFonts w:eastAsia="Times New Roman" w:cs="Tahoma"/>
                <w:sz w:val="20"/>
                <w:szCs w:val="20"/>
                <w:lang w:eastAsia="ru-RU"/>
              </w:rPr>
              <w:t>*</w:t>
            </w:r>
            <w:r w:rsidRPr="009E6200">
              <w:rPr>
                <w:rFonts w:eastAsia="Times New Roman" w:cs="Tahoma"/>
                <w:bCs/>
                <w:sz w:val="20"/>
                <w:szCs w:val="20"/>
                <w:lang w:eastAsia="ru-RU"/>
              </w:rPr>
              <w:t>(SCr</w:t>
            </w:r>
            <w:r w:rsidRPr="009E6200">
              <w:rPr>
                <w:rFonts w:eastAsia="Times New Roman" w:cs="Tahoma"/>
                <w:sz w:val="20"/>
                <w:szCs w:val="20"/>
                <w:lang w:eastAsia="ru-RU"/>
              </w:rPr>
              <w:t>/0,7)</w:t>
            </w:r>
            <w:r w:rsidRPr="009E6200">
              <w:rPr>
                <w:rFonts w:eastAsia="Times New Roman" w:cs="Tahoma"/>
                <w:sz w:val="20"/>
                <w:szCs w:val="20"/>
                <w:vertAlign w:val="superscript"/>
                <w:lang w:eastAsia="ru-RU"/>
              </w:rPr>
              <w:t>-0,328</w:t>
            </w:r>
          </w:p>
        </w:tc>
      </w:tr>
      <w:tr w:rsidR="00F46B68" w:rsidRPr="009E6200" w14:paraId="6907D1D3" w14:textId="77777777" w:rsidTr="00E25CC8">
        <w:tc>
          <w:tcPr>
            <w:tcW w:w="2337" w:type="dxa"/>
            <w:vAlign w:val="center"/>
          </w:tcPr>
          <w:p w14:paraId="2FEFB1D5"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Белые и остальные</w:t>
            </w:r>
          </w:p>
        </w:tc>
        <w:tc>
          <w:tcPr>
            <w:tcW w:w="1399" w:type="dxa"/>
            <w:vAlign w:val="center"/>
          </w:tcPr>
          <w:p w14:paraId="1986106C"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Женский</w:t>
            </w:r>
          </w:p>
        </w:tc>
        <w:tc>
          <w:tcPr>
            <w:tcW w:w="1769" w:type="dxa"/>
            <w:vAlign w:val="center"/>
          </w:tcPr>
          <w:p w14:paraId="4730C31F"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&gt;0,7</w:t>
            </w:r>
          </w:p>
        </w:tc>
        <w:tc>
          <w:tcPr>
            <w:tcW w:w="3840" w:type="dxa"/>
            <w:vAlign w:val="center"/>
          </w:tcPr>
          <w:p w14:paraId="34BA4578" w14:textId="77777777" w:rsidR="00C23AFE" w:rsidRPr="009E6200" w:rsidRDefault="00C23AFE" w:rsidP="007B46F5">
            <w:pPr>
              <w:jc w:val="both"/>
              <w:rPr>
                <w:rFonts w:eastAsia="Times New Roman" w:cs="Tahoma"/>
                <w:sz w:val="20"/>
                <w:szCs w:val="20"/>
                <w:lang w:val="en-US" w:eastAsia="ru-RU"/>
              </w:rPr>
            </w:pPr>
            <w:r w:rsidRPr="009E6200">
              <w:rPr>
                <w:rFonts w:eastAsia="Times New Roman" w:cs="Tahoma"/>
                <w:sz w:val="20"/>
                <w:szCs w:val="20"/>
                <w:lang w:eastAsia="ru-RU"/>
              </w:rPr>
              <w:t>144*(0,993)</w:t>
            </w:r>
            <w:r w:rsidRPr="009E6200">
              <w:rPr>
                <w:rFonts w:eastAsia="Times New Roman" w:cs="Tahoma"/>
                <w:bCs/>
                <w:sz w:val="20"/>
                <w:szCs w:val="20"/>
                <w:vertAlign w:val="superscript"/>
                <w:lang w:eastAsia="ru-RU"/>
              </w:rPr>
              <w:t>Возраст</w:t>
            </w:r>
            <w:r w:rsidRPr="009E6200">
              <w:rPr>
                <w:rFonts w:eastAsia="Times New Roman" w:cs="Tahoma"/>
                <w:sz w:val="20"/>
                <w:szCs w:val="20"/>
                <w:lang w:eastAsia="ru-RU"/>
              </w:rPr>
              <w:t>*</w:t>
            </w:r>
            <w:r w:rsidRPr="009E6200">
              <w:rPr>
                <w:rFonts w:eastAsia="Times New Roman" w:cs="Tahoma"/>
                <w:bCs/>
                <w:sz w:val="20"/>
                <w:szCs w:val="20"/>
                <w:lang w:eastAsia="ru-RU"/>
              </w:rPr>
              <w:t>(SCr</w:t>
            </w:r>
            <w:r w:rsidRPr="009E6200">
              <w:rPr>
                <w:rFonts w:eastAsia="Times New Roman" w:cs="Tahoma"/>
                <w:sz w:val="20"/>
                <w:szCs w:val="20"/>
                <w:lang w:eastAsia="ru-RU"/>
              </w:rPr>
              <w:t>/0,7)</w:t>
            </w:r>
            <w:r w:rsidRPr="009E6200">
              <w:rPr>
                <w:rFonts w:eastAsia="Times New Roman" w:cs="Tahoma"/>
                <w:sz w:val="20"/>
                <w:szCs w:val="20"/>
                <w:vertAlign w:val="superscript"/>
                <w:lang w:eastAsia="ru-RU"/>
              </w:rPr>
              <w:t>-1,21</w:t>
            </w:r>
            <w:r w:rsidRPr="009E6200">
              <w:rPr>
                <w:rFonts w:eastAsia="Times New Roman" w:cs="Tahoma"/>
                <w:sz w:val="20"/>
                <w:szCs w:val="20"/>
                <w:vertAlign w:val="superscript"/>
                <w:lang w:val="en-US" w:eastAsia="ru-RU"/>
              </w:rPr>
              <w:t>0</w:t>
            </w:r>
          </w:p>
        </w:tc>
      </w:tr>
      <w:tr w:rsidR="00F46B68" w:rsidRPr="009E6200" w14:paraId="4C0AC247" w14:textId="77777777" w:rsidTr="00E25CC8">
        <w:tc>
          <w:tcPr>
            <w:tcW w:w="2337" w:type="dxa"/>
            <w:vAlign w:val="center"/>
          </w:tcPr>
          <w:p w14:paraId="6C09858F"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Белые и остальные</w:t>
            </w:r>
          </w:p>
        </w:tc>
        <w:tc>
          <w:tcPr>
            <w:tcW w:w="1399" w:type="dxa"/>
            <w:vAlign w:val="center"/>
          </w:tcPr>
          <w:p w14:paraId="4455AD18"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Мужской</w:t>
            </w:r>
          </w:p>
        </w:tc>
        <w:tc>
          <w:tcPr>
            <w:tcW w:w="1769" w:type="dxa"/>
            <w:vAlign w:val="center"/>
          </w:tcPr>
          <w:p w14:paraId="25DE4C29"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≤0,9</w:t>
            </w:r>
          </w:p>
        </w:tc>
        <w:tc>
          <w:tcPr>
            <w:tcW w:w="3840" w:type="dxa"/>
            <w:vAlign w:val="center"/>
          </w:tcPr>
          <w:p w14:paraId="5C1C7D96"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141*(0,993)</w:t>
            </w:r>
            <w:r w:rsidRPr="009E6200">
              <w:rPr>
                <w:rFonts w:eastAsia="Times New Roman" w:cs="Tahoma"/>
                <w:bCs/>
                <w:sz w:val="20"/>
                <w:szCs w:val="20"/>
                <w:vertAlign w:val="superscript"/>
                <w:lang w:eastAsia="ru-RU"/>
              </w:rPr>
              <w:t>Возраст</w:t>
            </w:r>
            <w:r w:rsidRPr="009E6200">
              <w:rPr>
                <w:rFonts w:eastAsia="Times New Roman" w:cs="Tahoma"/>
                <w:sz w:val="20"/>
                <w:szCs w:val="20"/>
                <w:lang w:eastAsia="ru-RU"/>
              </w:rPr>
              <w:t>*</w:t>
            </w:r>
            <w:r w:rsidRPr="009E6200">
              <w:rPr>
                <w:rFonts w:eastAsia="Times New Roman" w:cs="Tahoma"/>
                <w:bCs/>
                <w:sz w:val="20"/>
                <w:szCs w:val="20"/>
                <w:lang w:eastAsia="ru-RU"/>
              </w:rPr>
              <w:t>(SCr</w:t>
            </w:r>
            <w:r w:rsidRPr="009E6200">
              <w:rPr>
                <w:rFonts w:eastAsia="Times New Roman" w:cs="Tahoma"/>
                <w:sz w:val="20"/>
                <w:szCs w:val="20"/>
                <w:lang w:eastAsia="ru-RU"/>
              </w:rPr>
              <w:t>/0,9)</w:t>
            </w:r>
            <w:r w:rsidRPr="009E6200">
              <w:rPr>
                <w:rFonts w:eastAsia="Times New Roman" w:cs="Tahoma"/>
                <w:sz w:val="20"/>
                <w:szCs w:val="20"/>
                <w:vertAlign w:val="superscript"/>
                <w:lang w:eastAsia="ru-RU"/>
              </w:rPr>
              <w:t>-0,412</w:t>
            </w:r>
          </w:p>
        </w:tc>
      </w:tr>
      <w:tr w:rsidR="00C23AFE" w:rsidRPr="009E6200" w14:paraId="157AE886" w14:textId="77777777" w:rsidTr="00E25CC8">
        <w:tc>
          <w:tcPr>
            <w:tcW w:w="2337" w:type="dxa"/>
            <w:vAlign w:val="center"/>
          </w:tcPr>
          <w:p w14:paraId="53CBEF04"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Белые и остальные</w:t>
            </w:r>
          </w:p>
        </w:tc>
        <w:tc>
          <w:tcPr>
            <w:tcW w:w="1399" w:type="dxa"/>
            <w:vAlign w:val="center"/>
          </w:tcPr>
          <w:p w14:paraId="519D4265"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Мужской</w:t>
            </w:r>
          </w:p>
        </w:tc>
        <w:tc>
          <w:tcPr>
            <w:tcW w:w="1769" w:type="dxa"/>
            <w:vAlign w:val="center"/>
          </w:tcPr>
          <w:p w14:paraId="190903A5" w14:textId="77777777" w:rsidR="00C23AFE" w:rsidRPr="009E6200" w:rsidRDefault="00C23AFE" w:rsidP="007B46F5">
            <w:pPr>
              <w:jc w:val="both"/>
              <w:rPr>
                <w:rFonts w:eastAsia="Times New Roman" w:cs="Tahoma"/>
                <w:sz w:val="20"/>
                <w:szCs w:val="20"/>
                <w:lang w:eastAsia="ru-RU"/>
              </w:rPr>
            </w:pPr>
            <w:r w:rsidRPr="009E6200">
              <w:rPr>
                <w:rFonts w:eastAsia="Times New Roman" w:cs="Tahoma"/>
                <w:sz w:val="20"/>
                <w:szCs w:val="20"/>
                <w:lang w:eastAsia="ru-RU"/>
              </w:rPr>
              <w:t>&gt;0,9</w:t>
            </w:r>
          </w:p>
        </w:tc>
        <w:tc>
          <w:tcPr>
            <w:tcW w:w="3840" w:type="dxa"/>
            <w:vAlign w:val="center"/>
          </w:tcPr>
          <w:p w14:paraId="09DD9A73" w14:textId="77777777" w:rsidR="00C23AFE" w:rsidRPr="009E6200" w:rsidRDefault="00C23AFE" w:rsidP="007B46F5">
            <w:pPr>
              <w:jc w:val="both"/>
              <w:rPr>
                <w:rFonts w:eastAsia="Times New Roman" w:cs="Tahoma"/>
                <w:sz w:val="20"/>
                <w:szCs w:val="20"/>
                <w:lang w:val="en-US" w:eastAsia="ru-RU"/>
              </w:rPr>
            </w:pPr>
            <w:r w:rsidRPr="009E6200">
              <w:rPr>
                <w:rFonts w:eastAsia="Times New Roman" w:cs="Tahoma"/>
                <w:sz w:val="20"/>
                <w:szCs w:val="20"/>
                <w:lang w:eastAsia="ru-RU"/>
              </w:rPr>
              <w:t>141*(0,993)</w:t>
            </w:r>
            <w:r w:rsidRPr="009E6200">
              <w:rPr>
                <w:rFonts w:eastAsia="Times New Roman" w:cs="Tahoma"/>
                <w:bCs/>
                <w:sz w:val="20"/>
                <w:szCs w:val="20"/>
                <w:vertAlign w:val="superscript"/>
                <w:lang w:eastAsia="ru-RU"/>
              </w:rPr>
              <w:t>Возраст</w:t>
            </w:r>
            <w:r w:rsidRPr="009E6200">
              <w:rPr>
                <w:rFonts w:eastAsia="Times New Roman" w:cs="Tahoma"/>
                <w:sz w:val="20"/>
                <w:szCs w:val="20"/>
                <w:lang w:eastAsia="ru-RU"/>
              </w:rPr>
              <w:t>*</w:t>
            </w:r>
            <w:r w:rsidRPr="009E6200">
              <w:rPr>
                <w:rFonts w:eastAsia="Times New Roman" w:cs="Tahoma"/>
                <w:bCs/>
                <w:sz w:val="20"/>
                <w:szCs w:val="20"/>
                <w:lang w:eastAsia="ru-RU"/>
              </w:rPr>
              <w:t>(SCr</w:t>
            </w:r>
            <w:r w:rsidRPr="009E6200">
              <w:rPr>
                <w:rFonts w:eastAsia="Times New Roman" w:cs="Tahoma"/>
                <w:sz w:val="20"/>
                <w:szCs w:val="20"/>
                <w:lang w:eastAsia="ru-RU"/>
              </w:rPr>
              <w:t>/0,9)</w:t>
            </w:r>
            <w:r w:rsidRPr="009E6200">
              <w:rPr>
                <w:rFonts w:eastAsia="Times New Roman" w:cs="Tahoma"/>
                <w:sz w:val="20"/>
                <w:szCs w:val="20"/>
                <w:vertAlign w:val="superscript"/>
                <w:lang w:eastAsia="ru-RU"/>
              </w:rPr>
              <w:t>-1,21</w:t>
            </w:r>
            <w:r w:rsidRPr="009E6200">
              <w:rPr>
                <w:rFonts w:eastAsia="Times New Roman" w:cs="Tahoma"/>
                <w:sz w:val="20"/>
                <w:szCs w:val="20"/>
                <w:vertAlign w:val="superscript"/>
                <w:lang w:val="en-US" w:eastAsia="ru-RU"/>
              </w:rPr>
              <w:t>0</w:t>
            </w:r>
          </w:p>
        </w:tc>
      </w:tr>
    </w:tbl>
    <w:p w14:paraId="08C9854F" w14:textId="1E76FD60" w:rsidR="00C63F97" w:rsidRPr="009E6200" w:rsidRDefault="00C63F97" w:rsidP="007B46F5">
      <w:pPr>
        <w:jc w:val="both"/>
        <w:rPr>
          <w:lang w:eastAsia="ru-RU"/>
        </w:rPr>
      </w:pPr>
    </w:p>
    <w:p w14:paraId="360BCD8A" w14:textId="6D201026" w:rsidR="008722D3" w:rsidRDefault="008722D3" w:rsidP="007B46F5">
      <w:pPr>
        <w:pStyle w:val="Heading5"/>
        <w:spacing w:before="0" w:after="0"/>
        <w:jc w:val="both"/>
        <w:rPr>
          <w:color w:val="auto"/>
          <w:lang w:eastAsia="ru-RU"/>
        </w:rPr>
      </w:pPr>
      <w:bookmarkStart w:id="136" w:name="_Toc120865252"/>
      <w:r w:rsidRPr="009E6200">
        <w:rPr>
          <w:color w:val="auto"/>
          <w:lang w:eastAsia="ru-RU"/>
        </w:rPr>
        <w:t>Анализ крови на уровень антител к бевацизумабу</w:t>
      </w:r>
      <w:bookmarkEnd w:id="136"/>
    </w:p>
    <w:p w14:paraId="02188528" w14:textId="77777777" w:rsidR="00BB6320" w:rsidRPr="00BB6320" w:rsidRDefault="00BB6320" w:rsidP="007B46F5">
      <w:pPr>
        <w:pStyle w:val="SDText"/>
        <w:rPr>
          <w:lang w:eastAsia="ru-RU"/>
        </w:rPr>
      </w:pPr>
    </w:p>
    <w:p w14:paraId="7DD8F68E" w14:textId="22B5AB73" w:rsidR="00E64608" w:rsidRPr="009E6200" w:rsidRDefault="00E64608" w:rsidP="007B46F5">
      <w:pPr>
        <w:pStyle w:val="ListParagraph"/>
        <w:spacing w:line="240" w:lineRule="auto"/>
        <w:ind w:firstLine="709"/>
        <w:rPr>
          <w:lang w:val="ru-RU" w:eastAsia="ru-RU"/>
        </w:rPr>
      </w:pPr>
      <w:r w:rsidRPr="009E6200">
        <w:rPr>
          <w:lang w:val="ru-RU" w:eastAsia="ru-RU"/>
        </w:rPr>
        <w:t xml:space="preserve">Использование бевацизумаба может привести к образованию антител, нейтрализующих действие лекарственного вещества или приводящих к развитию реакций гиперчувствительности. В связи с этим будут отбираться образцы </w:t>
      </w:r>
      <w:r w:rsidR="002E3EE4" w:rsidRPr="009E6200">
        <w:rPr>
          <w:lang w:val="ru-RU" w:eastAsia="ru-RU"/>
        </w:rPr>
        <w:t xml:space="preserve">венозной </w:t>
      </w:r>
      <w:r w:rsidRPr="009E6200">
        <w:rPr>
          <w:lang w:val="ru-RU" w:eastAsia="ru-RU"/>
        </w:rPr>
        <w:t xml:space="preserve">крови для </w:t>
      </w:r>
      <w:r w:rsidR="007513AA" w:rsidRPr="009E6200">
        <w:rPr>
          <w:lang w:val="ru-RU" w:eastAsia="ru-RU"/>
        </w:rPr>
        <w:t>определения уровня антител к бевацизумабу</w:t>
      </w:r>
      <w:r w:rsidR="00F51A36" w:rsidRPr="009E6200">
        <w:rPr>
          <w:lang w:val="ru-RU" w:eastAsia="ru-RU"/>
        </w:rPr>
        <w:t xml:space="preserve"> и, в случае их выявления, нейтрализующих антител</w:t>
      </w:r>
      <w:r w:rsidR="002E3EE4" w:rsidRPr="009E6200">
        <w:rPr>
          <w:lang w:val="ru-RU" w:eastAsia="ru-RU"/>
        </w:rPr>
        <w:t>.</w:t>
      </w:r>
    </w:p>
    <w:p w14:paraId="17004AB1" w14:textId="77777777" w:rsidR="00BB6320" w:rsidRDefault="00BB6320" w:rsidP="007B46F5">
      <w:pPr>
        <w:pStyle w:val="ListParagraph"/>
        <w:spacing w:line="240" w:lineRule="auto"/>
        <w:rPr>
          <w:b/>
          <w:bCs/>
          <w:i/>
          <w:iCs/>
          <w:lang w:val="ru-RU" w:eastAsia="ru-RU"/>
        </w:rPr>
      </w:pPr>
    </w:p>
    <w:p w14:paraId="0777941C" w14:textId="01939D25" w:rsidR="00064C5A" w:rsidRPr="009E6200" w:rsidRDefault="00064C5A" w:rsidP="007B46F5">
      <w:pPr>
        <w:pStyle w:val="ListParagraph"/>
        <w:spacing w:line="240" w:lineRule="auto"/>
        <w:rPr>
          <w:b/>
          <w:bCs/>
          <w:i/>
          <w:iCs/>
          <w:lang w:val="ru-RU" w:eastAsia="ru-RU"/>
        </w:rPr>
      </w:pPr>
      <w:r w:rsidRPr="009E6200">
        <w:rPr>
          <w:b/>
          <w:bCs/>
          <w:i/>
          <w:iCs/>
          <w:lang w:val="ru-RU" w:eastAsia="ru-RU"/>
        </w:rPr>
        <w:t>Обработка образца крови</w:t>
      </w:r>
    </w:p>
    <w:p w14:paraId="3501BCFA" w14:textId="77777777" w:rsidR="00BB6320" w:rsidRDefault="00BB6320" w:rsidP="007B46F5">
      <w:pPr>
        <w:pStyle w:val="ListParagraph"/>
        <w:spacing w:line="240" w:lineRule="auto"/>
        <w:rPr>
          <w:lang w:val="ru-RU" w:eastAsia="ru-RU"/>
        </w:rPr>
      </w:pPr>
    </w:p>
    <w:p w14:paraId="1179A6A7" w14:textId="49D96B9A" w:rsidR="00064C5A" w:rsidRPr="009E6200" w:rsidRDefault="00064C5A" w:rsidP="007B46F5">
      <w:pPr>
        <w:pStyle w:val="ListParagraph"/>
        <w:spacing w:line="240" w:lineRule="auto"/>
        <w:ind w:firstLine="709"/>
        <w:rPr>
          <w:lang w:val="ru-RU" w:eastAsia="ru-RU"/>
        </w:rPr>
      </w:pPr>
      <w:r w:rsidRPr="009E6200">
        <w:rPr>
          <w:lang w:val="ru-RU" w:eastAsia="ru-RU"/>
        </w:rPr>
        <w:t xml:space="preserve">Для получения образца </w:t>
      </w:r>
      <w:r w:rsidRPr="009E6200">
        <w:rPr>
          <w:b/>
          <w:i/>
          <w:lang w:val="ru-RU" w:eastAsia="ru-RU"/>
        </w:rPr>
        <w:t>сыворотки</w:t>
      </w:r>
      <w:r w:rsidRPr="009E6200">
        <w:rPr>
          <w:lang w:val="ru-RU" w:eastAsia="ru-RU"/>
        </w:rPr>
        <w:t xml:space="preserve"> крови, после забора образца крови в вакуумные пробирки объемом 5 мл с желтой крышкой с разделительным гелем и активатором свертывания, пробирки  аккуратно переворачивают 5-6 раз для лучшего контакта крови с активатором свертывания и оставляют в штативе в вертикальном положении при комнатной температуре на </w:t>
      </w:r>
      <w:r w:rsidR="00A927A5" w:rsidRPr="009E6200">
        <w:rPr>
          <w:lang w:val="ru-RU" w:eastAsia="ru-RU"/>
        </w:rPr>
        <w:t xml:space="preserve">период времени от </w:t>
      </w:r>
      <w:r w:rsidR="00CD3EF8" w:rsidRPr="009E6200">
        <w:rPr>
          <w:b/>
          <w:color w:val="222222"/>
          <w:szCs w:val="24"/>
          <w:lang w:val="ru-RU" w:eastAsia="ru-RU"/>
        </w:rPr>
        <w:t>30 минут до 1 часа для образования сгустка крови</w:t>
      </w:r>
      <w:r w:rsidR="00CD3EF8" w:rsidRPr="009E6200">
        <w:rPr>
          <w:b/>
          <w:lang w:val="ru-RU" w:eastAsia="ru-RU"/>
        </w:rPr>
        <w:t xml:space="preserve"> </w:t>
      </w:r>
      <w:r w:rsidRPr="009E6200">
        <w:rPr>
          <w:lang w:val="ru-RU" w:eastAsia="ru-RU"/>
        </w:rPr>
        <w:t>. Центрифугирование проводят не позднее, чем через 1 час после забора биоматериала. Недопустимо длительное хранение вакуумных пробирок с отобранной кровью при комнатной температуре или их замораживание.</w:t>
      </w:r>
    </w:p>
    <w:p w14:paraId="02FB1C27" w14:textId="5D386F6D" w:rsidR="00064C5A" w:rsidRPr="009E6200" w:rsidRDefault="00064C5A" w:rsidP="007B46F5">
      <w:pPr>
        <w:pStyle w:val="ListParagraph"/>
        <w:spacing w:line="240" w:lineRule="auto"/>
        <w:ind w:firstLine="709"/>
        <w:rPr>
          <w:lang w:val="ru-RU" w:eastAsia="ru-RU"/>
        </w:rPr>
      </w:pPr>
      <w:r w:rsidRPr="009E6200">
        <w:rPr>
          <w:lang w:val="ru-RU" w:eastAsia="ru-RU"/>
        </w:rPr>
        <w:t xml:space="preserve">Кровь для получения сыворотки центрифугируют в течение 15 мин при ускорении 1000 </w:t>
      </w:r>
      <w:r w:rsidRPr="009E6200">
        <w:rPr>
          <w:i/>
          <w:lang w:eastAsia="ru-RU"/>
        </w:rPr>
        <w:t>g</w:t>
      </w:r>
      <w:r w:rsidRPr="009E6200">
        <w:rPr>
          <w:lang w:val="ru-RU" w:eastAsia="ru-RU"/>
        </w:rPr>
        <w:t xml:space="preserve">. Проводить отбор сыворотки необходимо сразу после центрифугирования образца крови. Отбирать образец сыворотки необходимо с помощью </w:t>
      </w:r>
      <w:r w:rsidR="004275CD" w:rsidRPr="009E6200">
        <w:rPr>
          <w:lang w:val="ru-RU" w:eastAsia="ru-RU"/>
        </w:rPr>
        <w:t>пастеровской пипетки</w:t>
      </w:r>
      <w:r w:rsidRPr="009E6200">
        <w:rPr>
          <w:lang w:val="ru-RU" w:eastAsia="ru-RU"/>
        </w:rPr>
        <w:t>, аккуратно, чтобы не допустить попадания эритроцитов в образец.</w:t>
      </w:r>
    </w:p>
    <w:p w14:paraId="7673C295" w14:textId="5917A26E" w:rsidR="00064C5A" w:rsidRPr="009E6200" w:rsidRDefault="00064C5A" w:rsidP="007B46F5">
      <w:pPr>
        <w:pStyle w:val="ListParagraph"/>
        <w:spacing w:line="240" w:lineRule="auto"/>
        <w:ind w:firstLine="709"/>
        <w:rPr>
          <w:lang w:val="ru-RU" w:eastAsia="ru-RU"/>
        </w:rPr>
      </w:pPr>
      <w:r w:rsidRPr="009E6200">
        <w:rPr>
          <w:lang w:val="ru-RU" w:eastAsia="ru-RU"/>
        </w:rPr>
        <w:t xml:space="preserve">Необходимо чётко соблюдать инструкцию по использованию вакуумных пробирок, в которые отбирается образец крови. Необходим адекватный выбор </w:t>
      </w:r>
      <w:r w:rsidRPr="009E6200">
        <w:rPr>
          <w:b/>
          <w:lang w:val="ru-RU" w:eastAsia="ru-RU"/>
        </w:rPr>
        <w:t>диаметра катетера</w:t>
      </w:r>
      <w:r w:rsidRPr="009E6200">
        <w:rPr>
          <w:lang w:val="ru-RU" w:eastAsia="ru-RU"/>
        </w:rPr>
        <w:t>. Использование катетеров со слишком тонкими иглами повышает риск гемолиза.</w:t>
      </w:r>
    </w:p>
    <w:p w14:paraId="00BF649C" w14:textId="77777777" w:rsidR="00BB6320" w:rsidRDefault="00BB6320" w:rsidP="007B46F5">
      <w:pPr>
        <w:pStyle w:val="ListParagraph"/>
        <w:spacing w:line="240" w:lineRule="auto"/>
        <w:rPr>
          <w:b/>
          <w:i/>
          <w:iCs/>
          <w:lang w:val="ru-RU" w:eastAsia="ru-RU"/>
        </w:rPr>
      </w:pPr>
    </w:p>
    <w:p w14:paraId="51FCB3BC" w14:textId="24C3A5E1" w:rsidR="00064C5A" w:rsidRPr="009E6200" w:rsidRDefault="00064C5A" w:rsidP="007B46F5">
      <w:pPr>
        <w:pStyle w:val="ListParagraph"/>
        <w:spacing w:line="240" w:lineRule="auto"/>
        <w:rPr>
          <w:b/>
          <w:i/>
          <w:iCs/>
          <w:lang w:val="ru-RU" w:eastAsia="ru-RU"/>
        </w:rPr>
      </w:pPr>
      <w:r w:rsidRPr="009E6200">
        <w:rPr>
          <w:b/>
          <w:i/>
          <w:iCs/>
          <w:lang w:val="ru-RU" w:eastAsia="ru-RU"/>
        </w:rPr>
        <w:t>Пробирки для отбора образца крови</w:t>
      </w:r>
    </w:p>
    <w:p w14:paraId="1AE9773A" w14:textId="77777777" w:rsidR="00BB6320" w:rsidRDefault="00BB6320" w:rsidP="007B46F5">
      <w:pPr>
        <w:pStyle w:val="ListParagraph"/>
        <w:spacing w:line="240" w:lineRule="auto"/>
        <w:rPr>
          <w:lang w:val="ru-RU" w:eastAsia="ru-RU"/>
        </w:rPr>
      </w:pPr>
    </w:p>
    <w:p w14:paraId="6688098A" w14:textId="5A521B2D" w:rsidR="00064C5A" w:rsidRPr="009E6200" w:rsidRDefault="00064C5A" w:rsidP="007B46F5">
      <w:pPr>
        <w:pStyle w:val="ListParagraph"/>
        <w:spacing w:line="240" w:lineRule="auto"/>
        <w:ind w:firstLine="709"/>
        <w:rPr>
          <w:lang w:val="ru-RU" w:eastAsia="ru-RU"/>
        </w:rPr>
      </w:pPr>
      <w:r w:rsidRPr="009E6200">
        <w:rPr>
          <w:lang w:val="ru-RU" w:eastAsia="ru-RU"/>
        </w:rPr>
        <w:t xml:space="preserve">В исследовании для отбора образца крови должны использоваться пробирки </w:t>
      </w:r>
      <w:r w:rsidRPr="009E6200">
        <w:rPr>
          <w:lang w:eastAsia="ru-RU"/>
        </w:rPr>
        <w:t>BD</w:t>
      </w:r>
      <w:r w:rsidRPr="009E6200">
        <w:rPr>
          <w:lang w:val="ru-RU" w:eastAsia="ru-RU"/>
        </w:rPr>
        <w:t xml:space="preserve"> </w:t>
      </w:r>
      <w:r w:rsidRPr="009E6200">
        <w:rPr>
          <w:lang w:eastAsia="ru-RU"/>
        </w:rPr>
        <w:t>Vacutainer</w:t>
      </w:r>
      <w:r w:rsidRPr="009E6200">
        <w:rPr>
          <w:lang w:val="ru-RU" w:eastAsia="ru-RU"/>
        </w:rPr>
        <w:t xml:space="preserve"> 5 мл с разделительным гелем и активатором свертывания крови (с желтой крышкой).  </w:t>
      </w:r>
    </w:p>
    <w:p w14:paraId="21E108B9" w14:textId="77777777" w:rsidR="00BB6320" w:rsidRDefault="00BB6320" w:rsidP="007B46F5">
      <w:pPr>
        <w:pStyle w:val="ListParagraph"/>
        <w:spacing w:line="240" w:lineRule="auto"/>
        <w:rPr>
          <w:b/>
          <w:i/>
          <w:iCs/>
          <w:lang w:val="ru-RU" w:eastAsia="ru-RU"/>
        </w:rPr>
      </w:pPr>
    </w:p>
    <w:p w14:paraId="0BE2CF99" w14:textId="5A4B9D5E" w:rsidR="00064C5A" w:rsidRPr="009E6200" w:rsidRDefault="00064C5A" w:rsidP="007B46F5">
      <w:pPr>
        <w:pStyle w:val="ListParagraph"/>
        <w:spacing w:line="240" w:lineRule="auto"/>
        <w:rPr>
          <w:b/>
          <w:i/>
          <w:iCs/>
          <w:lang w:val="ru-RU" w:eastAsia="ru-RU"/>
        </w:rPr>
      </w:pPr>
      <w:r w:rsidRPr="009E6200">
        <w:rPr>
          <w:b/>
          <w:i/>
          <w:iCs/>
          <w:lang w:val="ru-RU" w:eastAsia="ru-RU"/>
        </w:rPr>
        <w:t>Криопробирки для сыворотки</w:t>
      </w:r>
    </w:p>
    <w:p w14:paraId="6358DD98" w14:textId="77777777" w:rsidR="00BB6320" w:rsidRDefault="00BB6320" w:rsidP="007B46F5">
      <w:pPr>
        <w:pStyle w:val="ListParagraph"/>
        <w:spacing w:line="240" w:lineRule="auto"/>
        <w:rPr>
          <w:lang w:val="ru-RU" w:eastAsia="ru-RU"/>
        </w:rPr>
      </w:pPr>
    </w:p>
    <w:p w14:paraId="1742D99B" w14:textId="15D9E5FD" w:rsidR="00064C5A" w:rsidRPr="009E6200" w:rsidRDefault="00064C5A" w:rsidP="007B46F5">
      <w:pPr>
        <w:pStyle w:val="ListParagraph"/>
        <w:spacing w:line="240" w:lineRule="auto"/>
        <w:ind w:firstLine="709"/>
        <w:rPr>
          <w:lang w:val="ru-RU" w:eastAsia="ru-RU"/>
        </w:rPr>
      </w:pPr>
      <w:r w:rsidRPr="009E6200">
        <w:rPr>
          <w:lang w:val="ru-RU" w:eastAsia="ru-RU"/>
        </w:rPr>
        <w:t>Криопробирки должны быть изготовлены из качественного пластика, выдерживающего заморозку. Пробирки, изготовленные из некачественного пластика, имеют свойство ломаться и трескаться при заморозке, что может привести к потере образца.</w:t>
      </w:r>
    </w:p>
    <w:p w14:paraId="7AA2CB8C" w14:textId="51B1520F" w:rsidR="00064C5A" w:rsidRPr="009E6200" w:rsidRDefault="00064C5A" w:rsidP="007B46F5">
      <w:pPr>
        <w:pStyle w:val="ListParagraph"/>
        <w:spacing w:line="240" w:lineRule="auto"/>
        <w:rPr>
          <w:lang w:val="ru-RU" w:eastAsia="ru-RU"/>
        </w:rPr>
      </w:pPr>
      <w:r w:rsidRPr="009E6200">
        <w:rPr>
          <w:lang w:val="ru-RU" w:eastAsia="ru-RU"/>
        </w:rPr>
        <w:t xml:space="preserve">Необходимо использовать криоробирки с замком </w:t>
      </w:r>
      <w:r w:rsidRPr="009E6200">
        <w:rPr>
          <w:lang w:eastAsia="ru-RU"/>
        </w:rPr>
        <w:t>Safe</w:t>
      </w:r>
      <w:r w:rsidRPr="009E6200">
        <w:rPr>
          <w:lang w:val="ru-RU" w:eastAsia="ru-RU"/>
        </w:rPr>
        <w:t>-</w:t>
      </w:r>
      <w:r w:rsidRPr="009E6200">
        <w:rPr>
          <w:lang w:eastAsia="ru-RU"/>
        </w:rPr>
        <w:t>Lock</w:t>
      </w:r>
      <w:r w:rsidRPr="009E6200">
        <w:rPr>
          <w:lang w:val="ru-RU" w:eastAsia="ru-RU"/>
        </w:rPr>
        <w:t xml:space="preserve"> – специальным дополнительным фиксатором крышки. Пробирки с замком </w:t>
      </w:r>
      <w:r w:rsidRPr="009E6200">
        <w:rPr>
          <w:lang w:eastAsia="ru-RU"/>
        </w:rPr>
        <w:t>Safe</w:t>
      </w:r>
      <w:r w:rsidRPr="009E6200">
        <w:rPr>
          <w:lang w:val="ru-RU" w:eastAsia="ru-RU"/>
        </w:rPr>
        <w:t>-</w:t>
      </w:r>
      <w:r w:rsidRPr="009E6200">
        <w:rPr>
          <w:lang w:eastAsia="ru-RU"/>
        </w:rPr>
        <w:t>Lock</w:t>
      </w:r>
      <w:r w:rsidRPr="009E6200">
        <w:rPr>
          <w:lang w:val="ru-RU" w:eastAsia="ru-RU"/>
        </w:rPr>
        <w:t xml:space="preserve"> практически полностью защищены от случайного открытия и вытекания образца в процессе транспортировки, заморозки, разморозки образца. </w:t>
      </w:r>
      <w:r w:rsidR="00CE5BC9" w:rsidRPr="009E6200">
        <w:rPr>
          <w:b/>
          <w:bCs/>
          <w:lang w:val="ru-RU" w:eastAsia="ru-RU"/>
        </w:rPr>
        <w:t>Н</w:t>
      </w:r>
      <w:r w:rsidRPr="009E6200">
        <w:rPr>
          <w:b/>
          <w:bCs/>
          <w:lang w:val="ru-RU" w:eastAsia="ru-RU"/>
        </w:rPr>
        <w:t xml:space="preserve">еобходимо использовать криопробирки объемом 1,5 или </w:t>
      </w:r>
      <w:r w:rsidRPr="009E6200">
        <w:rPr>
          <w:b/>
          <w:lang w:val="ru-RU" w:eastAsia="ru-RU"/>
        </w:rPr>
        <w:t>2 мл,</w:t>
      </w:r>
      <w:r w:rsidRPr="009E6200">
        <w:rPr>
          <w:lang w:val="ru-RU" w:eastAsia="ru-RU"/>
        </w:rPr>
        <w:t xml:space="preserve"> типа Эппендорф, с замком </w:t>
      </w:r>
      <w:r w:rsidRPr="009E6200">
        <w:rPr>
          <w:lang w:eastAsia="ru-RU"/>
        </w:rPr>
        <w:t>Safe</w:t>
      </w:r>
      <w:r w:rsidRPr="009E6200">
        <w:rPr>
          <w:lang w:val="ru-RU" w:eastAsia="ru-RU"/>
        </w:rPr>
        <w:t>-</w:t>
      </w:r>
      <w:r w:rsidRPr="009E6200">
        <w:rPr>
          <w:lang w:eastAsia="ru-RU"/>
        </w:rPr>
        <w:t>Lock</w:t>
      </w:r>
      <w:r w:rsidRPr="009E6200">
        <w:rPr>
          <w:lang w:val="ru-RU" w:eastAsia="ru-RU"/>
        </w:rPr>
        <w:t>, бесцветные.</w:t>
      </w:r>
    </w:p>
    <w:p w14:paraId="7D8840E3" w14:textId="77777777" w:rsidR="00BB6320" w:rsidRDefault="00BB6320" w:rsidP="007B46F5">
      <w:pPr>
        <w:pStyle w:val="ListParagraph"/>
        <w:spacing w:line="240" w:lineRule="auto"/>
        <w:rPr>
          <w:b/>
          <w:i/>
          <w:iCs/>
          <w:lang w:val="ru-RU" w:eastAsia="ru-RU"/>
        </w:rPr>
      </w:pPr>
    </w:p>
    <w:p w14:paraId="5267BB8F" w14:textId="34BE246D" w:rsidR="00064C5A" w:rsidRPr="009E6200" w:rsidRDefault="00064C5A" w:rsidP="007B46F5">
      <w:pPr>
        <w:pStyle w:val="ListParagraph"/>
        <w:spacing w:line="240" w:lineRule="auto"/>
        <w:rPr>
          <w:b/>
          <w:i/>
          <w:iCs/>
          <w:lang w:val="ru-RU" w:eastAsia="ru-RU"/>
        </w:rPr>
      </w:pPr>
      <w:r w:rsidRPr="009E6200">
        <w:rPr>
          <w:b/>
          <w:i/>
          <w:iCs/>
          <w:lang w:val="ru-RU" w:eastAsia="ru-RU"/>
        </w:rPr>
        <w:t>Особенности работы с криопробирками для сыворотки:</w:t>
      </w:r>
    </w:p>
    <w:p w14:paraId="709346F8" w14:textId="1E5FF0F2" w:rsidR="00064C5A" w:rsidRPr="009E6200" w:rsidRDefault="00064C5A" w:rsidP="007B46F5">
      <w:pPr>
        <w:pStyle w:val="ListParagraph"/>
        <w:numPr>
          <w:ilvl w:val="0"/>
          <w:numId w:val="31"/>
        </w:numPr>
        <w:spacing w:line="240" w:lineRule="auto"/>
        <w:rPr>
          <w:lang w:val="ru-RU" w:eastAsia="ru-RU"/>
        </w:rPr>
      </w:pPr>
      <w:r w:rsidRPr="009E6200">
        <w:rPr>
          <w:lang w:val="ru-RU" w:eastAsia="ru-RU"/>
        </w:rPr>
        <w:t>После окончан</w:t>
      </w:r>
      <w:r w:rsidR="00CA1EE7" w:rsidRPr="009E6200">
        <w:rPr>
          <w:lang w:val="ru-RU" w:eastAsia="ru-RU"/>
        </w:rPr>
        <w:t>ия центрифугирования перенесите</w:t>
      </w:r>
      <w:r w:rsidRPr="009E6200">
        <w:rPr>
          <w:lang w:val="ru-RU" w:eastAsia="ru-RU"/>
        </w:rPr>
        <w:t xml:space="preserve"> 1000 мкл сыворотки в каждую из предварительно промаркированных криопробирок (Аликвота 1). Удостоверьтесь, что временная точк</w:t>
      </w:r>
      <w:r w:rsidR="00CA1EE7" w:rsidRPr="009E6200">
        <w:rPr>
          <w:lang w:val="ru-RU" w:eastAsia="ru-RU"/>
        </w:rPr>
        <w:t>а на этикетке пробирки с кровью</w:t>
      </w:r>
      <w:r w:rsidRPr="009E6200">
        <w:rPr>
          <w:lang w:val="ru-RU" w:eastAsia="ru-RU"/>
        </w:rPr>
        <w:t xml:space="preserve"> соответствует таковой на этикетке используемой криопробирки. Минимальный объем сыворотки для переноса – 800 мкл. Меньшее количество является заведомо недостаточным для проведения анализа, большее количество является заведомо неудобным для отбора проб, а также может «выбивать» крышку пробирки в процессе заморозки и разморозки образца.</w:t>
      </w:r>
    </w:p>
    <w:p w14:paraId="5D16991E" w14:textId="77777777" w:rsidR="00064C5A" w:rsidRPr="009E6200" w:rsidRDefault="00064C5A" w:rsidP="007B46F5">
      <w:pPr>
        <w:pStyle w:val="ListParagraph"/>
        <w:numPr>
          <w:ilvl w:val="0"/>
          <w:numId w:val="31"/>
        </w:numPr>
        <w:spacing w:line="240" w:lineRule="auto"/>
        <w:rPr>
          <w:lang w:val="ru-RU" w:eastAsia="ru-RU"/>
        </w:rPr>
      </w:pPr>
      <w:r w:rsidRPr="009E6200">
        <w:rPr>
          <w:lang w:val="ru-RU" w:eastAsia="ru-RU"/>
        </w:rPr>
        <w:t>Перенесите 1000 мкл сыворотки в «архивные» криопробирки (Аликвота 2). Удостоверьтесь, что временная точка на этикетке пробирки с кровью соответствует таковой на этикетке используемой криопробирки. Минимальный объем сыворотки для переноса – 800 мкл.</w:t>
      </w:r>
    </w:p>
    <w:p w14:paraId="46FD0C02" w14:textId="77777777" w:rsidR="00064C5A" w:rsidRPr="009E6200" w:rsidRDefault="00064C5A" w:rsidP="007B46F5">
      <w:pPr>
        <w:pStyle w:val="ListParagraph"/>
        <w:numPr>
          <w:ilvl w:val="0"/>
          <w:numId w:val="31"/>
        </w:numPr>
        <w:spacing w:line="240" w:lineRule="auto"/>
        <w:rPr>
          <w:lang w:val="ru-RU" w:eastAsia="ru-RU"/>
        </w:rPr>
      </w:pPr>
      <w:r w:rsidRPr="009E6200">
        <w:rPr>
          <w:lang w:val="ru-RU" w:eastAsia="ru-RU"/>
        </w:rPr>
        <w:t>Необходимо плотно закрывать крышки криопробирок.</w:t>
      </w:r>
    </w:p>
    <w:p w14:paraId="74C28915" w14:textId="7ABF3D22" w:rsidR="00064C5A" w:rsidRPr="009E6200" w:rsidRDefault="00064C5A" w:rsidP="007B46F5">
      <w:pPr>
        <w:pStyle w:val="ListParagraph"/>
        <w:numPr>
          <w:ilvl w:val="0"/>
          <w:numId w:val="31"/>
        </w:numPr>
        <w:spacing w:line="240" w:lineRule="auto"/>
        <w:rPr>
          <w:lang w:val="ru-RU" w:eastAsia="ru-RU"/>
        </w:rPr>
      </w:pPr>
      <w:r w:rsidRPr="009E6200">
        <w:rPr>
          <w:lang w:val="ru-RU" w:eastAsia="ru-RU"/>
        </w:rPr>
        <w:t>Криопробирки необходимо замораживать в штативе для криопробирок в вертикальном положении при температуре не выше –</w:t>
      </w:r>
      <w:r w:rsidR="001463D6" w:rsidRPr="009E6200">
        <w:rPr>
          <w:lang w:val="ru-RU" w:eastAsia="ru-RU"/>
        </w:rPr>
        <w:t>4</w:t>
      </w:r>
      <w:r w:rsidRPr="009E6200">
        <w:rPr>
          <w:lang w:val="ru-RU" w:eastAsia="ru-RU"/>
        </w:rPr>
        <w:t>0</w:t>
      </w:r>
      <w:r w:rsidR="00A37522" w:rsidRPr="009E6200">
        <w:rPr>
          <w:lang w:val="ru-RU" w:eastAsia="ru-RU"/>
        </w:rPr>
        <w:t xml:space="preserve"> °</w:t>
      </w:r>
      <w:r w:rsidRPr="009E6200">
        <w:rPr>
          <w:lang w:val="ru-RU" w:eastAsia="ru-RU"/>
        </w:rPr>
        <w:t xml:space="preserve">С и хранить при данной температуре до отправки в лабораторию. </w:t>
      </w:r>
    </w:p>
    <w:p w14:paraId="6611DB18" w14:textId="5138DD7B" w:rsidR="00064C5A" w:rsidRPr="009E6200" w:rsidRDefault="00064C5A" w:rsidP="007B46F5">
      <w:pPr>
        <w:pStyle w:val="ListParagraph"/>
        <w:numPr>
          <w:ilvl w:val="0"/>
          <w:numId w:val="31"/>
        </w:numPr>
        <w:spacing w:line="240" w:lineRule="auto"/>
        <w:rPr>
          <w:lang w:val="ru-RU" w:eastAsia="ru-RU"/>
        </w:rPr>
      </w:pPr>
      <w:r w:rsidRPr="009E6200">
        <w:rPr>
          <w:lang w:val="ru-RU" w:eastAsia="ru-RU"/>
        </w:rPr>
        <w:t>После заморозки необходимо сортировать криопробирки в пакеты замком Zip Lock. В одном пакете должны находиться кри</w:t>
      </w:r>
      <w:r w:rsidR="00CA1EE7" w:rsidRPr="009E6200">
        <w:rPr>
          <w:lang w:val="ru-RU" w:eastAsia="ru-RU"/>
        </w:rPr>
        <w:t>опробирки, содержащие сыворотку</w:t>
      </w:r>
      <w:r w:rsidRPr="009E6200">
        <w:rPr>
          <w:lang w:val="ru-RU" w:eastAsia="ru-RU"/>
        </w:rPr>
        <w:t xml:space="preserve"> одного </w:t>
      </w:r>
      <w:r w:rsidR="00901470" w:rsidRPr="009E6200">
        <w:rPr>
          <w:lang w:val="ru-RU" w:eastAsia="ru-RU"/>
        </w:rPr>
        <w:t>пациента</w:t>
      </w:r>
      <w:r w:rsidRPr="009E6200">
        <w:rPr>
          <w:lang w:val="ru-RU" w:eastAsia="ru-RU"/>
        </w:rPr>
        <w:t xml:space="preserve">. </w:t>
      </w:r>
    </w:p>
    <w:p w14:paraId="0A70509E" w14:textId="77777777" w:rsidR="00BB6320" w:rsidRDefault="00BB6320" w:rsidP="007B46F5">
      <w:pPr>
        <w:jc w:val="both"/>
        <w:rPr>
          <w:b/>
          <w:bCs/>
          <w:i/>
          <w:iCs/>
          <w:lang w:eastAsia="ru-RU"/>
        </w:rPr>
      </w:pPr>
    </w:p>
    <w:p w14:paraId="560F1A48" w14:textId="4440F127" w:rsidR="00064C5A" w:rsidRPr="009E6200" w:rsidRDefault="00064C5A" w:rsidP="007B46F5">
      <w:pPr>
        <w:jc w:val="both"/>
        <w:rPr>
          <w:b/>
          <w:bCs/>
          <w:i/>
          <w:iCs/>
          <w:lang w:eastAsia="ru-RU"/>
        </w:rPr>
      </w:pPr>
      <w:r w:rsidRPr="009E6200">
        <w:rPr>
          <w:b/>
          <w:bCs/>
          <w:i/>
          <w:iCs/>
          <w:lang w:eastAsia="ru-RU"/>
        </w:rPr>
        <w:t>Маркировка криопробирок</w:t>
      </w:r>
    </w:p>
    <w:p w14:paraId="1D3EECA6" w14:textId="77777777" w:rsidR="00BB6320" w:rsidRDefault="00BB6320" w:rsidP="007B46F5">
      <w:pPr>
        <w:pStyle w:val="ListParagraph"/>
        <w:spacing w:line="240" w:lineRule="auto"/>
        <w:rPr>
          <w:b/>
          <w:lang w:val="ru-RU" w:eastAsia="ru-RU"/>
        </w:rPr>
      </w:pPr>
    </w:p>
    <w:p w14:paraId="1C7031F2" w14:textId="51C5684B" w:rsidR="00064C5A" w:rsidRPr="009E6200" w:rsidRDefault="00064C5A" w:rsidP="007B46F5">
      <w:pPr>
        <w:pStyle w:val="ListParagraph"/>
        <w:spacing w:line="240" w:lineRule="auto"/>
        <w:rPr>
          <w:b/>
          <w:lang w:val="ru-RU" w:eastAsia="ru-RU"/>
        </w:rPr>
      </w:pPr>
      <w:r w:rsidRPr="009E6200">
        <w:rPr>
          <w:b/>
          <w:lang w:val="ru-RU" w:eastAsia="ru-RU"/>
        </w:rPr>
        <w:t>Требования к маркировке криопробирок. Этикетка на криопробирке обязательно должна содержать:</w:t>
      </w:r>
    </w:p>
    <w:p w14:paraId="1738D913" w14:textId="77777777" w:rsidR="00064C5A" w:rsidRPr="009E6200" w:rsidRDefault="00064C5A" w:rsidP="007B46F5">
      <w:pPr>
        <w:pStyle w:val="ListParagraph"/>
        <w:numPr>
          <w:ilvl w:val="0"/>
          <w:numId w:val="31"/>
        </w:numPr>
        <w:spacing w:line="240" w:lineRule="auto"/>
        <w:rPr>
          <w:lang w:val="ru-RU" w:eastAsia="ru-RU"/>
        </w:rPr>
      </w:pPr>
      <w:r w:rsidRPr="009E6200">
        <w:rPr>
          <w:lang w:val="ru-RU" w:eastAsia="ru-RU"/>
        </w:rPr>
        <w:t>Идентификационную информацию об исследовании: № протокола (код) исследования.</w:t>
      </w:r>
    </w:p>
    <w:p w14:paraId="7AEC5E4E" w14:textId="77777777" w:rsidR="00064C5A" w:rsidRPr="009E6200" w:rsidRDefault="00064C5A" w:rsidP="007B46F5">
      <w:pPr>
        <w:pStyle w:val="ListParagraph"/>
        <w:numPr>
          <w:ilvl w:val="0"/>
          <w:numId w:val="31"/>
        </w:numPr>
        <w:spacing w:line="240" w:lineRule="auto"/>
        <w:rPr>
          <w:lang w:val="ru-RU" w:eastAsia="ru-RU"/>
        </w:rPr>
      </w:pPr>
      <w:r w:rsidRPr="009E6200">
        <w:rPr>
          <w:lang w:val="ru-RU" w:eastAsia="ru-RU"/>
        </w:rPr>
        <w:t xml:space="preserve">Рандомизационный номер </w:t>
      </w:r>
      <w:r w:rsidR="00901470" w:rsidRPr="009E6200">
        <w:rPr>
          <w:lang w:val="ru-RU" w:eastAsia="ru-RU"/>
        </w:rPr>
        <w:t>пациента</w:t>
      </w:r>
      <w:r w:rsidRPr="009E6200">
        <w:rPr>
          <w:lang w:val="ru-RU" w:eastAsia="ru-RU"/>
        </w:rPr>
        <w:t>, присвоенный ему в ходе исследования, согласно протоколу.</w:t>
      </w:r>
    </w:p>
    <w:p w14:paraId="58EABD36" w14:textId="77777777" w:rsidR="00064C5A" w:rsidRPr="009E6200" w:rsidRDefault="00064C5A" w:rsidP="007B46F5">
      <w:pPr>
        <w:pStyle w:val="ListParagraph"/>
        <w:numPr>
          <w:ilvl w:val="0"/>
          <w:numId w:val="31"/>
        </w:numPr>
        <w:spacing w:line="240" w:lineRule="auto"/>
        <w:rPr>
          <w:lang w:val="ru-RU" w:eastAsia="ru-RU"/>
        </w:rPr>
      </w:pPr>
      <w:r w:rsidRPr="009E6200">
        <w:rPr>
          <w:lang w:val="ru-RU" w:eastAsia="ru-RU"/>
        </w:rPr>
        <w:t>Номер аликвоты (1, 2, 3 или 4)</w:t>
      </w:r>
    </w:p>
    <w:p w14:paraId="4069A998" w14:textId="77777777" w:rsidR="00064C5A" w:rsidRPr="009E6200" w:rsidRDefault="00064C5A" w:rsidP="007B46F5">
      <w:pPr>
        <w:pStyle w:val="ListParagraph"/>
        <w:numPr>
          <w:ilvl w:val="0"/>
          <w:numId w:val="31"/>
        </w:numPr>
        <w:spacing w:line="240" w:lineRule="auto"/>
        <w:rPr>
          <w:lang w:val="ru-RU" w:eastAsia="ru-RU"/>
        </w:rPr>
      </w:pPr>
      <w:r w:rsidRPr="009E6200">
        <w:rPr>
          <w:lang w:val="ru-RU" w:eastAsia="ru-RU"/>
        </w:rPr>
        <w:t>Временная точка</w:t>
      </w:r>
    </w:p>
    <w:p w14:paraId="52D477FD" w14:textId="77777777" w:rsidR="00BB6320" w:rsidRDefault="00BB6320" w:rsidP="007B46F5">
      <w:pPr>
        <w:pStyle w:val="ListParagraph"/>
        <w:spacing w:line="240" w:lineRule="auto"/>
        <w:rPr>
          <w:b/>
          <w:lang w:eastAsia="ru-RU"/>
        </w:rPr>
      </w:pPr>
    </w:p>
    <w:p w14:paraId="309BF20E" w14:textId="4E489DA4" w:rsidR="00064C5A" w:rsidRPr="009E6200" w:rsidRDefault="00064C5A" w:rsidP="007B46F5">
      <w:pPr>
        <w:pStyle w:val="ListParagraph"/>
        <w:spacing w:line="240" w:lineRule="auto"/>
        <w:rPr>
          <w:b/>
          <w:lang w:eastAsia="ru-RU"/>
        </w:rPr>
      </w:pPr>
      <w:r w:rsidRPr="009E6200">
        <w:rPr>
          <w:b/>
          <w:lang w:eastAsia="ru-RU"/>
        </w:rPr>
        <w:t>Маркировка не должна содержать:</w:t>
      </w:r>
    </w:p>
    <w:p w14:paraId="69A1C1A6" w14:textId="77777777" w:rsidR="00064C5A" w:rsidRPr="009E6200" w:rsidRDefault="00064C5A" w:rsidP="007B46F5">
      <w:pPr>
        <w:pStyle w:val="ListParagraph"/>
        <w:numPr>
          <w:ilvl w:val="0"/>
          <w:numId w:val="31"/>
        </w:numPr>
        <w:spacing w:line="240" w:lineRule="auto"/>
        <w:rPr>
          <w:lang w:val="ru-RU" w:eastAsia="ru-RU"/>
        </w:rPr>
      </w:pPr>
      <w:r w:rsidRPr="009E6200">
        <w:rPr>
          <w:lang w:val="ru-RU" w:eastAsia="ru-RU"/>
        </w:rPr>
        <w:t xml:space="preserve">Обозначения </w:t>
      </w:r>
      <w:r w:rsidR="00901470" w:rsidRPr="009E6200">
        <w:rPr>
          <w:lang w:val="ru-RU" w:eastAsia="ru-RU"/>
        </w:rPr>
        <w:t xml:space="preserve">исследуемого препарата </w:t>
      </w:r>
      <w:r w:rsidRPr="009E6200">
        <w:rPr>
          <w:lang w:val="ru-RU" w:eastAsia="ru-RU"/>
        </w:rPr>
        <w:t xml:space="preserve">и </w:t>
      </w:r>
      <w:r w:rsidR="00901470" w:rsidRPr="009E6200">
        <w:rPr>
          <w:lang w:val="ru-RU" w:eastAsia="ru-RU"/>
        </w:rPr>
        <w:t>препарата сравнения</w:t>
      </w:r>
      <w:r w:rsidRPr="009E6200">
        <w:rPr>
          <w:lang w:val="ru-RU" w:eastAsia="ru-RU"/>
        </w:rPr>
        <w:t>.</w:t>
      </w:r>
    </w:p>
    <w:p w14:paraId="7D8EF0D7" w14:textId="5F520F53" w:rsidR="00064C5A" w:rsidRPr="009E6200" w:rsidRDefault="00064C5A" w:rsidP="007B46F5">
      <w:pPr>
        <w:pStyle w:val="ListParagraph"/>
        <w:numPr>
          <w:ilvl w:val="0"/>
          <w:numId w:val="31"/>
        </w:numPr>
        <w:spacing w:line="240" w:lineRule="auto"/>
        <w:rPr>
          <w:lang w:val="ru-RU" w:eastAsia="ru-RU"/>
        </w:rPr>
      </w:pPr>
      <w:r w:rsidRPr="009E6200">
        <w:rPr>
          <w:lang w:val="ru-RU" w:eastAsia="ru-RU"/>
        </w:rPr>
        <w:t xml:space="preserve">Любых личных данных </w:t>
      </w:r>
      <w:r w:rsidR="00901470" w:rsidRPr="009E6200">
        <w:rPr>
          <w:lang w:val="ru-RU" w:eastAsia="ru-RU"/>
        </w:rPr>
        <w:t>пациента</w:t>
      </w:r>
      <w:r w:rsidRPr="009E6200">
        <w:rPr>
          <w:lang w:val="ru-RU" w:eastAsia="ru-RU"/>
        </w:rPr>
        <w:t xml:space="preserve">, в </w:t>
      </w:r>
      <w:r w:rsidR="000460F3" w:rsidRPr="009E6200">
        <w:rPr>
          <w:lang w:val="ru-RU" w:eastAsia="ru-RU"/>
        </w:rPr>
        <w:t>том числе</w:t>
      </w:r>
      <w:r w:rsidRPr="009E6200">
        <w:rPr>
          <w:lang w:val="ru-RU" w:eastAsia="ru-RU"/>
        </w:rPr>
        <w:t xml:space="preserve"> в закодированном виде</w:t>
      </w:r>
      <w:r w:rsidR="003A3050" w:rsidRPr="009E6200">
        <w:rPr>
          <w:lang w:val="ru-RU" w:eastAsia="ru-RU"/>
        </w:rPr>
        <w:t xml:space="preserve"> (допустимо указание инициалов пациента)</w:t>
      </w:r>
      <w:r w:rsidRPr="009E6200">
        <w:rPr>
          <w:lang w:val="ru-RU" w:eastAsia="ru-RU"/>
        </w:rPr>
        <w:t>.</w:t>
      </w:r>
    </w:p>
    <w:p w14:paraId="5AA22FC1" w14:textId="77777777" w:rsidR="00BB6320" w:rsidRPr="0024542E" w:rsidRDefault="00BB6320" w:rsidP="007B46F5">
      <w:pPr>
        <w:pStyle w:val="ListParagraph"/>
        <w:spacing w:line="240" w:lineRule="auto"/>
        <w:rPr>
          <w:b/>
          <w:lang w:val="ru-RU" w:eastAsia="ru-RU"/>
        </w:rPr>
      </w:pPr>
    </w:p>
    <w:p w14:paraId="6FBA6BC0" w14:textId="1FC81A35" w:rsidR="00064C5A" w:rsidRPr="009E6200" w:rsidRDefault="00064C5A" w:rsidP="007B46F5">
      <w:pPr>
        <w:pStyle w:val="ListParagraph"/>
        <w:spacing w:line="240" w:lineRule="auto"/>
        <w:rPr>
          <w:b/>
          <w:lang w:eastAsia="ru-RU"/>
        </w:rPr>
      </w:pPr>
      <w:r w:rsidRPr="009E6200">
        <w:rPr>
          <w:b/>
          <w:lang w:eastAsia="ru-RU"/>
        </w:rPr>
        <w:t>Нанесение маркировки:</w:t>
      </w:r>
    </w:p>
    <w:p w14:paraId="5DC4AA7F" w14:textId="77777777" w:rsidR="00064C5A" w:rsidRPr="009E6200" w:rsidRDefault="00064C5A" w:rsidP="007B46F5">
      <w:pPr>
        <w:pStyle w:val="ListParagraph"/>
        <w:numPr>
          <w:ilvl w:val="0"/>
          <w:numId w:val="31"/>
        </w:numPr>
        <w:spacing w:line="240" w:lineRule="auto"/>
        <w:rPr>
          <w:lang w:val="ru-RU" w:eastAsia="ru-RU"/>
        </w:rPr>
      </w:pPr>
      <w:r w:rsidRPr="009E6200">
        <w:rPr>
          <w:lang w:val="ru-RU" w:eastAsia="ru-RU"/>
        </w:rPr>
        <w:t>Надписи наносятся на самоклеящуюся бумагу с помощью принтера. Этикетки наклеивают на заранее подготовленные пустые криопробирки. Данный способ нанесения обеспечивает читаемость информации на этикетке, минимизирует риски дублирования этикеток, предохраняет надпись от стирания или иного повреждения при заморозке, разморозке и транспортировке биообразцов.</w:t>
      </w:r>
    </w:p>
    <w:p w14:paraId="5CCDACD1" w14:textId="50177775" w:rsidR="00064C5A" w:rsidRDefault="00064C5A" w:rsidP="007B46F5">
      <w:pPr>
        <w:pStyle w:val="ListParagraph"/>
        <w:numPr>
          <w:ilvl w:val="0"/>
          <w:numId w:val="31"/>
        </w:numPr>
        <w:spacing w:line="240" w:lineRule="auto"/>
        <w:rPr>
          <w:lang w:val="ru-RU" w:eastAsia="ru-RU"/>
        </w:rPr>
      </w:pPr>
      <w:r w:rsidRPr="009E6200">
        <w:rPr>
          <w:lang w:val="ru-RU" w:eastAsia="ru-RU"/>
        </w:rPr>
        <w:t>Недопустимо наносить маркировку непосредственно на пробирки маркером или фломастером.</w:t>
      </w:r>
    </w:p>
    <w:p w14:paraId="771686CC" w14:textId="2950F8AF" w:rsidR="00BB6320" w:rsidRPr="009E6200" w:rsidRDefault="00BB6320" w:rsidP="007B46F5">
      <w:pPr>
        <w:pStyle w:val="ListParagraph"/>
        <w:spacing w:line="240" w:lineRule="auto"/>
        <w:ind w:left="720"/>
        <w:rPr>
          <w:lang w:val="ru-RU" w:eastAsia="ru-RU"/>
        </w:rPr>
      </w:pPr>
    </w:p>
    <w:p w14:paraId="3287B769" w14:textId="26531D21" w:rsidR="00A16F08" w:rsidRDefault="00A16F08" w:rsidP="007B46F5">
      <w:pPr>
        <w:pStyle w:val="Heading5"/>
        <w:spacing w:before="0" w:after="0"/>
        <w:jc w:val="both"/>
        <w:rPr>
          <w:color w:val="auto"/>
          <w:lang w:eastAsia="ru-RU"/>
        </w:rPr>
      </w:pPr>
      <w:bookmarkStart w:id="137" w:name="_Toc11065072"/>
      <w:bookmarkStart w:id="138" w:name="_Toc120865253"/>
      <w:r w:rsidRPr="009E6200">
        <w:rPr>
          <w:color w:val="auto"/>
          <w:lang w:eastAsia="ru-RU"/>
        </w:rPr>
        <w:t>Общий анализ мочи</w:t>
      </w:r>
      <w:bookmarkEnd w:id="137"/>
      <w:bookmarkEnd w:id="138"/>
    </w:p>
    <w:p w14:paraId="5D91482A" w14:textId="77777777" w:rsidR="00BB6320" w:rsidRPr="00BB6320" w:rsidRDefault="00BB6320" w:rsidP="007B46F5">
      <w:pPr>
        <w:pStyle w:val="SDText"/>
        <w:rPr>
          <w:lang w:eastAsia="ru-RU"/>
        </w:rPr>
      </w:pPr>
    </w:p>
    <w:p w14:paraId="1B940958" w14:textId="3D3E1CE4" w:rsidR="00A16F08" w:rsidRPr="009E6200" w:rsidRDefault="006C281D" w:rsidP="007B46F5">
      <w:pPr>
        <w:ind w:firstLine="709"/>
        <w:jc w:val="both"/>
        <w:rPr>
          <w:lang w:eastAsia="ru-RU"/>
        </w:rPr>
      </w:pPr>
      <w:r w:rsidRPr="000424B7">
        <w:rPr>
          <w:rFonts w:cs="Times New Roman"/>
          <w:szCs w:val="24"/>
        </w:rPr>
        <w:t>Для общего анализа мочи собирается утренняя средняя порция после адекватной гигиены промежности. Образцы мочи для общего анализа отбираются на скрининге (Визит 0), а также на всех визитах с 1-го (если с анализа на визите скрининга прошло более 7 дней) и на последующих визитах (накануне, но не ранее, чем за 2 дня до визита, или в день визита пациента в центр) по 18-ый и при проведении Внепланового визита</w:t>
      </w:r>
      <w:r w:rsidR="006A7E02" w:rsidRPr="009E6200">
        <w:rPr>
          <w:lang w:eastAsia="ru-RU"/>
        </w:rPr>
        <w:t>.</w:t>
      </w:r>
    </w:p>
    <w:p w14:paraId="1937326A" w14:textId="587EFA43" w:rsidR="00A16F08" w:rsidRDefault="00A16F08" w:rsidP="007B46F5">
      <w:pPr>
        <w:ind w:firstLine="709"/>
        <w:jc w:val="both"/>
        <w:rPr>
          <w:lang w:eastAsia="ru-RU"/>
        </w:rPr>
      </w:pPr>
      <w:r w:rsidRPr="009E6200">
        <w:rPr>
          <w:lang w:eastAsia="ru-RU"/>
        </w:rPr>
        <w:t>Общий анализ мочи (цвет, pH, относительная плотность, прозрачность, концентрация белка и глюкозы, лейкоциты, эритроциты, эпителиоциты, цилиндры, слизь, бактерии) будет проводиться в лаборатории Исследовательского центра</w:t>
      </w:r>
    </w:p>
    <w:p w14:paraId="1A53B62E" w14:textId="77777777" w:rsidR="00BB6320" w:rsidRPr="009E6200" w:rsidRDefault="00BB6320" w:rsidP="007B46F5">
      <w:pPr>
        <w:ind w:firstLine="709"/>
        <w:jc w:val="both"/>
        <w:rPr>
          <w:lang w:eastAsia="ru-RU"/>
        </w:rPr>
      </w:pPr>
    </w:p>
    <w:p w14:paraId="7595BDE2" w14:textId="77777777" w:rsidR="006A7E02" w:rsidRPr="009E6200" w:rsidRDefault="006A7E02" w:rsidP="007B46F5">
      <w:pPr>
        <w:pStyle w:val="Heading5"/>
        <w:spacing w:before="0" w:after="0"/>
        <w:jc w:val="both"/>
        <w:rPr>
          <w:color w:val="auto"/>
          <w:lang w:eastAsia="ru-RU"/>
        </w:rPr>
      </w:pPr>
      <w:bookmarkStart w:id="139" w:name="_Toc11065073"/>
      <w:bookmarkStart w:id="140" w:name="_Toc120865254"/>
      <w:r w:rsidRPr="009E6200">
        <w:rPr>
          <w:color w:val="auto"/>
          <w:lang w:eastAsia="ru-RU"/>
        </w:rPr>
        <w:t>Тест на беременность</w:t>
      </w:r>
      <w:bookmarkEnd w:id="139"/>
      <w:bookmarkEnd w:id="140"/>
    </w:p>
    <w:p w14:paraId="47F2A7CF" w14:textId="77777777" w:rsidR="00BB6320" w:rsidRDefault="00BB6320" w:rsidP="007B46F5">
      <w:pPr>
        <w:jc w:val="both"/>
        <w:rPr>
          <w:lang w:eastAsia="ru-RU"/>
        </w:rPr>
      </w:pPr>
    </w:p>
    <w:p w14:paraId="0CA27BD8" w14:textId="7DDED99E" w:rsidR="006A7E02" w:rsidRDefault="006A7E02" w:rsidP="007B46F5">
      <w:pPr>
        <w:ind w:firstLine="709"/>
        <w:jc w:val="both"/>
        <w:rPr>
          <w:lang w:eastAsia="ru-RU"/>
        </w:rPr>
      </w:pPr>
      <w:r w:rsidRPr="009E6200">
        <w:rPr>
          <w:lang w:eastAsia="ru-RU"/>
        </w:rPr>
        <w:t>Тест мочи на беременность с помощью тест-полоски проводят у всех женщин с сохраненным репродуктивным потенциалом на скрининге (Визит 0), а также на визитах 1–18 и</w:t>
      </w:r>
      <w:r w:rsidR="00BB3BE4" w:rsidRPr="009E6200">
        <w:rPr>
          <w:lang w:eastAsia="ru-RU"/>
        </w:rPr>
        <w:t xml:space="preserve">, по решению врача-исследователя, при </w:t>
      </w:r>
      <w:r w:rsidRPr="009E6200">
        <w:rPr>
          <w:lang w:eastAsia="ru-RU"/>
        </w:rPr>
        <w:t>проведении Внепланового визита.</w:t>
      </w:r>
    </w:p>
    <w:p w14:paraId="694F90FC" w14:textId="77777777" w:rsidR="00BB6320" w:rsidRPr="009E6200" w:rsidRDefault="00BB6320" w:rsidP="007B46F5">
      <w:pPr>
        <w:ind w:firstLine="709"/>
        <w:jc w:val="both"/>
        <w:rPr>
          <w:lang w:eastAsia="ru-RU"/>
        </w:rPr>
      </w:pPr>
    </w:p>
    <w:p w14:paraId="5075C0F2" w14:textId="138D54A1" w:rsidR="008B27B8" w:rsidRDefault="0022177C" w:rsidP="007B46F5">
      <w:pPr>
        <w:pStyle w:val="Heading4"/>
        <w:spacing w:before="0" w:after="0"/>
        <w:jc w:val="both"/>
        <w:rPr>
          <w:color w:val="auto"/>
        </w:rPr>
      </w:pPr>
      <w:bookmarkStart w:id="141" w:name="_Toc120865255"/>
      <w:r w:rsidRPr="009E6200">
        <w:rPr>
          <w:color w:val="auto"/>
        </w:rPr>
        <w:t>Инструментальные исследования</w:t>
      </w:r>
      <w:bookmarkEnd w:id="141"/>
    </w:p>
    <w:p w14:paraId="2FF45B30" w14:textId="77777777" w:rsidR="00BB6320" w:rsidRPr="00BB6320" w:rsidRDefault="00BB6320" w:rsidP="007B46F5">
      <w:pPr>
        <w:rPr>
          <w:lang w:eastAsia="ru-RU"/>
        </w:rPr>
      </w:pPr>
    </w:p>
    <w:p w14:paraId="5077D596" w14:textId="77777777" w:rsidR="00E26006" w:rsidRPr="009E6200" w:rsidRDefault="00E26006" w:rsidP="007B46F5">
      <w:pPr>
        <w:pStyle w:val="Heading5"/>
        <w:spacing w:before="0" w:after="0"/>
        <w:jc w:val="both"/>
        <w:rPr>
          <w:color w:val="auto"/>
          <w:lang w:eastAsia="ru-RU"/>
        </w:rPr>
      </w:pPr>
      <w:bookmarkStart w:id="142" w:name="_Toc120865256"/>
      <w:r w:rsidRPr="009E6200">
        <w:rPr>
          <w:color w:val="auto"/>
          <w:lang w:eastAsia="ru-RU"/>
        </w:rPr>
        <w:t>ЭКГ</w:t>
      </w:r>
      <w:bookmarkEnd w:id="142"/>
    </w:p>
    <w:p w14:paraId="0F15239B" w14:textId="77777777" w:rsidR="00BB6320" w:rsidRDefault="00BB6320" w:rsidP="007B46F5">
      <w:pPr>
        <w:pStyle w:val="SDText"/>
        <w:jc w:val="both"/>
      </w:pPr>
    </w:p>
    <w:p w14:paraId="2049B4E2" w14:textId="014354B4" w:rsidR="00E26006" w:rsidRPr="009E6200" w:rsidRDefault="00E26006" w:rsidP="007B46F5">
      <w:pPr>
        <w:pStyle w:val="SDText"/>
        <w:ind w:firstLine="709"/>
        <w:jc w:val="both"/>
      </w:pPr>
      <w:r w:rsidRPr="009E6200">
        <w:t xml:space="preserve">ЭКГ будет проводиться на Визитах </w:t>
      </w:r>
      <w:r w:rsidR="00687B84">
        <w:t xml:space="preserve">1-9, </w:t>
      </w:r>
      <w:r w:rsidRPr="009E6200">
        <w:t>18</w:t>
      </w:r>
      <w:r w:rsidR="00BB3BE4" w:rsidRPr="009E6200">
        <w:t>,</w:t>
      </w:r>
      <w:r w:rsidR="00687B84">
        <w:t xml:space="preserve"> визите преждевременного завершения,</w:t>
      </w:r>
      <w:r w:rsidR="00BB3BE4" w:rsidRPr="009E6200">
        <w:t xml:space="preserve"> а также </w:t>
      </w:r>
      <w:r w:rsidR="00632E24" w:rsidRPr="009E6200">
        <w:t>по решению врача-исследователя на внеплановом визите</w:t>
      </w:r>
      <w:r w:rsidRPr="009E6200">
        <w:t xml:space="preserve">. ЭКГ включает регистрацию электрокардиограммы в 3 стандартных и 3 усиленных отведениях от конечностей, а также в 6 грудных отведениях будет выполнена до отбора образцов крови в положении лежа после 5 мин отдыха в покое, до приема пищи. Запись ритма в соответствующих отведениях должна содержать поддающиеся оценке данные как минимум трех сердечных циклов. </w:t>
      </w:r>
    </w:p>
    <w:p w14:paraId="46AD1054" w14:textId="77777777" w:rsidR="00E26006" w:rsidRPr="009E6200" w:rsidRDefault="00E26006" w:rsidP="007B46F5">
      <w:pPr>
        <w:pStyle w:val="SDText"/>
        <w:ind w:firstLine="709"/>
        <w:jc w:val="both"/>
      </w:pPr>
      <w:r w:rsidRPr="009E6200">
        <w:t>Результаты ЭКГ на термобумаге (или других не стойких носителях) должны быть скопированы, копия должна быть завизирована Исследователем подписью и датой.</w:t>
      </w:r>
    </w:p>
    <w:p w14:paraId="78583244" w14:textId="77777777" w:rsidR="004B07AD" w:rsidRPr="009E6200" w:rsidRDefault="004B07AD" w:rsidP="007B46F5">
      <w:pPr>
        <w:pStyle w:val="SDText"/>
        <w:jc w:val="both"/>
      </w:pPr>
      <w:r w:rsidRPr="009E6200">
        <w:t xml:space="preserve">В ходе исследования будут оцениваться следующие параметры ЭКГ: </w:t>
      </w:r>
      <w:r w:rsidR="002F2BA9" w:rsidRPr="009E6200">
        <w:t xml:space="preserve">интервал </w:t>
      </w:r>
      <w:r w:rsidR="002F2BA9" w:rsidRPr="009E6200">
        <w:rPr>
          <w:lang w:val="en-US"/>
        </w:rPr>
        <w:t>RR</w:t>
      </w:r>
      <w:r w:rsidR="002F2BA9" w:rsidRPr="009E6200">
        <w:t xml:space="preserve"> (и производный показатель частоты сердечных сокращений), интервал </w:t>
      </w:r>
      <w:r w:rsidR="002F2BA9" w:rsidRPr="009E6200">
        <w:rPr>
          <w:lang w:val="en-US"/>
        </w:rPr>
        <w:t>PQ</w:t>
      </w:r>
      <w:r w:rsidR="002F2BA9" w:rsidRPr="009E6200">
        <w:t xml:space="preserve">, комплекс </w:t>
      </w:r>
      <w:r w:rsidR="002F2BA9" w:rsidRPr="009E6200">
        <w:rPr>
          <w:lang w:val="en-US"/>
        </w:rPr>
        <w:t>QRS</w:t>
      </w:r>
      <w:r w:rsidR="002F2BA9" w:rsidRPr="009E6200">
        <w:t xml:space="preserve">, </w:t>
      </w:r>
      <w:r w:rsidR="00366479" w:rsidRPr="009E6200">
        <w:t xml:space="preserve">интервал </w:t>
      </w:r>
      <w:r w:rsidR="00366479" w:rsidRPr="009E6200">
        <w:rPr>
          <w:lang w:val="en-US"/>
        </w:rPr>
        <w:t>QT</w:t>
      </w:r>
      <w:r w:rsidR="00366479" w:rsidRPr="009E6200">
        <w:t xml:space="preserve">, скорректированный по частоте сердечных сокращений интервал </w:t>
      </w:r>
      <w:r w:rsidR="00366479" w:rsidRPr="009E6200">
        <w:rPr>
          <w:lang w:val="en-US"/>
        </w:rPr>
        <w:t>QTc</w:t>
      </w:r>
      <w:r w:rsidR="00366479" w:rsidRPr="009E6200">
        <w:t xml:space="preserve"> (коррекция по методу Баззетта).</w:t>
      </w:r>
    </w:p>
    <w:p w14:paraId="6A8D4D0B" w14:textId="0A1F425E" w:rsidR="00E26006" w:rsidRDefault="00E26006" w:rsidP="007B46F5">
      <w:pPr>
        <w:pStyle w:val="SDText"/>
        <w:ind w:firstLine="709"/>
        <w:jc w:val="both"/>
      </w:pPr>
      <w:r w:rsidRPr="009E6200">
        <w:t>Интерпретацию ЭКГ будет проводить врач-кардиолог, терапевт, или врач функциональной диагностики. При наличии изменений на ЭКГ врач-исследователь должен оценить их клиническую значимость. При выявлении клинически значимых отклонений при скрининге врач-исследователь должен оценить возможность включения пациента в данное исследование, в случае внепланового визита – оценить на соответствие критериям исключения.</w:t>
      </w:r>
    </w:p>
    <w:p w14:paraId="6C41D4DB" w14:textId="77777777" w:rsidR="00BB6320" w:rsidRPr="009E6200" w:rsidRDefault="00BB6320" w:rsidP="007B46F5">
      <w:pPr>
        <w:pStyle w:val="SDText"/>
        <w:ind w:firstLine="709"/>
        <w:jc w:val="both"/>
      </w:pPr>
    </w:p>
    <w:p w14:paraId="49D18007" w14:textId="77777777" w:rsidR="0022177C" w:rsidRPr="009E6200" w:rsidRDefault="0022177C" w:rsidP="007B46F5">
      <w:pPr>
        <w:pStyle w:val="Heading5"/>
        <w:spacing w:before="0" w:after="0"/>
        <w:jc w:val="both"/>
        <w:rPr>
          <w:color w:val="auto"/>
          <w:lang w:eastAsia="ru-RU"/>
        </w:rPr>
      </w:pPr>
      <w:bookmarkStart w:id="143" w:name="_Toc120865257"/>
      <w:r w:rsidRPr="009E6200">
        <w:rPr>
          <w:color w:val="auto"/>
          <w:lang w:eastAsia="ru-RU"/>
        </w:rPr>
        <w:t>ЭГДС</w:t>
      </w:r>
      <w:bookmarkEnd w:id="143"/>
    </w:p>
    <w:p w14:paraId="0F8D1336" w14:textId="77777777" w:rsidR="00BB6320" w:rsidRDefault="00BB6320" w:rsidP="007B46F5">
      <w:pPr>
        <w:pStyle w:val="SDText"/>
        <w:jc w:val="both"/>
      </w:pPr>
    </w:p>
    <w:p w14:paraId="05296F01" w14:textId="71561C6A" w:rsidR="00366479" w:rsidRPr="009E6200" w:rsidRDefault="00366479" w:rsidP="007B46F5">
      <w:pPr>
        <w:pStyle w:val="SDText"/>
        <w:ind w:firstLine="709"/>
        <w:jc w:val="both"/>
      </w:pPr>
      <w:r w:rsidRPr="009E6200">
        <w:t xml:space="preserve">ЭГДС </w:t>
      </w:r>
      <w:r w:rsidR="00C710E7" w:rsidRPr="009E6200">
        <w:t>выполняется только у пациентов с анамнезом эрозивно-язвенных поражений ЖКТ или наличия значимых жалоб/симптомов, предполагающих такое поражение. Возможен учет результатов исследований, выполненных в течение 28 дней до визита скрининга.</w:t>
      </w:r>
    </w:p>
    <w:p w14:paraId="21942067" w14:textId="77777777" w:rsidR="001B6DB6" w:rsidRPr="009E6200" w:rsidRDefault="0022177C" w:rsidP="007B46F5">
      <w:pPr>
        <w:pStyle w:val="SDText"/>
        <w:ind w:firstLine="709"/>
        <w:jc w:val="both"/>
      </w:pPr>
      <w:r w:rsidRPr="009E6200">
        <w:t xml:space="preserve">Пациента требуется заранее предупредить о необходимости подготовки к проведению исследования. Исследование проводится строго натощак! Последний прием пищи – накануне вечером не позднее 19:00. Прием лекарственных препаратов </w:t>
      </w:r>
      <w:r w:rsidR="001B6DB6" w:rsidRPr="009E6200">
        <w:t>может проводиться не менее, чем за 3 ч до проведения исследования.</w:t>
      </w:r>
      <w:r w:rsidRPr="009E6200">
        <w:t xml:space="preserve"> За 5 дней </w:t>
      </w:r>
      <w:r w:rsidR="001B6DB6" w:rsidRPr="009E6200">
        <w:t>не рекомендуется прием железо- или висмут-содержащих препаратов, активированного угля. При наличии у пациента эпилепсии проведение процедуры возможно только под внутривенной анестезией.</w:t>
      </w:r>
    </w:p>
    <w:p w14:paraId="4AABDB3F" w14:textId="7E42507B" w:rsidR="008722D3" w:rsidRDefault="006B3CDF" w:rsidP="007B46F5">
      <w:pPr>
        <w:pStyle w:val="SDText"/>
        <w:ind w:firstLine="709"/>
        <w:jc w:val="both"/>
      </w:pPr>
      <w:r w:rsidRPr="009E6200">
        <w:t>Процедура выполняется под местной ан</w:t>
      </w:r>
      <w:r w:rsidR="009036F9" w:rsidRPr="009E6200">
        <w:t xml:space="preserve">естезией </w:t>
      </w:r>
      <w:r w:rsidR="002E3EE4" w:rsidRPr="009E6200">
        <w:t xml:space="preserve">ротоглотки </w:t>
      </w:r>
      <w:r w:rsidR="009036F9" w:rsidRPr="009E6200">
        <w:t>по стандартной методике</w:t>
      </w:r>
      <w:r w:rsidRPr="009E6200">
        <w:t xml:space="preserve"> с целью исключения эрозивно-язвенных поражений ЖКТ.</w:t>
      </w:r>
    </w:p>
    <w:p w14:paraId="51168807" w14:textId="77777777" w:rsidR="00BB6320" w:rsidRPr="009E6200" w:rsidRDefault="00BB6320" w:rsidP="007B46F5">
      <w:pPr>
        <w:pStyle w:val="SDText"/>
        <w:ind w:firstLine="709"/>
        <w:jc w:val="both"/>
      </w:pPr>
    </w:p>
    <w:p w14:paraId="3E06D2D5" w14:textId="77777777" w:rsidR="00882182" w:rsidRPr="009E6200" w:rsidRDefault="006B3CDF" w:rsidP="007B46F5">
      <w:pPr>
        <w:pStyle w:val="Heading5"/>
        <w:spacing w:before="0" w:after="0"/>
        <w:jc w:val="both"/>
        <w:rPr>
          <w:color w:val="auto"/>
          <w:lang w:eastAsia="ru-RU"/>
        </w:rPr>
      </w:pPr>
      <w:bookmarkStart w:id="144" w:name="_Toc120865258"/>
      <w:r w:rsidRPr="009E6200">
        <w:rPr>
          <w:color w:val="auto"/>
          <w:lang w:eastAsia="ru-RU"/>
        </w:rPr>
        <w:t>Колоноскопия</w:t>
      </w:r>
      <w:bookmarkEnd w:id="144"/>
    </w:p>
    <w:p w14:paraId="4C2420B9" w14:textId="77777777" w:rsidR="00BB6320" w:rsidRDefault="00BB6320" w:rsidP="007B46F5">
      <w:pPr>
        <w:pStyle w:val="SDText"/>
        <w:jc w:val="both"/>
      </w:pPr>
    </w:p>
    <w:p w14:paraId="26D31224" w14:textId="09E5B381" w:rsidR="00C710E7" w:rsidRPr="009E6200" w:rsidRDefault="00C710E7" w:rsidP="007B46F5">
      <w:pPr>
        <w:pStyle w:val="SDText"/>
        <w:ind w:firstLine="709"/>
        <w:jc w:val="both"/>
      </w:pPr>
      <w:r w:rsidRPr="009E6200">
        <w:t>Колоноскопия выполняется только у пациентов с анамнезом эрозивно-язвенных поражений ЖКТ или наличия значимых жалоб/симптомов, предполагающих такое поражение. Возможен учет результатов исследований, выполненных в течение 28 дней до визита скрининга.</w:t>
      </w:r>
    </w:p>
    <w:p w14:paraId="0A6BC3FA" w14:textId="77777777" w:rsidR="00BF291F" w:rsidRPr="009E6200" w:rsidRDefault="00BF291F" w:rsidP="007B46F5">
      <w:pPr>
        <w:ind w:firstLine="709"/>
        <w:jc w:val="both"/>
        <w:rPr>
          <w:lang w:eastAsia="ru-RU"/>
        </w:rPr>
      </w:pPr>
      <w:r w:rsidRPr="009E6200">
        <w:t xml:space="preserve">Пациента требуется заранее предупредить о необходимости подготовки к проведению исследования. </w:t>
      </w:r>
      <w:r w:rsidRPr="009E6200">
        <w:rPr>
          <w:lang w:eastAsia="ru-RU"/>
        </w:rPr>
        <w:t xml:space="preserve">За 3 дня до исследования необходимо соблюдение диеты с низким содержанием клетчатки. При этом не разрешается </w:t>
      </w:r>
      <w:r w:rsidR="002E3EE4" w:rsidRPr="009E6200">
        <w:rPr>
          <w:lang w:eastAsia="ru-RU"/>
        </w:rPr>
        <w:t>употреблять</w:t>
      </w:r>
      <w:r w:rsidRPr="009E6200">
        <w:rPr>
          <w:lang w:eastAsia="ru-RU"/>
        </w:rPr>
        <w:t>: сосиски, колбасы, жесткое мясо с хрящами, консервы; овощи, включая картофель, зелень, грибы, морская капуста, морские водоросли; фрукты, включая сухофрукты, ягоды, варенье, желе, джем, мармелад; все хлебобулочные и мучные изделия, крупы, каши, злаковые, бобовые; орехи, семечки, кунжут, мак (в любом виде, в том числе и в сушках, булочках и т.д</w:t>
      </w:r>
      <w:r w:rsidR="002E3EE4" w:rsidRPr="009E6200">
        <w:rPr>
          <w:lang w:eastAsia="ru-RU"/>
        </w:rPr>
        <w:t>.)</w:t>
      </w:r>
      <w:r w:rsidRPr="009E6200">
        <w:rPr>
          <w:lang w:eastAsia="ru-RU"/>
        </w:rPr>
        <w:t>, морепродукты, чипсы, гамбургеры, шоколад. Запрещается прием следующих жидкостей: алкоголь, газированные напитки, кофе, компот, кисель.</w:t>
      </w:r>
    </w:p>
    <w:p w14:paraId="6349F994" w14:textId="77777777" w:rsidR="00BF291F" w:rsidRPr="009E6200" w:rsidRDefault="00BF291F" w:rsidP="007B46F5">
      <w:pPr>
        <w:ind w:firstLine="709"/>
        <w:jc w:val="both"/>
        <w:rPr>
          <w:lang w:eastAsia="ru-RU"/>
        </w:rPr>
      </w:pPr>
      <w:r w:rsidRPr="009E6200">
        <w:rPr>
          <w:lang w:eastAsia="ru-RU"/>
        </w:rPr>
        <w:t>Накануне исследования принимать пищу можно до 13:00, далее разрешено пить прозрачные жидкости в любом количестве. При этом за день до проведения исследования прием твердой пищи рекомендуется полностью исключить. Прекратить прием всех жидкостей следует не позже, чем за 2 ч до исследования.</w:t>
      </w:r>
    </w:p>
    <w:p w14:paraId="27F87F9B" w14:textId="77777777" w:rsidR="00BF291F" w:rsidRPr="009E6200" w:rsidRDefault="00BF291F" w:rsidP="007B46F5">
      <w:pPr>
        <w:ind w:firstLine="709"/>
        <w:jc w:val="both"/>
        <w:rPr>
          <w:lang w:eastAsia="ru-RU"/>
        </w:rPr>
      </w:pPr>
      <w:r w:rsidRPr="009E6200">
        <w:rPr>
          <w:lang w:eastAsia="ru-RU"/>
        </w:rPr>
        <w:t>В качестве препаратов для очищения кишечника рекомендуется использование малообъемных лекарственных препаратов, например, препарат</w:t>
      </w:r>
      <w:r w:rsidR="002E3EE4" w:rsidRPr="009E6200">
        <w:rPr>
          <w:lang w:eastAsia="ru-RU"/>
        </w:rPr>
        <w:t>а</w:t>
      </w:r>
      <w:r w:rsidRPr="009E6200">
        <w:rPr>
          <w:lang w:eastAsia="ru-RU"/>
        </w:rPr>
        <w:t xml:space="preserve"> Мовипреп</w:t>
      </w:r>
      <w:r w:rsidR="00121FA5" w:rsidRPr="009E6200">
        <w:rPr>
          <w:rFonts w:cs="Times New Roman"/>
          <w:vertAlign w:val="superscript"/>
          <w:lang w:eastAsia="ru-RU"/>
        </w:rPr>
        <w:t>®</w:t>
      </w:r>
      <w:r w:rsidRPr="009E6200">
        <w:rPr>
          <w:lang w:eastAsia="ru-RU"/>
        </w:rPr>
        <w:t xml:space="preserve"> (полиэтиленгликоль 3350 + аскорбатный комплекс)</w:t>
      </w:r>
      <w:r w:rsidR="002E3EE4" w:rsidRPr="009E6200">
        <w:rPr>
          <w:lang w:eastAsia="ru-RU"/>
        </w:rPr>
        <w:t xml:space="preserve"> или других одобренных для подготовки к колоноскопии препаратов,</w:t>
      </w:r>
      <w:r w:rsidR="009036F9" w:rsidRPr="009E6200">
        <w:rPr>
          <w:lang w:eastAsia="ru-RU"/>
        </w:rPr>
        <w:t xml:space="preserve"> и симетикон.</w:t>
      </w:r>
      <w:r w:rsidR="002E3EE4" w:rsidRPr="009E6200">
        <w:rPr>
          <w:lang w:eastAsia="ru-RU"/>
        </w:rPr>
        <w:t xml:space="preserve"> Препарат для подготовки к колоноскопии выбирает врач-исследователь. Далее приведена схема с подготовкой препаратом Мовипреп. Другие препараты для подготовки к колоноскопии следует применять в соответствии с инструкцией по медицинскому применению.</w:t>
      </w:r>
    </w:p>
    <w:p w14:paraId="034412D0" w14:textId="77777777" w:rsidR="009036F9" w:rsidRPr="009E6200" w:rsidRDefault="00BF291F" w:rsidP="007B46F5">
      <w:pPr>
        <w:ind w:firstLine="709"/>
        <w:jc w:val="both"/>
        <w:rPr>
          <w:lang w:eastAsia="ru-RU"/>
        </w:rPr>
      </w:pPr>
      <w:r w:rsidRPr="009E6200">
        <w:rPr>
          <w:lang w:eastAsia="ru-RU"/>
        </w:rPr>
        <w:t xml:space="preserve">Если колоноскопия назначена с 8:00 до 14:00, проводится двухэтапная подготовка. Вечером накануне исследования необходимо </w:t>
      </w:r>
      <w:r w:rsidR="009036F9" w:rsidRPr="009E6200">
        <w:rPr>
          <w:lang w:eastAsia="ru-RU"/>
        </w:rPr>
        <w:t>выпить 1</w:t>
      </w:r>
      <w:r w:rsidR="002E3EE4" w:rsidRPr="009E6200">
        <w:rPr>
          <w:lang w:eastAsia="ru-RU"/>
        </w:rPr>
        <w:t xml:space="preserve"> </w:t>
      </w:r>
      <w:r w:rsidRPr="009E6200">
        <w:rPr>
          <w:lang w:eastAsia="ru-RU"/>
        </w:rPr>
        <w:t xml:space="preserve">литр </w:t>
      </w:r>
      <w:r w:rsidR="009036F9" w:rsidRPr="009E6200">
        <w:rPr>
          <w:lang w:eastAsia="ru-RU"/>
        </w:rPr>
        <w:t>препарата Мовипреп</w:t>
      </w:r>
      <w:r w:rsidR="00121FA5" w:rsidRPr="009E6200">
        <w:rPr>
          <w:rFonts w:cs="Times New Roman"/>
          <w:vertAlign w:val="superscript"/>
          <w:lang w:eastAsia="ru-RU"/>
        </w:rPr>
        <w:t>®</w:t>
      </w:r>
      <w:r w:rsidRPr="009E6200">
        <w:rPr>
          <w:lang w:eastAsia="ru-RU"/>
        </w:rPr>
        <w:t xml:space="preserve"> с 18:00 до 19:00 (или с 19:00 до 20:00), после чего выпить еще 500 мл разрешенной жидкости (вода, прозрачный бульон, фруктовый сок без мякоти, компот без ягод, безалкогольные неокрашенные напитки, чай). Утром в день исследования выпить еще 1 литр </w:t>
      </w:r>
      <w:r w:rsidR="009036F9" w:rsidRPr="009E6200">
        <w:rPr>
          <w:lang w:eastAsia="ru-RU"/>
        </w:rPr>
        <w:t>препарата Мовипреп</w:t>
      </w:r>
      <w:r w:rsidR="00121FA5" w:rsidRPr="009E6200">
        <w:rPr>
          <w:rFonts w:cs="Times New Roman"/>
          <w:vertAlign w:val="superscript"/>
          <w:lang w:eastAsia="ru-RU"/>
        </w:rPr>
        <w:t>®</w:t>
      </w:r>
      <w:r w:rsidRPr="009E6200">
        <w:rPr>
          <w:lang w:eastAsia="ru-RU"/>
        </w:rPr>
        <w:t xml:space="preserve"> (с 6:00 до 7:00, если исследование наз</w:t>
      </w:r>
      <w:r w:rsidR="009036F9" w:rsidRPr="009E6200">
        <w:rPr>
          <w:lang w:eastAsia="ru-RU"/>
        </w:rPr>
        <w:t>наче</w:t>
      </w:r>
      <w:r w:rsidRPr="009E6200">
        <w:rPr>
          <w:lang w:eastAsia="ru-RU"/>
        </w:rPr>
        <w:t>но на 10:00 или 11:00), в который необходимо добавит</w:t>
      </w:r>
      <w:r w:rsidR="009036F9" w:rsidRPr="009E6200">
        <w:rPr>
          <w:lang w:eastAsia="ru-RU"/>
        </w:rPr>
        <w:t>ь</w:t>
      </w:r>
      <w:r w:rsidRPr="009E6200">
        <w:rPr>
          <w:lang w:eastAsia="ru-RU"/>
        </w:rPr>
        <w:t xml:space="preserve"> 1/4 флакона </w:t>
      </w:r>
      <w:r w:rsidR="009036F9" w:rsidRPr="009E6200">
        <w:rPr>
          <w:lang w:eastAsia="ru-RU"/>
        </w:rPr>
        <w:t>эмульсии симетикона</w:t>
      </w:r>
      <w:r w:rsidRPr="009E6200">
        <w:rPr>
          <w:lang w:eastAsia="ru-RU"/>
        </w:rPr>
        <w:t>), после чего выпить еще 500 мл разрешенной жидкости (вода, прозрачный бульон, фруктовый сок без мякоти, компот без ягод, безалкогольные неокраше</w:t>
      </w:r>
      <w:r w:rsidR="009036F9" w:rsidRPr="009E6200">
        <w:rPr>
          <w:lang w:eastAsia="ru-RU"/>
        </w:rPr>
        <w:t>нные напитки, чай). Время утрен</w:t>
      </w:r>
      <w:r w:rsidRPr="009E6200">
        <w:rPr>
          <w:lang w:eastAsia="ru-RU"/>
        </w:rPr>
        <w:t xml:space="preserve">него приема препаратов пациента выбрать таким образом, чтобы от момента окончания приема препарата до исследования прошло минимум 2 ч и максимум 4 ч. </w:t>
      </w:r>
    </w:p>
    <w:p w14:paraId="65925D33" w14:textId="77777777" w:rsidR="009036F9" w:rsidRPr="009E6200" w:rsidRDefault="00BF291F" w:rsidP="007B46F5">
      <w:pPr>
        <w:ind w:firstLine="709"/>
        <w:jc w:val="both"/>
        <w:rPr>
          <w:lang w:eastAsia="ru-RU"/>
        </w:rPr>
      </w:pPr>
      <w:r w:rsidRPr="009E6200">
        <w:rPr>
          <w:lang w:eastAsia="ru-RU"/>
        </w:rPr>
        <w:t>Если исследование назначено с 14:00 до 19:00</w:t>
      </w:r>
      <w:r w:rsidR="009036F9" w:rsidRPr="009E6200">
        <w:rPr>
          <w:lang w:eastAsia="ru-RU"/>
        </w:rPr>
        <w:t>, проводится утренняя одно</w:t>
      </w:r>
      <w:r w:rsidRPr="009E6200">
        <w:rPr>
          <w:lang w:eastAsia="ru-RU"/>
        </w:rPr>
        <w:t>этапная подготовка</w:t>
      </w:r>
      <w:r w:rsidR="009036F9" w:rsidRPr="009E6200">
        <w:rPr>
          <w:lang w:eastAsia="ru-RU"/>
        </w:rPr>
        <w:t>: у</w:t>
      </w:r>
      <w:r w:rsidRPr="009E6200">
        <w:rPr>
          <w:lang w:eastAsia="ru-RU"/>
        </w:rPr>
        <w:t xml:space="preserve">тром в день исследования </w:t>
      </w:r>
      <w:r w:rsidR="009036F9" w:rsidRPr="009E6200">
        <w:rPr>
          <w:lang w:eastAsia="ru-RU"/>
        </w:rPr>
        <w:t xml:space="preserve">пациент выпивает </w:t>
      </w:r>
      <w:r w:rsidRPr="009E6200">
        <w:rPr>
          <w:lang w:eastAsia="ru-RU"/>
        </w:rPr>
        <w:t>2 л</w:t>
      </w:r>
      <w:r w:rsidR="009036F9" w:rsidRPr="009E6200">
        <w:rPr>
          <w:lang w:eastAsia="ru-RU"/>
        </w:rPr>
        <w:t xml:space="preserve"> препарата Мовипреп</w:t>
      </w:r>
      <w:r w:rsidR="00121FA5" w:rsidRPr="009E6200">
        <w:rPr>
          <w:rFonts w:cs="Times New Roman"/>
          <w:vertAlign w:val="superscript"/>
          <w:lang w:eastAsia="ru-RU"/>
        </w:rPr>
        <w:t>®</w:t>
      </w:r>
      <w:r w:rsidR="009036F9" w:rsidRPr="009E6200">
        <w:rPr>
          <w:lang w:eastAsia="ru-RU"/>
        </w:rPr>
        <w:t xml:space="preserve"> </w:t>
      </w:r>
      <w:r w:rsidRPr="009E6200">
        <w:rPr>
          <w:lang w:eastAsia="ru-RU"/>
        </w:rPr>
        <w:t xml:space="preserve">для очистки кишечника и после каждого литра </w:t>
      </w:r>
      <w:r w:rsidR="009036F9" w:rsidRPr="009E6200">
        <w:rPr>
          <w:lang w:eastAsia="ru-RU"/>
        </w:rPr>
        <w:t xml:space="preserve">еще по 500 </w:t>
      </w:r>
      <w:r w:rsidRPr="009E6200">
        <w:rPr>
          <w:lang w:eastAsia="ru-RU"/>
        </w:rPr>
        <w:t>мл разрешенной жидкости (вода, прозрачный бульон, фруктовый сок без мякоти, ком</w:t>
      </w:r>
      <w:r w:rsidR="009036F9" w:rsidRPr="009E6200">
        <w:rPr>
          <w:lang w:eastAsia="ru-RU"/>
        </w:rPr>
        <w:t>пот без ягод, безалкогольные не</w:t>
      </w:r>
      <w:r w:rsidRPr="009E6200">
        <w:rPr>
          <w:lang w:eastAsia="ru-RU"/>
        </w:rPr>
        <w:t>окрашенные напитки, чай), во второй литр необходимо добавить 1</w:t>
      </w:r>
      <w:r w:rsidR="009036F9" w:rsidRPr="009E6200">
        <w:rPr>
          <w:lang w:eastAsia="ru-RU"/>
        </w:rPr>
        <w:t>/4 флакона эмульсии симетикона</w:t>
      </w:r>
      <w:r w:rsidRPr="009E6200">
        <w:rPr>
          <w:lang w:eastAsia="ru-RU"/>
        </w:rPr>
        <w:t>.</w:t>
      </w:r>
    </w:p>
    <w:p w14:paraId="3B0E4ABE" w14:textId="77777777" w:rsidR="00BF291F" w:rsidRPr="009E6200" w:rsidRDefault="009036F9" w:rsidP="007B46F5">
      <w:pPr>
        <w:ind w:firstLine="709"/>
        <w:jc w:val="both"/>
        <w:rPr>
          <w:lang w:eastAsia="ru-RU"/>
        </w:rPr>
      </w:pPr>
      <w:r w:rsidRPr="009E6200">
        <w:rPr>
          <w:lang w:eastAsia="ru-RU"/>
        </w:rPr>
        <w:t>Используемый раствор препарата Мовипреп</w:t>
      </w:r>
      <w:r w:rsidR="00121FA5" w:rsidRPr="009E6200">
        <w:rPr>
          <w:rFonts w:cs="Times New Roman"/>
          <w:vertAlign w:val="superscript"/>
          <w:lang w:eastAsia="ru-RU"/>
        </w:rPr>
        <w:t>®</w:t>
      </w:r>
      <w:r w:rsidRPr="009E6200">
        <w:rPr>
          <w:lang w:eastAsia="ru-RU"/>
        </w:rPr>
        <w:t xml:space="preserve"> </w:t>
      </w:r>
      <w:r w:rsidR="00BF291F" w:rsidRPr="009E6200">
        <w:rPr>
          <w:lang w:eastAsia="ru-RU"/>
        </w:rPr>
        <w:t xml:space="preserve">следует пить дробно, небольшими глотками (залпом не пить!) по 250 мл (1 стакан) каждые 15 мин. В самом начале приема раствора препарата или при быстром его приеме в большом количестве </w:t>
      </w:r>
      <w:r w:rsidRPr="009E6200">
        <w:rPr>
          <w:lang w:eastAsia="ru-RU"/>
        </w:rPr>
        <w:t>может появиться тошнота, рвота.</w:t>
      </w:r>
    </w:p>
    <w:p w14:paraId="2E562401" w14:textId="77777777" w:rsidR="009036F9" w:rsidRPr="009E6200" w:rsidRDefault="00BF291F" w:rsidP="007B46F5">
      <w:pPr>
        <w:ind w:firstLine="709"/>
        <w:jc w:val="both"/>
        <w:rPr>
          <w:lang w:eastAsia="ru-RU"/>
        </w:rPr>
      </w:pPr>
      <w:r w:rsidRPr="009E6200">
        <w:rPr>
          <w:lang w:eastAsia="ru-RU"/>
        </w:rPr>
        <w:t>При затруднении приема раствора препарата, связанном с его вкусовыми качествами, можно пить раствор охлажденным, через коктейльную трубочку (соломинк</w:t>
      </w:r>
      <w:r w:rsidR="009036F9" w:rsidRPr="009E6200">
        <w:rPr>
          <w:lang w:eastAsia="ru-RU"/>
        </w:rPr>
        <w:t>у), в промежутках пить или запи</w:t>
      </w:r>
      <w:r w:rsidRPr="009E6200">
        <w:rPr>
          <w:lang w:eastAsia="ru-RU"/>
        </w:rPr>
        <w:t>вать раствор небольшим количеством воды, сладкого чая, а также рассасывать леденцовую карам</w:t>
      </w:r>
      <w:r w:rsidR="009036F9" w:rsidRPr="009E6200">
        <w:rPr>
          <w:lang w:eastAsia="ru-RU"/>
        </w:rPr>
        <w:t>ель (конфетки леденцы типа «бар</w:t>
      </w:r>
      <w:r w:rsidRPr="009E6200">
        <w:rPr>
          <w:lang w:eastAsia="ru-RU"/>
        </w:rPr>
        <w:t>барис»), мед, лимон и т.д. Облегчает прием добавление симетикона в раствор мовипрепа. Во время приема препарата рекомендуется соблюдать двигательную активность: ходить по квартире, выполнять круговые движения корпусом, наклоны в</w:t>
      </w:r>
      <w:r w:rsidR="009036F9" w:rsidRPr="009E6200">
        <w:rPr>
          <w:lang w:eastAsia="ru-RU"/>
        </w:rPr>
        <w:t xml:space="preserve"> </w:t>
      </w:r>
      <w:r w:rsidRPr="009E6200">
        <w:rPr>
          <w:lang w:eastAsia="ru-RU"/>
        </w:rPr>
        <w:t>стороны, вперед-назад, приседания, можно выполнять самомассаж живота, особенно в случаях з</w:t>
      </w:r>
      <w:r w:rsidR="009036F9" w:rsidRPr="009E6200">
        <w:rPr>
          <w:lang w:eastAsia="ru-RU"/>
        </w:rPr>
        <w:t>амедленного действия препарата.</w:t>
      </w:r>
    </w:p>
    <w:p w14:paraId="39B0110E" w14:textId="77777777" w:rsidR="009036F9" w:rsidRPr="009E6200" w:rsidRDefault="00BF291F" w:rsidP="007B46F5">
      <w:pPr>
        <w:ind w:firstLine="709"/>
        <w:jc w:val="both"/>
        <w:rPr>
          <w:lang w:eastAsia="ru-RU"/>
        </w:rPr>
      </w:pPr>
      <w:r w:rsidRPr="009E6200">
        <w:rPr>
          <w:lang w:eastAsia="ru-RU"/>
        </w:rPr>
        <w:t>Препарат начинает действовать индив</w:t>
      </w:r>
      <w:r w:rsidR="009036F9" w:rsidRPr="009E6200">
        <w:rPr>
          <w:lang w:eastAsia="ru-RU"/>
        </w:rPr>
        <w:t>идуально: в среднем через 1–2 ч</w:t>
      </w:r>
      <w:r w:rsidRPr="009E6200">
        <w:rPr>
          <w:lang w:eastAsia="ru-RU"/>
        </w:rPr>
        <w:t xml:space="preserve"> от начала приема появляется первый стул. Активное действие препарата продолжается индивид</w:t>
      </w:r>
      <w:r w:rsidR="009036F9" w:rsidRPr="009E6200">
        <w:rPr>
          <w:lang w:eastAsia="ru-RU"/>
        </w:rPr>
        <w:t>уально: в среднем в течение 2 ч</w:t>
      </w:r>
      <w:r w:rsidRPr="009E6200">
        <w:rPr>
          <w:lang w:eastAsia="ru-RU"/>
        </w:rPr>
        <w:t xml:space="preserve"> (в это время будет интенсивный жидкий стул).  К моменту окончания подготовки стул должен измениться на прозрачную бесцветную или слегка окрашенную жидкос</w:t>
      </w:r>
      <w:r w:rsidR="009036F9" w:rsidRPr="009E6200">
        <w:rPr>
          <w:lang w:eastAsia="ru-RU"/>
        </w:rPr>
        <w:t>ть, что свидетельствует о готовности к обследованию.</w:t>
      </w:r>
    </w:p>
    <w:p w14:paraId="328B25FF" w14:textId="77777777" w:rsidR="009036F9" w:rsidRPr="009E6200" w:rsidRDefault="00BF291F" w:rsidP="007B46F5">
      <w:pPr>
        <w:jc w:val="both"/>
        <w:rPr>
          <w:lang w:eastAsia="ru-RU"/>
        </w:rPr>
      </w:pPr>
      <w:r w:rsidRPr="009E6200">
        <w:rPr>
          <w:lang w:eastAsia="ru-RU"/>
        </w:rPr>
        <w:t>Закончить прием препарата необходимо за 2–4 ч до наз</w:t>
      </w:r>
      <w:r w:rsidR="009036F9" w:rsidRPr="009E6200">
        <w:rPr>
          <w:lang w:eastAsia="ru-RU"/>
        </w:rPr>
        <w:t>наченного времени исследования.</w:t>
      </w:r>
    </w:p>
    <w:p w14:paraId="1F3D6E4C" w14:textId="77777777" w:rsidR="00BF291F" w:rsidRPr="009E6200" w:rsidRDefault="00BF291F" w:rsidP="007B46F5">
      <w:pPr>
        <w:ind w:firstLine="709"/>
        <w:jc w:val="both"/>
        <w:rPr>
          <w:lang w:eastAsia="ru-RU"/>
        </w:rPr>
      </w:pPr>
      <w:r w:rsidRPr="009E6200">
        <w:rPr>
          <w:lang w:eastAsia="ru-RU"/>
        </w:rPr>
        <w:t>Проведение исследования жела</w:t>
      </w:r>
      <w:r w:rsidR="009036F9" w:rsidRPr="009E6200">
        <w:rPr>
          <w:lang w:eastAsia="ru-RU"/>
        </w:rPr>
        <w:t>тельно в промежутке от 2 до 4 ч</w:t>
      </w:r>
      <w:r w:rsidRPr="009E6200">
        <w:rPr>
          <w:lang w:eastAsia="ru-RU"/>
        </w:rPr>
        <w:t xml:space="preserve"> после окончания приема препарата. </w:t>
      </w:r>
    </w:p>
    <w:p w14:paraId="12BD181A" w14:textId="77777777" w:rsidR="00BF291F" w:rsidRPr="009E6200" w:rsidRDefault="00BF291F" w:rsidP="007B46F5">
      <w:pPr>
        <w:ind w:firstLine="709"/>
        <w:jc w:val="both"/>
        <w:rPr>
          <w:lang w:eastAsia="ru-RU"/>
        </w:rPr>
      </w:pPr>
      <w:r w:rsidRPr="009E6200">
        <w:rPr>
          <w:lang w:eastAsia="ru-RU"/>
        </w:rPr>
        <w:t>При хронических запорах</w:t>
      </w:r>
      <w:r w:rsidR="009036F9" w:rsidRPr="009E6200">
        <w:rPr>
          <w:lang w:eastAsia="ru-RU"/>
        </w:rPr>
        <w:t xml:space="preserve"> </w:t>
      </w:r>
      <w:r w:rsidRPr="009E6200">
        <w:rPr>
          <w:lang w:eastAsia="ru-RU"/>
        </w:rPr>
        <w:t xml:space="preserve">за </w:t>
      </w:r>
      <w:r w:rsidR="009036F9" w:rsidRPr="009E6200">
        <w:rPr>
          <w:lang w:eastAsia="ru-RU"/>
        </w:rPr>
        <w:t>3–5 дней (в зависимости от выра</w:t>
      </w:r>
      <w:r w:rsidRPr="009E6200">
        <w:rPr>
          <w:lang w:eastAsia="ru-RU"/>
        </w:rPr>
        <w:t>женности запоров) до подготовки к исследованию начать принимать слабительные нерастительного п</w:t>
      </w:r>
      <w:r w:rsidR="009036F9" w:rsidRPr="009E6200">
        <w:rPr>
          <w:lang w:eastAsia="ru-RU"/>
        </w:rPr>
        <w:t>роисхождения (Гутталакс, Дулько</w:t>
      </w:r>
      <w:r w:rsidRPr="009E6200">
        <w:rPr>
          <w:lang w:eastAsia="ru-RU"/>
        </w:rPr>
        <w:t>лакс, Слабилен и т. д.), желатель</w:t>
      </w:r>
      <w:r w:rsidR="009036F9" w:rsidRPr="009E6200">
        <w:rPr>
          <w:lang w:eastAsia="ru-RU"/>
        </w:rPr>
        <w:t>но по рекомендации врача-гастро</w:t>
      </w:r>
      <w:r w:rsidRPr="009E6200">
        <w:rPr>
          <w:lang w:eastAsia="ru-RU"/>
        </w:rPr>
        <w:t xml:space="preserve">энтеролога. Диарея (жидкий стул) является ожидаемым эффектом при подготовке кишечника. </w:t>
      </w:r>
    </w:p>
    <w:p w14:paraId="7B5263A6" w14:textId="77777777" w:rsidR="00BF291F" w:rsidRPr="009E6200" w:rsidRDefault="00BF291F" w:rsidP="007B46F5">
      <w:pPr>
        <w:ind w:firstLine="709"/>
        <w:jc w:val="both"/>
        <w:rPr>
          <w:lang w:eastAsia="ru-RU"/>
        </w:rPr>
      </w:pPr>
      <w:r w:rsidRPr="009E6200">
        <w:rPr>
          <w:lang w:eastAsia="ru-RU"/>
        </w:rPr>
        <w:t xml:space="preserve">Категорически нельзя уменьшать объем жидкости препарата для </w:t>
      </w:r>
      <w:r w:rsidR="009036F9" w:rsidRPr="009E6200">
        <w:rPr>
          <w:lang w:eastAsia="ru-RU"/>
        </w:rPr>
        <w:t xml:space="preserve">подготовки к исследованию. </w:t>
      </w:r>
      <w:r w:rsidRPr="009E6200">
        <w:rPr>
          <w:lang w:eastAsia="ru-RU"/>
        </w:rPr>
        <w:t>Не рекомендуется дополнительно (или вместо) проводить процедуру очищения толстой кишки клизмами. Н</w:t>
      </w:r>
      <w:r w:rsidR="009036F9" w:rsidRPr="009E6200">
        <w:rPr>
          <w:lang w:eastAsia="ru-RU"/>
        </w:rPr>
        <w:t>е</w:t>
      </w:r>
      <w:r w:rsidRPr="009E6200">
        <w:rPr>
          <w:lang w:eastAsia="ru-RU"/>
        </w:rPr>
        <w:t xml:space="preserve"> рекомендуется принимать в</w:t>
      </w:r>
      <w:r w:rsidR="009036F9" w:rsidRPr="009E6200">
        <w:rPr>
          <w:lang w:eastAsia="ru-RU"/>
        </w:rPr>
        <w:t>азелиновое масло, если предпола</w:t>
      </w:r>
      <w:r w:rsidRPr="009E6200">
        <w:rPr>
          <w:lang w:eastAsia="ru-RU"/>
        </w:rPr>
        <w:t>гается проведение исследования под внутривенной анестезией.</w:t>
      </w:r>
    </w:p>
    <w:p w14:paraId="22C5DF14" w14:textId="77777777" w:rsidR="006B3CDF" w:rsidRPr="009E6200" w:rsidRDefault="00BF291F" w:rsidP="007B46F5">
      <w:pPr>
        <w:ind w:firstLine="709"/>
        <w:jc w:val="both"/>
        <w:rPr>
          <w:lang w:eastAsia="ru-RU"/>
        </w:rPr>
      </w:pPr>
      <w:r w:rsidRPr="009E6200">
        <w:rPr>
          <w:lang w:eastAsia="ru-RU"/>
        </w:rPr>
        <w:t>Не рекомендуется в день исследования водить машину, управлять какими-либо механизмами, принимать важные решения. Желательно, чтобы пациента встретили и проводили домой.</w:t>
      </w:r>
    </w:p>
    <w:p w14:paraId="1C0BBAD7" w14:textId="5F2A0567" w:rsidR="00924B24" w:rsidRDefault="00924B24" w:rsidP="007B46F5">
      <w:pPr>
        <w:pStyle w:val="SDText"/>
        <w:ind w:firstLine="709"/>
        <w:jc w:val="both"/>
      </w:pPr>
      <w:r w:rsidRPr="009E6200">
        <w:t>Процедура выполняется по стандартной методике с целью исключения эрозивно-язвенных поражений ЖКТ.</w:t>
      </w:r>
      <w:r w:rsidR="00B0480B" w:rsidRPr="009E6200">
        <w:t xml:space="preserve"> Возможен учет результатов исследований, выполненных в течение 21 дня до визита скрининга.</w:t>
      </w:r>
    </w:p>
    <w:p w14:paraId="6A1E23B2" w14:textId="77777777" w:rsidR="00BB6320" w:rsidRPr="009E6200" w:rsidRDefault="00BB6320" w:rsidP="007B46F5">
      <w:pPr>
        <w:pStyle w:val="SDText"/>
        <w:ind w:firstLine="709"/>
        <w:jc w:val="both"/>
      </w:pPr>
    </w:p>
    <w:p w14:paraId="090B82E8" w14:textId="77777777" w:rsidR="00924B24" w:rsidRPr="009E6200" w:rsidRDefault="00924B24" w:rsidP="007B46F5">
      <w:pPr>
        <w:pStyle w:val="Heading5"/>
        <w:spacing w:before="0" w:after="0"/>
        <w:jc w:val="both"/>
        <w:rPr>
          <w:color w:val="auto"/>
          <w:lang w:eastAsia="ru-RU"/>
        </w:rPr>
      </w:pPr>
      <w:bookmarkStart w:id="145" w:name="_Toc120865259"/>
      <w:r w:rsidRPr="009E6200">
        <w:rPr>
          <w:color w:val="auto"/>
          <w:lang w:eastAsia="ru-RU"/>
        </w:rPr>
        <w:t>К</w:t>
      </w:r>
      <w:r w:rsidR="000B5D24" w:rsidRPr="009E6200">
        <w:rPr>
          <w:color w:val="auto"/>
          <w:lang w:eastAsia="ru-RU"/>
        </w:rPr>
        <w:t>омпьютерная томография</w:t>
      </w:r>
      <w:r w:rsidRPr="009E6200">
        <w:rPr>
          <w:color w:val="auto"/>
          <w:lang w:eastAsia="ru-RU"/>
        </w:rPr>
        <w:t xml:space="preserve"> </w:t>
      </w:r>
      <w:r w:rsidR="000B5D24" w:rsidRPr="009E6200">
        <w:rPr>
          <w:color w:val="auto"/>
          <w:lang w:eastAsia="ru-RU"/>
        </w:rPr>
        <w:t xml:space="preserve">(КТ) </w:t>
      </w:r>
      <w:r w:rsidRPr="009E6200">
        <w:rPr>
          <w:color w:val="auto"/>
          <w:lang w:eastAsia="ru-RU"/>
        </w:rPr>
        <w:t xml:space="preserve">и </w:t>
      </w:r>
      <w:r w:rsidR="000B5D24" w:rsidRPr="009E6200">
        <w:rPr>
          <w:color w:val="auto"/>
          <w:lang w:eastAsia="ru-RU"/>
        </w:rPr>
        <w:t>магнитно-резонансная томография (МРТ)</w:t>
      </w:r>
      <w:bookmarkEnd w:id="145"/>
    </w:p>
    <w:p w14:paraId="3B12A7C5" w14:textId="77777777" w:rsidR="00BB6320" w:rsidRDefault="00BB6320" w:rsidP="007B46F5">
      <w:pPr>
        <w:jc w:val="both"/>
      </w:pPr>
    </w:p>
    <w:p w14:paraId="19A9A59F" w14:textId="70B06B56" w:rsidR="006D3500" w:rsidRPr="009E6200" w:rsidRDefault="006D3500" w:rsidP="007B46F5">
      <w:pPr>
        <w:ind w:firstLine="709"/>
        <w:jc w:val="both"/>
      </w:pPr>
      <w:r w:rsidRPr="009E6200">
        <w:t xml:space="preserve">Для оценки измеримости очагов и выбора целевых очагов для количественной оценки и </w:t>
      </w:r>
      <w:r w:rsidR="00AC27AB" w:rsidRPr="009E6200">
        <w:t>нецелевых очагов для качественной оценки необходимо выполнение исходного (скринингового) обследования</w:t>
      </w:r>
      <w:r w:rsidR="00D61B83" w:rsidRPr="009E6200">
        <w:t xml:space="preserve"> (КТ или МРТ).</w:t>
      </w:r>
    </w:p>
    <w:p w14:paraId="1C43861A" w14:textId="77452D73" w:rsidR="00D61B83" w:rsidRPr="009E6200" w:rsidRDefault="00D61B83" w:rsidP="007B46F5">
      <w:pPr>
        <w:ind w:firstLine="709"/>
        <w:jc w:val="both"/>
      </w:pPr>
      <w:r w:rsidRPr="009E6200">
        <w:t>Возможен учет результатов исследований, выполненных в течение 28 дней до визита скрининга, в качестве базальных (скрининговых) данных, если качество исследований соответствует требованиям протокола и результаты доступны на электронном носителе</w:t>
      </w:r>
      <w:r w:rsidR="00AB7D7E" w:rsidRPr="009E6200">
        <w:t xml:space="preserve"> – на диске</w:t>
      </w:r>
      <w:r w:rsidRPr="009E6200">
        <w:t xml:space="preserve"> (описание выполняет врач, который будет оценивать КТ или МРТ с контрастированием в динамике). В таком случае исследование на визите скрининга не проводится.</w:t>
      </w:r>
    </w:p>
    <w:p w14:paraId="657C55E8" w14:textId="77E55AFF" w:rsidR="00A61735" w:rsidRPr="009E6200" w:rsidRDefault="008C70C5" w:rsidP="007B46F5">
      <w:pPr>
        <w:ind w:firstLine="709"/>
        <w:jc w:val="both"/>
      </w:pPr>
      <w:r w:rsidRPr="002D257A">
        <w:rPr>
          <w:rFonts w:cs="Times New Roman"/>
          <w:szCs w:val="24"/>
        </w:rPr>
        <w:t>Исходно выполняется КТ</w:t>
      </w:r>
      <w:r>
        <w:rPr>
          <w:rFonts w:cs="Times New Roman"/>
          <w:szCs w:val="24"/>
        </w:rPr>
        <w:t xml:space="preserve"> с контрастированием</w:t>
      </w:r>
      <w:r w:rsidRPr="002D257A">
        <w:rPr>
          <w:rFonts w:cs="Times New Roman"/>
          <w:szCs w:val="24"/>
        </w:rPr>
        <w:t xml:space="preserve"> органов грудной клетки</w:t>
      </w:r>
      <w:r w:rsidR="004421AC">
        <w:rPr>
          <w:rFonts w:cs="Times New Roman"/>
          <w:szCs w:val="24"/>
        </w:rPr>
        <w:t>, брюшной полости</w:t>
      </w:r>
      <w:r w:rsidRPr="002D257A">
        <w:rPr>
          <w:rFonts w:cs="Times New Roman"/>
          <w:szCs w:val="24"/>
        </w:rPr>
        <w:t>, а также КТ с контрастированием или МРТ с контрастированием для всех применимых областей с ранее выявленными метастазами или подозреваемыми метастазами: головы, шеи, органов брюшной полости и малого таза, и т.д</w:t>
      </w:r>
      <w:r w:rsidR="00A61735" w:rsidRPr="009E6200">
        <w:t>.</w:t>
      </w:r>
    </w:p>
    <w:p w14:paraId="6DF8838A" w14:textId="27E81DA8" w:rsidR="006562B2" w:rsidRDefault="00A61735" w:rsidP="007B46F5">
      <w:pPr>
        <w:jc w:val="both"/>
      </w:pPr>
      <w:r w:rsidRPr="009E6200">
        <w:t>Д</w:t>
      </w:r>
      <w:r w:rsidR="00E569A4" w:rsidRPr="009E6200">
        <w:t xml:space="preserve">алее </w:t>
      </w:r>
      <w:r w:rsidRPr="009E6200">
        <w:t xml:space="preserve">обследования выполняются </w:t>
      </w:r>
      <w:r w:rsidR="00E569A4" w:rsidRPr="009E6200">
        <w:t>в установленные графиком визито</w:t>
      </w:r>
      <w:r w:rsidR="009F7CBD" w:rsidRPr="009E6200">
        <w:t>в</w:t>
      </w:r>
      <w:r w:rsidR="00E569A4" w:rsidRPr="009E6200">
        <w:t xml:space="preserve"> сроки для оценки динамики </w:t>
      </w:r>
      <w:r w:rsidR="002F64A4" w:rsidRPr="009E6200">
        <w:t>размеров первичной опухоли и метастазов, а также появления новых метастазов.</w:t>
      </w:r>
    </w:p>
    <w:p w14:paraId="0EC67593" w14:textId="462375F8" w:rsidR="008306E4" w:rsidRPr="008306E4" w:rsidRDefault="008306E4" w:rsidP="007B46F5">
      <w:pPr>
        <w:ind w:firstLine="709"/>
        <w:jc w:val="both"/>
      </w:pPr>
      <w:r>
        <w:t xml:space="preserve">Плановое </w:t>
      </w:r>
      <w:r w:rsidRPr="008C68D8">
        <w:t>КТ</w:t>
      </w:r>
      <w:r>
        <w:t xml:space="preserve"> исследование проводится в день соответствующего планового визита. Допускается отклонение во времени проведения планового КТ не боле</w:t>
      </w:r>
      <w:r w:rsidR="00D3031C">
        <w:t>е</w:t>
      </w:r>
      <w:r>
        <w:t xml:space="preserve"> чем 3 дня (72 часа) до фактической даты визита. </w:t>
      </w:r>
    </w:p>
    <w:p w14:paraId="71DB324D" w14:textId="77777777" w:rsidR="00056268" w:rsidRPr="009E6200" w:rsidRDefault="00056268" w:rsidP="007B46F5">
      <w:pPr>
        <w:ind w:firstLine="709"/>
        <w:jc w:val="both"/>
      </w:pPr>
      <w:r w:rsidRPr="009E6200">
        <w:t>Исходный метод исследования (на визите скрининга) выбирает врач-исследователь с учетом клинических данных (например, непереносимость рентгеноконтрастных препаратов). При исследованиях в динамике следует придерживаться того же метода и методики исследования, который был выполнен на визите скрининга.</w:t>
      </w:r>
    </w:p>
    <w:p w14:paraId="0125A6D8" w14:textId="77777777" w:rsidR="00E5080C" w:rsidRPr="009E6200" w:rsidRDefault="004271B8" w:rsidP="007B46F5">
      <w:pPr>
        <w:ind w:firstLine="420"/>
        <w:jc w:val="both"/>
      </w:pPr>
      <w:r w:rsidRPr="009E6200">
        <w:t>Необходимо стремиться к соблюдению о</w:t>
      </w:r>
      <w:r w:rsidR="00E5080C" w:rsidRPr="009E6200">
        <w:t>птимальны</w:t>
      </w:r>
      <w:r w:rsidRPr="009E6200">
        <w:t>х</w:t>
      </w:r>
      <w:r w:rsidR="00E5080C" w:rsidRPr="009E6200">
        <w:t xml:space="preserve"> услови</w:t>
      </w:r>
      <w:r w:rsidRPr="009E6200">
        <w:t>й</w:t>
      </w:r>
      <w:r w:rsidR="00E5080C" w:rsidRPr="009E6200">
        <w:t xml:space="preserve"> для оценки очагов</w:t>
      </w:r>
      <w:r w:rsidR="00DA2B56" w:rsidRPr="009E6200">
        <w:t xml:space="preserve"> в динамике</w:t>
      </w:r>
      <w:r w:rsidR="008B5895" w:rsidRPr="009E6200">
        <w:t xml:space="preserve"> у одного и того же пациента</w:t>
      </w:r>
      <w:r w:rsidR="00190456" w:rsidRPr="009E6200">
        <w:t xml:space="preserve"> (</w:t>
      </w:r>
      <w:r w:rsidR="00190456" w:rsidRPr="009E6200">
        <w:rPr>
          <w:lang w:val="en-US"/>
        </w:rPr>
        <w:t>RECIST</w:t>
      </w:r>
      <w:r w:rsidR="00190456" w:rsidRPr="009E6200">
        <w:t xml:space="preserve"> 1.1):</w:t>
      </w:r>
    </w:p>
    <w:p w14:paraId="1C7E4B1E" w14:textId="77777777" w:rsidR="002B59BF" w:rsidRPr="009E6200" w:rsidRDefault="00DA2B56" w:rsidP="007B46F5">
      <w:pPr>
        <w:pStyle w:val="ListParagraph"/>
        <w:numPr>
          <w:ilvl w:val="0"/>
          <w:numId w:val="19"/>
        </w:numPr>
        <w:spacing w:line="240" w:lineRule="auto"/>
        <w:rPr>
          <w:lang w:val="ru-RU"/>
        </w:rPr>
      </w:pPr>
      <w:r w:rsidRPr="009E6200">
        <w:rPr>
          <w:lang w:val="ru-RU"/>
        </w:rPr>
        <w:t>Один и тот же аппарат;</w:t>
      </w:r>
    </w:p>
    <w:p w14:paraId="34147C8A" w14:textId="77777777" w:rsidR="00DA2B56" w:rsidRPr="009E6200" w:rsidRDefault="00DA2B56" w:rsidP="007B46F5">
      <w:pPr>
        <w:pStyle w:val="ListParagraph"/>
        <w:numPr>
          <w:ilvl w:val="0"/>
          <w:numId w:val="19"/>
        </w:numPr>
        <w:spacing w:line="240" w:lineRule="auto"/>
        <w:rPr>
          <w:lang w:val="ru-RU"/>
        </w:rPr>
      </w:pPr>
      <w:r w:rsidRPr="009E6200">
        <w:rPr>
          <w:lang w:val="ru-RU"/>
        </w:rPr>
        <w:t xml:space="preserve">Одна и та же </w:t>
      </w:r>
      <w:r w:rsidR="00AA1D6F" w:rsidRPr="009E6200">
        <w:rPr>
          <w:lang w:val="ru-RU"/>
        </w:rPr>
        <w:t>методика исследования;</w:t>
      </w:r>
    </w:p>
    <w:p w14:paraId="10FA99C8" w14:textId="77777777" w:rsidR="00AA1D6F" w:rsidRPr="009E6200" w:rsidRDefault="00A8775D" w:rsidP="007B46F5">
      <w:pPr>
        <w:pStyle w:val="ListParagraph"/>
        <w:numPr>
          <w:ilvl w:val="0"/>
          <w:numId w:val="19"/>
        </w:numPr>
        <w:spacing w:line="240" w:lineRule="auto"/>
        <w:rPr>
          <w:lang w:val="ru-RU"/>
        </w:rPr>
      </w:pPr>
      <w:r w:rsidRPr="009E6200">
        <w:rPr>
          <w:lang w:val="ru-RU"/>
        </w:rPr>
        <w:t>Один и тот же протокол сканирования;</w:t>
      </w:r>
    </w:p>
    <w:p w14:paraId="78EA4F1A" w14:textId="77777777" w:rsidR="00A8775D" w:rsidRPr="009E6200" w:rsidRDefault="00507A36" w:rsidP="007B46F5">
      <w:pPr>
        <w:pStyle w:val="ListParagraph"/>
        <w:numPr>
          <w:ilvl w:val="0"/>
          <w:numId w:val="19"/>
        </w:numPr>
        <w:spacing w:line="240" w:lineRule="auto"/>
        <w:rPr>
          <w:lang w:val="ru-RU"/>
        </w:rPr>
      </w:pPr>
      <w:r w:rsidRPr="009E6200">
        <w:rPr>
          <w:lang w:val="ru-RU"/>
        </w:rPr>
        <w:t>Толщина среза не более 5 мм;</w:t>
      </w:r>
    </w:p>
    <w:p w14:paraId="4FE99EE7" w14:textId="77777777" w:rsidR="00507A36" w:rsidRPr="009E6200" w:rsidRDefault="00507A36" w:rsidP="007B46F5">
      <w:pPr>
        <w:pStyle w:val="ListParagraph"/>
        <w:numPr>
          <w:ilvl w:val="0"/>
          <w:numId w:val="19"/>
        </w:numPr>
        <w:spacing w:line="240" w:lineRule="auto"/>
        <w:rPr>
          <w:lang w:val="ru-RU"/>
        </w:rPr>
      </w:pPr>
      <w:r w:rsidRPr="009E6200">
        <w:rPr>
          <w:lang w:val="ru-RU"/>
        </w:rPr>
        <w:t>Одна и та же область сканирования;</w:t>
      </w:r>
    </w:p>
    <w:p w14:paraId="5081EF4A" w14:textId="77777777" w:rsidR="00507A36" w:rsidRPr="009E6200" w:rsidRDefault="00190456" w:rsidP="007B46F5">
      <w:pPr>
        <w:pStyle w:val="ListParagraph"/>
        <w:numPr>
          <w:ilvl w:val="0"/>
          <w:numId w:val="19"/>
        </w:numPr>
        <w:spacing w:line="240" w:lineRule="auto"/>
        <w:rPr>
          <w:lang w:val="ru-RU"/>
        </w:rPr>
      </w:pPr>
      <w:r w:rsidRPr="009E6200">
        <w:rPr>
          <w:lang w:val="ru-RU"/>
        </w:rPr>
        <w:t>Одно и то же положение пациента;</w:t>
      </w:r>
    </w:p>
    <w:p w14:paraId="23C5CEE3" w14:textId="77777777" w:rsidR="003C123B" w:rsidRPr="009E6200" w:rsidRDefault="00FC08AE" w:rsidP="007B46F5">
      <w:pPr>
        <w:pStyle w:val="ListParagraph"/>
        <w:numPr>
          <w:ilvl w:val="0"/>
          <w:numId w:val="19"/>
        </w:numPr>
        <w:spacing w:line="240" w:lineRule="auto"/>
        <w:rPr>
          <w:lang w:val="ru-RU"/>
        </w:rPr>
      </w:pPr>
      <w:r w:rsidRPr="009E6200">
        <w:rPr>
          <w:lang w:val="ru-RU"/>
        </w:rPr>
        <w:t>Болюсное внутривенное контрастирование</w:t>
      </w:r>
      <w:r w:rsidR="003C123B" w:rsidRPr="009E6200">
        <w:rPr>
          <w:lang w:val="ru-RU"/>
        </w:rPr>
        <w:t>;</w:t>
      </w:r>
    </w:p>
    <w:p w14:paraId="769EAE9B" w14:textId="77777777" w:rsidR="003C123B" w:rsidRPr="009E6200" w:rsidRDefault="003C123B" w:rsidP="007B46F5">
      <w:pPr>
        <w:pStyle w:val="ListParagraph"/>
        <w:numPr>
          <w:ilvl w:val="0"/>
          <w:numId w:val="19"/>
        </w:numPr>
        <w:spacing w:line="240" w:lineRule="auto"/>
        <w:rPr>
          <w:lang w:val="ru-RU"/>
        </w:rPr>
      </w:pPr>
      <w:r w:rsidRPr="009E6200">
        <w:rPr>
          <w:lang w:val="ru-RU"/>
        </w:rPr>
        <w:t>О</w:t>
      </w:r>
      <w:r w:rsidR="004B7FFA" w:rsidRPr="009E6200">
        <w:rPr>
          <w:lang w:val="ru-RU"/>
        </w:rPr>
        <w:t>дин и тот же контраст</w:t>
      </w:r>
      <w:r w:rsidRPr="009E6200">
        <w:rPr>
          <w:lang w:val="ru-RU"/>
        </w:rPr>
        <w:t>;</w:t>
      </w:r>
    </w:p>
    <w:p w14:paraId="409D6FD6" w14:textId="77777777" w:rsidR="003C123B" w:rsidRPr="009E6200" w:rsidRDefault="003C123B" w:rsidP="007B46F5">
      <w:pPr>
        <w:pStyle w:val="ListParagraph"/>
        <w:numPr>
          <w:ilvl w:val="0"/>
          <w:numId w:val="19"/>
        </w:numPr>
        <w:spacing w:line="240" w:lineRule="auto"/>
        <w:rPr>
          <w:lang w:val="ru-RU"/>
        </w:rPr>
      </w:pPr>
      <w:r w:rsidRPr="009E6200">
        <w:rPr>
          <w:lang w:val="ru-RU"/>
        </w:rPr>
        <w:t>О</w:t>
      </w:r>
      <w:r w:rsidR="004B7FFA" w:rsidRPr="009E6200">
        <w:rPr>
          <w:lang w:val="ru-RU"/>
        </w:rPr>
        <w:t>дин и тот же объем контраста</w:t>
      </w:r>
      <w:r w:rsidRPr="009E6200">
        <w:rPr>
          <w:lang w:val="ru-RU"/>
        </w:rPr>
        <w:t>;</w:t>
      </w:r>
    </w:p>
    <w:p w14:paraId="72D84493" w14:textId="77777777" w:rsidR="00190456" w:rsidRPr="009E6200" w:rsidRDefault="003C123B" w:rsidP="007B46F5">
      <w:pPr>
        <w:pStyle w:val="ListParagraph"/>
        <w:numPr>
          <w:ilvl w:val="0"/>
          <w:numId w:val="19"/>
        </w:numPr>
        <w:spacing w:line="240" w:lineRule="auto"/>
        <w:rPr>
          <w:lang w:val="ru-RU"/>
        </w:rPr>
      </w:pPr>
      <w:r w:rsidRPr="009E6200">
        <w:rPr>
          <w:lang w:val="ru-RU"/>
        </w:rPr>
        <w:t>Одна и та же скорость введения контраста</w:t>
      </w:r>
      <w:r w:rsidR="008B0BD7" w:rsidRPr="009E6200">
        <w:rPr>
          <w:lang w:val="ru-RU"/>
        </w:rPr>
        <w:t>;</w:t>
      </w:r>
    </w:p>
    <w:p w14:paraId="6DCBA174" w14:textId="77777777" w:rsidR="008B0BD7" w:rsidRPr="009E6200" w:rsidRDefault="008B0BD7" w:rsidP="007B46F5">
      <w:pPr>
        <w:pStyle w:val="ListParagraph"/>
        <w:numPr>
          <w:ilvl w:val="0"/>
          <w:numId w:val="19"/>
        </w:numPr>
        <w:spacing w:line="240" w:lineRule="auto"/>
        <w:rPr>
          <w:lang w:val="ru-RU"/>
        </w:rPr>
      </w:pPr>
      <w:r w:rsidRPr="009E6200">
        <w:rPr>
          <w:lang w:val="ru-RU"/>
        </w:rPr>
        <w:t>Один и тот же режим просмотра при измерении размеров одного и того же очага с указанием режима;</w:t>
      </w:r>
    </w:p>
    <w:p w14:paraId="37FDC844" w14:textId="290A2D7C" w:rsidR="008B0BD7" w:rsidRDefault="00056268" w:rsidP="007B46F5">
      <w:pPr>
        <w:pStyle w:val="ListParagraph"/>
        <w:numPr>
          <w:ilvl w:val="0"/>
          <w:numId w:val="19"/>
        </w:numPr>
        <w:spacing w:line="240" w:lineRule="auto"/>
        <w:rPr>
          <w:lang w:val="ru-RU"/>
        </w:rPr>
      </w:pPr>
      <w:r w:rsidRPr="009E6200">
        <w:rPr>
          <w:lang w:val="ru-RU"/>
        </w:rPr>
        <w:t>Измерение размеров в одной и той же фазе контрастирования.</w:t>
      </w:r>
    </w:p>
    <w:p w14:paraId="6AC98AB3" w14:textId="21C54417" w:rsidR="00C45698" w:rsidRDefault="00C45698" w:rsidP="007B46F5">
      <w:pPr>
        <w:ind w:firstLine="420"/>
        <w:jc w:val="both"/>
      </w:pPr>
      <w:r w:rsidRPr="00C45698">
        <w:t>Для соблюдения оптимальных условий оценки динамики опухолевых очагов у одного пациента, исследования должны проводиться на одном КТ/МРТ аппарате с использованием того же контрастного вещества. Если используемый ранее КТ/МРТ аппарат недоступен, допускается проведение исследования в другом центре, одобренном в КИ (после согласования со Спонсором).</w:t>
      </w:r>
      <w:r>
        <w:t xml:space="preserve"> Обязательно проведение, как минимум, внутривенного контрастирования</w:t>
      </w:r>
      <w:r w:rsidR="00C004BF">
        <w:t>.</w:t>
      </w:r>
    </w:p>
    <w:p w14:paraId="19FF3B66" w14:textId="5934E987" w:rsidR="00C45698" w:rsidRDefault="00C45698" w:rsidP="007B46F5">
      <w:pPr>
        <w:ind w:firstLine="420"/>
        <w:jc w:val="both"/>
      </w:pPr>
      <w:r>
        <w:t>При подозрении на прогрессирование заболевания, компьютерная томография</w:t>
      </w:r>
      <w:r w:rsidR="001F358C">
        <w:t xml:space="preserve"> или МРТ</w:t>
      </w:r>
      <w:r>
        <w:t xml:space="preserve"> м</w:t>
      </w:r>
      <w:r w:rsidR="001F358C">
        <w:t>огут быть проведены</w:t>
      </w:r>
      <w:r>
        <w:t xml:space="preserve"> внепланово. </w:t>
      </w:r>
    </w:p>
    <w:p w14:paraId="1DF8AC8D" w14:textId="41A2B4CF" w:rsidR="002042DD" w:rsidRPr="009E6200" w:rsidRDefault="00ED7B98" w:rsidP="007B46F5">
      <w:pPr>
        <w:ind w:firstLine="420"/>
        <w:jc w:val="both"/>
      </w:pPr>
      <w:r w:rsidRPr="009E6200">
        <w:rPr>
          <w:lang w:eastAsia="ru-RU"/>
        </w:rPr>
        <w:t xml:space="preserve">Соблюдение указанных условий существенно повышает воспроизводимость метода </w:t>
      </w:r>
      <w:r w:rsidR="00A630BD" w:rsidRPr="009E6200">
        <w:rPr>
          <w:lang w:eastAsia="ru-RU"/>
        </w:rPr>
        <w:t xml:space="preserve">и позволяет оценить </w:t>
      </w:r>
      <w:r w:rsidR="00845390" w:rsidRPr="009E6200">
        <w:rPr>
          <w:lang w:eastAsia="ru-RU"/>
        </w:rPr>
        <w:t xml:space="preserve">истинную динамику размеров и локализации образований. </w:t>
      </w:r>
      <w:r w:rsidR="008B5895" w:rsidRPr="009E6200">
        <w:rPr>
          <w:lang w:eastAsia="ru-RU"/>
        </w:rPr>
        <w:t xml:space="preserve">Если в ходе клинического исследования у пациента появляются противопоказания </w:t>
      </w:r>
      <w:r w:rsidR="0061767C" w:rsidRPr="009E6200">
        <w:rPr>
          <w:lang w:eastAsia="ru-RU"/>
        </w:rPr>
        <w:t xml:space="preserve">(например, развитие аллергии на контрастный препарат) </w:t>
      </w:r>
      <w:r w:rsidR="008B5895" w:rsidRPr="009E6200">
        <w:rPr>
          <w:lang w:eastAsia="ru-RU"/>
        </w:rPr>
        <w:t xml:space="preserve">для </w:t>
      </w:r>
      <w:r w:rsidR="00954CD9" w:rsidRPr="009E6200">
        <w:rPr>
          <w:lang w:eastAsia="ru-RU"/>
        </w:rPr>
        <w:t xml:space="preserve">проведения </w:t>
      </w:r>
      <w:r w:rsidR="0061767C" w:rsidRPr="009E6200">
        <w:rPr>
          <w:lang w:eastAsia="ru-RU"/>
        </w:rPr>
        <w:t xml:space="preserve">того же </w:t>
      </w:r>
      <w:r w:rsidR="00954CD9" w:rsidRPr="009E6200">
        <w:rPr>
          <w:lang w:eastAsia="ru-RU"/>
        </w:rPr>
        <w:t>исследования с контрастированием</w:t>
      </w:r>
      <w:r w:rsidR="00622744" w:rsidRPr="009E6200">
        <w:rPr>
          <w:lang w:eastAsia="ru-RU"/>
        </w:rPr>
        <w:t>, что выполнено на скрининге</w:t>
      </w:r>
      <w:r w:rsidR="00954CD9" w:rsidRPr="009E6200">
        <w:rPr>
          <w:lang w:eastAsia="ru-RU"/>
        </w:rPr>
        <w:t xml:space="preserve">, </w:t>
      </w:r>
      <w:r w:rsidR="003E2916" w:rsidRPr="009E6200">
        <w:rPr>
          <w:lang w:eastAsia="ru-RU"/>
        </w:rPr>
        <w:t xml:space="preserve">решение о смене </w:t>
      </w:r>
      <w:r w:rsidR="00622744" w:rsidRPr="009E6200">
        <w:rPr>
          <w:lang w:eastAsia="ru-RU"/>
        </w:rPr>
        <w:t xml:space="preserve">метода исследования (переход на исследование без контрастирования или смена </w:t>
      </w:r>
      <w:r w:rsidR="00076FC8" w:rsidRPr="009E6200">
        <w:rPr>
          <w:lang w:eastAsia="ru-RU"/>
        </w:rPr>
        <w:t xml:space="preserve">метода на МРТ с контрастированием при исходно выполнявшейся КТ с контрастированием) </w:t>
      </w:r>
      <w:r w:rsidR="0065729D" w:rsidRPr="009E6200">
        <w:rPr>
          <w:lang w:eastAsia="ru-RU"/>
        </w:rPr>
        <w:t xml:space="preserve">принимается с учетом локализации очагов и возможности достоверного суждения о </w:t>
      </w:r>
      <w:r w:rsidR="00F10B7F" w:rsidRPr="009E6200">
        <w:rPr>
          <w:lang w:eastAsia="ru-RU"/>
        </w:rPr>
        <w:t xml:space="preserve">динамике </w:t>
      </w:r>
      <w:r w:rsidR="0065729D" w:rsidRPr="009E6200">
        <w:rPr>
          <w:lang w:eastAsia="ru-RU"/>
        </w:rPr>
        <w:t>размер</w:t>
      </w:r>
      <w:r w:rsidR="00F10B7F" w:rsidRPr="009E6200">
        <w:rPr>
          <w:lang w:eastAsia="ru-RU"/>
        </w:rPr>
        <w:t xml:space="preserve">ов </w:t>
      </w:r>
      <w:r w:rsidR="0065729D" w:rsidRPr="009E6200">
        <w:rPr>
          <w:lang w:eastAsia="ru-RU"/>
        </w:rPr>
        <w:t xml:space="preserve">очагов </w:t>
      </w:r>
      <w:r w:rsidR="00F10B7F" w:rsidRPr="009E6200">
        <w:rPr>
          <w:lang w:eastAsia="ru-RU"/>
        </w:rPr>
        <w:t>в сравнении с предыдущим исследованием</w:t>
      </w:r>
      <w:r w:rsidR="00BE24ED" w:rsidRPr="009E6200">
        <w:rPr>
          <w:lang w:eastAsia="ru-RU"/>
        </w:rPr>
        <w:t xml:space="preserve">, а также с учетом наличия противопоказаний для введения разных видов контрастных препаратов (в соответствии с методическими рекомендациями №42 департамента здравоохранения г. Москвы от 15.05.2018 «Особенности применения контрастных препаратов </w:t>
      </w:r>
      <w:r w:rsidR="00832BAC" w:rsidRPr="009E6200">
        <w:rPr>
          <w:lang w:eastAsia="ru-RU"/>
        </w:rPr>
        <w:t>в лучевой диагностике)</w:t>
      </w:r>
      <w:r w:rsidR="00F10B7F" w:rsidRPr="009E6200">
        <w:rPr>
          <w:lang w:eastAsia="ru-RU"/>
        </w:rPr>
        <w:t>.</w:t>
      </w:r>
      <w:r w:rsidR="00ED2DCA" w:rsidRPr="009E6200">
        <w:rPr>
          <w:lang w:eastAsia="ru-RU"/>
        </w:rPr>
        <w:t xml:space="preserve"> </w:t>
      </w:r>
      <w:r w:rsidR="00E67EC2" w:rsidRPr="009E6200">
        <w:rPr>
          <w:lang w:eastAsia="ru-RU"/>
        </w:rPr>
        <w:t>В каждом случае решение принимается индивидуально</w:t>
      </w:r>
      <w:r w:rsidR="00832BAC" w:rsidRPr="009E6200">
        <w:rPr>
          <w:lang w:eastAsia="ru-RU"/>
        </w:rPr>
        <w:t xml:space="preserve"> врачом исследователем и </w:t>
      </w:r>
      <w:r w:rsidR="00E67EC2" w:rsidRPr="009E6200">
        <w:rPr>
          <w:lang w:eastAsia="ru-RU"/>
        </w:rPr>
        <w:t>врач</w:t>
      </w:r>
      <w:r w:rsidR="00832BAC" w:rsidRPr="009E6200">
        <w:rPr>
          <w:lang w:eastAsia="ru-RU"/>
        </w:rPr>
        <w:t>ом</w:t>
      </w:r>
      <w:r w:rsidR="00E67EC2" w:rsidRPr="009E6200">
        <w:rPr>
          <w:lang w:eastAsia="ru-RU"/>
        </w:rPr>
        <w:t xml:space="preserve"> лучевой диагностики </w:t>
      </w:r>
      <w:r w:rsidR="0067427F" w:rsidRPr="009E6200">
        <w:rPr>
          <w:lang w:eastAsia="ru-RU"/>
        </w:rPr>
        <w:t xml:space="preserve">с учетом того, что при использовании отличающегося от первоначального метода </w:t>
      </w:r>
      <w:r w:rsidR="00204D1A" w:rsidRPr="009E6200">
        <w:rPr>
          <w:lang w:eastAsia="ru-RU"/>
        </w:rPr>
        <w:t>видимый размер одного и того же очага может отличаться.</w:t>
      </w:r>
    </w:p>
    <w:p w14:paraId="437554C1" w14:textId="60450198" w:rsidR="008C70C5" w:rsidRDefault="008C70C5" w:rsidP="007B46F5">
      <w:pPr>
        <w:jc w:val="both"/>
        <w:rPr>
          <w:lang w:eastAsia="ru-RU"/>
        </w:rPr>
      </w:pPr>
      <w:r>
        <w:rPr>
          <w:lang w:eastAsia="ru-RU"/>
        </w:rPr>
        <w:t xml:space="preserve">Данные КТ и МРТ будут направляться в </w:t>
      </w:r>
      <w:r w:rsidR="00630052" w:rsidRPr="00630052">
        <w:rPr>
          <w:lang w:eastAsia="ru-RU"/>
        </w:rPr>
        <w:t xml:space="preserve">Центральный </w:t>
      </w:r>
      <w:r w:rsidR="00630052">
        <w:rPr>
          <w:lang w:eastAsia="ru-RU"/>
        </w:rPr>
        <w:t xml:space="preserve">независимый </w:t>
      </w:r>
      <w:r w:rsidR="00630052" w:rsidRPr="00630052">
        <w:rPr>
          <w:lang w:eastAsia="ru-RU"/>
        </w:rPr>
        <w:t>комитет по пересмотру КТ/МРТ изображений</w:t>
      </w:r>
      <w:r>
        <w:rPr>
          <w:lang w:eastAsia="ru-RU"/>
        </w:rPr>
        <w:t xml:space="preserve"> после соответствующей обработки и удаления персональной информации. Комитет предоставит в центры детальное руководство по проведению данной процедуры. Целью работы Комитета является объективизация анализа результатов КТ и МРТ и оценка опухолевого ответа на терапию во всех временных точках исследования.</w:t>
      </w:r>
    </w:p>
    <w:p w14:paraId="6BC249B6" w14:textId="77777777" w:rsidR="008C70C5" w:rsidRDefault="008C70C5" w:rsidP="007B46F5">
      <w:pPr>
        <w:jc w:val="both"/>
        <w:rPr>
          <w:lang w:eastAsia="ru-RU"/>
        </w:rPr>
      </w:pPr>
      <w:r>
        <w:rPr>
          <w:lang w:eastAsia="ru-RU"/>
        </w:rPr>
        <w:t>Более подробные инструкции по маркировке и передаче изображений в Комитет, а также по порядку работы самого Комитета, описаны в Руководстве «Оценка результатов КТ и МРТ и динамики противоопухолевого ответа у пациентов в соответствии с RECIST 1.1»</w:t>
      </w:r>
    </w:p>
    <w:p w14:paraId="465B1292" w14:textId="77777777" w:rsidR="008C70C5" w:rsidRDefault="008C70C5" w:rsidP="007B46F5">
      <w:pPr>
        <w:jc w:val="both"/>
        <w:rPr>
          <w:lang w:eastAsia="ru-RU"/>
        </w:rPr>
      </w:pPr>
      <w:r>
        <w:rPr>
          <w:lang w:eastAsia="ru-RU"/>
        </w:rPr>
        <w:t>Критерии оценки ответа на терапию по результатам обследований представлены в разделе 7.1.</w:t>
      </w:r>
    </w:p>
    <w:p w14:paraId="4C3B317D" w14:textId="2066B9EB" w:rsidR="007D135F" w:rsidRDefault="008C70C5" w:rsidP="007B46F5">
      <w:pPr>
        <w:ind w:firstLine="709"/>
        <w:jc w:val="both"/>
        <w:rPr>
          <w:rFonts w:eastAsia="Calibri" w:cs="Times New Roman"/>
          <w:szCs w:val="24"/>
          <w:lang w:eastAsia="ru-RU"/>
        </w:rPr>
      </w:pPr>
      <w:r w:rsidRPr="00B43258">
        <w:rPr>
          <w:rFonts w:eastAsia="Calibri" w:cs="Times New Roman"/>
          <w:szCs w:val="24"/>
          <w:lang w:eastAsia="ru-RU"/>
        </w:rPr>
        <w:t xml:space="preserve">КТ с контрастированием органов грудной клетки не требует подготовки пациентов. КТ с контрастированием и МРТ с контрастированием органов брюшной полости проводятся натощак или через 2–3 ч после последнего приема пищи. Кроме того, за 3 дня перед выполнением МРТ с контрастированием органов брюшной полости рекомендована легкая диета: исключаются продукты, усиливающие перистальтику кишечника и газообразование (мучные изделия, черный хлеб, сырые овощи и фрукты, бобовые, молоко, соки, газированные и алкогольные напитки). При повышенном газообразовании следует принимать сорбенты. За 1 ч до исследования необходимо принять спазмолитическое </w:t>
      </w:r>
      <w:r w:rsidR="007D135F" w:rsidRPr="00B43258">
        <w:rPr>
          <w:rFonts w:eastAsia="Calibri" w:cs="Times New Roman"/>
          <w:szCs w:val="24"/>
          <w:lang w:eastAsia="ru-RU"/>
        </w:rPr>
        <w:t>средство (конкретный препарат и дозу согласовать с лечащим врачом).</w:t>
      </w:r>
    </w:p>
    <w:p w14:paraId="5C3D4018" w14:textId="63B25A33" w:rsidR="0012291C" w:rsidRPr="009E6200" w:rsidRDefault="0012291C" w:rsidP="007B46F5">
      <w:pPr>
        <w:jc w:val="both"/>
        <w:rPr>
          <w:lang w:eastAsia="ru-RU"/>
        </w:rPr>
      </w:pPr>
      <w:r w:rsidRPr="009E6200">
        <w:rPr>
          <w:lang w:eastAsia="ru-RU"/>
        </w:rPr>
        <w:t>Проведение МРТ (с контрастированием) органов малого таза проводится натощак (прием пищи разрешен за 6 ч до проведения исследования), за 1 ч до исследования необходимо принять спазмолитический препарат и 700–1000 мл жидкости.</w:t>
      </w:r>
    </w:p>
    <w:p w14:paraId="34D0B1A9" w14:textId="325042D6" w:rsidR="0012291C" w:rsidRDefault="00B0480B" w:rsidP="007B46F5">
      <w:pPr>
        <w:jc w:val="both"/>
        <w:rPr>
          <w:lang w:eastAsia="ru-RU"/>
        </w:rPr>
      </w:pPr>
      <w:r w:rsidRPr="009E6200">
        <w:rPr>
          <w:lang w:eastAsia="ru-RU"/>
        </w:rPr>
        <w:t>При проведении МРТ необходимо снять все металлические объекты</w:t>
      </w:r>
      <w:r w:rsidR="009C77D3" w:rsidRPr="009E6200">
        <w:rPr>
          <w:lang w:eastAsia="ru-RU"/>
        </w:rPr>
        <w:t xml:space="preserve"> с</w:t>
      </w:r>
      <w:r w:rsidRPr="009E6200">
        <w:rPr>
          <w:lang w:eastAsia="ru-RU"/>
        </w:rPr>
        <w:t xml:space="preserve"> </w:t>
      </w:r>
      <w:r w:rsidR="00763F9D" w:rsidRPr="009E6200">
        <w:rPr>
          <w:lang w:eastAsia="ru-RU"/>
        </w:rPr>
        <w:t>тела</w:t>
      </w:r>
      <w:r w:rsidR="0012291C" w:rsidRPr="009E6200">
        <w:rPr>
          <w:lang w:eastAsia="ru-RU"/>
        </w:rPr>
        <w:t>.</w:t>
      </w:r>
    </w:p>
    <w:p w14:paraId="4C20D878" w14:textId="77777777" w:rsidR="00BB6320" w:rsidRPr="009E6200" w:rsidRDefault="00BB6320" w:rsidP="007B46F5">
      <w:pPr>
        <w:jc w:val="both"/>
        <w:rPr>
          <w:lang w:eastAsia="ru-RU"/>
        </w:rPr>
      </w:pPr>
    </w:p>
    <w:p w14:paraId="453C6B2C" w14:textId="77777777" w:rsidR="00924B24" w:rsidRPr="009E6200" w:rsidRDefault="0012291C" w:rsidP="007B46F5">
      <w:pPr>
        <w:pStyle w:val="Heading5"/>
        <w:spacing w:before="0" w:after="0"/>
        <w:jc w:val="both"/>
        <w:rPr>
          <w:color w:val="auto"/>
        </w:rPr>
      </w:pPr>
      <w:bookmarkStart w:id="146" w:name="_Toc120865260"/>
      <w:r w:rsidRPr="009E6200">
        <w:rPr>
          <w:color w:val="auto"/>
        </w:rPr>
        <w:t>Биопсия первичной опухоли или метастаза</w:t>
      </w:r>
      <w:bookmarkEnd w:id="146"/>
    </w:p>
    <w:p w14:paraId="041C3D43" w14:textId="77777777" w:rsidR="00BB6320" w:rsidRDefault="00BB6320" w:rsidP="007B46F5">
      <w:pPr>
        <w:jc w:val="both"/>
        <w:rPr>
          <w:lang w:eastAsia="ru-RU"/>
        </w:rPr>
      </w:pPr>
    </w:p>
    <w:p w14:paraId="39E85B77" w14:textId="13B01CEC" w:rsidR="0012291C" w:rsidRDefault="0012291C" w:rsidP="007B46F5">
      <w:pPr>
        <w:ind w:firstLine="709"/>
        <w:jc w:val="both"/>
      </w:pPr>
      <w:r w:rsidRPr="009E6200">
        <w:rPr>
          <w:lang w:eastAsia="ru-RU"/>
        </w:rPr>
        <w:t xml:space="preserve">Процедура проводится </w:t>
      </w:r>
      <w:r w:rsidR="00563E9F" w:rsidRPr="009E6200">
        <w:rPr>
          <w:lang w:eastAsia="ru-RU"/>
        </w:rPr>
        <w:t xml:space="preserve">по стандартной методике. </w:t>
      </w:r>
      <w:r w:rsidR="00632E24" w:rsidRPr="009E6200">
        <w:rPr>
          <w:lang w:eastAsia="ru-RU"/>
        </w:rPr>
        <w:t>Берутся о</w:t>
      </w:r>
      <w:r w:rsidR="00563E9F" w:rsidRPr="009E6200">
        <w:rPr>
          <w:lang w:eastAsia="ru-RU"/>
        </w:rPr>
        <w:t xml:space="preserve">бразцы тканей </w:t>
      </w:r>
      <w:r w:rsidR="00404410" w:rsidRPr="009E6200">
        <w:t>первичной опухоли или метастаза (в зависимости от того, что доступнее) для анализа на наличие мутаций, определяющих чувствительность опухоли к таргетной терапии (определение мутаций осуществляется по назначению врача-исследователя)</w:t>
      </w:r>
      <w:r w:rsidR="00563E9F" w:rsidRPr="009E6200">
        <w:t xml:space="preserve">. </w:t>
      </w:r>
      <w:r w:rsidR="00563E9F" w:rsidRPr="009E6200">
        <w:rPr>
          <w:lang w:eastAsia="ru-RU"/>
        </w:rPr>
        <w:t>Биопсия первичной опухоли или метастаза (</w:t>
      </w:r>
      <w:r w:rsidR="00563E9F" w:rsidRPr="009E6200">
        <w:t>в зависимости от того, что доступнее</w:t>
      </w:r>
      <w:r w:rsidR="00563E9F" w:rsidRPr="009E6200">
        <w:rPr>
          <w:lang w:eastAsia="ru-RU"/>
        </w:rPr>
        <w:t xml:space="preserve">) проводится в случае, если </w:t>
      </w:r>
      <w:r w:rsidR="00563E9F" w:rsidRPr="009E6200">
        <w:t xml:space="preserve">анализ на </w:t>
      </w:r>
      <w:r w:rsidR="00404410" w:rsidRPr="009E6200">
        <w:t xml:space="preserve">такие </w:t>
      </w:r>
      <w:r w:rsidR="00563E9F" w:rsidRPr="009E6200">
        <w:t xml:space="preserve">мутации не </w:t>
      </w:r>
      <w:r w:rsidR="00E4588A" w:rsidRPr="009E6200">
        <w:t xml:space="preserve">выполнен </w:t>
      </w:r>
      <w:r w:rsidR="00563E9F" w:rsidRPr="009E6200">
        <w:t>ранее</w:t>
      </w:r>
      <w:r w:rsidR="00404410" w:rsidRPr="009E6200">
        <w:t>.</w:t>
      </w:r>
    </w:p>
    <w:p w14:paraId="2209ADF6" w14:textId="6A0C7280" w:rsidR="00826531" w:rsidRPr="009E6200" w:rsidRDefault="00826531" w:rsidP="007B46F5">
      <w:pPr>
        <w:jc w:val="both"/>
        <w:rPr>
          <w:rFonts w:eastAsiaTheme="majorEastAsia" w:cstheme="majorBidi"/>
          <w:b/>
          <w:sz w:val="28"/>
          <w:szCs w:val="24"/>
          <w:lang w:eastAsia="ru-RU"/>
        </w:rPr>
      </w:pPr>
      <w:bookmarkStart w:id="147" w:name="_Ref466031068"/>
    </w:p>
    <w:p w14:paraId="68638604" w14:textId="31D27541" w:rsidR="009E2CA4" w:rsidRPr="001F4578" w:rsidRDefault="00E22CC1" w:rsidP="007B46F5">
      <w:pPr>
        <w:pStyle w:val="Heading3"/>
        <w:spacing w:before="0" w:after="0" w:line="240" w:lineRule="auto"/>
        <w:ind w:left="709" w:hanging="709"/>
        <w:jc w:val="both"/>
        <w:rPr>
          <w:color w:val="auto"/>
          <w:sz w:val="24"/>
        </w:rPr>
      </w:pPr>
      <w:bookmarkStart w:id="148" w:name="_Toc120865261"/>
      <w:r w:rsidRPr="001F4578">
        <w:rPr>
          <w:color w:val="auto"/>
          <w:sz w:val="24"/>
        </w:rPr>
        <w:t>Содержание визитов</w:t>
      </w:r>
      <w:bookmarkEnd w:id="147"/>
      <w:bookmarkEnd w:id="148"/>
    </w:p>
    <w:p w14:paraId="1724BBB6" w14:textId="1E0080FC" w:rsidR="006C66C2" w:rsidRDefault="006C66C2" w:rsidP="007B46F5">
      <w:pPr>
        <w:jc w:val="both"/>
        <w:rPr>
          <w:rFonts w:eastAsia="Times New Roman" w:cs="Times New Roman"/>
          <w:lang w:eastAsia="ru-RU"/>
        </w:rPr>
      </w:pPr>
    </w:p>
    <w:p w14:paraId="2CB30EC0" w14:textId="77777777" w:rsidR="00E556CD" w:rsidRPr="00CB5A63" w:rsidRDefault="00E556CD" w:rsidP="007B46F5">
      <w:pPr>
        <w:contextualSpacing/>
        <w:jc w:val="both"/>
        <w:rPr>
          <w:b/>
        </w:rPr>
      </w:pPr>
      <w:r w:rsidRPr="00CB5A63">
        <w:rPr>
          <w:b/>
        </w:rPr>
        <w:t>Визит 0 (скрининг), дни от -27 до 0.</w:t>
      </w:r>
    </w:p>
    <w:p w14:paraId="6C49AF38" w14:textId="77777777" w:rsidR="00E556CD" w:rsidRDefault="00E556CD" w:rsidP="007B46F5">
      <w:pPr>
        <w:contextualSpacing/>
        <w:jc w:val="both"/>
      </w:pPr>
    </w:p>
    <w:p w14:paraId="61D3DE85" w14:textId="77777777" w:rsidR="00E556CD" w:rsidRDefault="00E556CD" w:rsidP="007B46F5">
      <w:pPr>
        <w:contextualSpacing/>
        <w:jc w:val="both"/>
      </w:pPr>
      <w:r>
        <w:t>Перечень проводимых процедур:</w:t>
      </w:r>
    </w:p>
    <w:p w14:paraId="180C72CE" w14:textId="77777777" w:rsidR="00E556CD" w:rsidRPr="00E556CD" w:rsidRDefault="00E556CD" w:rsidP="007B46F5">
      <w:pPr>
        <w:pStyle w:val="ListParagraph"/>
        <w:numPr>
          <w:ilvl w:val="0"/>
          <w:numId w:val="55"/>
        </w:numPr>
        <w:suppressAutoHyphens w:val="0"/>
        <w:autoSpaceDN/>
        <w:spacing w:line="240" w:lineRule="auto"/>
        <w:contextualSpacing/>
        <w:textAlignment w:val="auto"/>
        <w:rPr>
          <w:lang w:val="ru-RU"/>
        </w:rPr>
      </w:pPr>
      <w:r w:rsidRPr="00E556CD">
        <w:rPr>
          <w:lang w:val="ru-RU"/>
        </w:rPr>
        <w:t>Ознакомление с информацией об исследование и подписание формы информированного согласия;</w:t>
      </w:r>
    </w:p>
    <w:p w14:paraId="309CFE30" w14:textId="77777777" w:rsidR="00E556CD" w:rsidRDefault="00E556CD" w:rsidP="007B46F5">
      <w:pPr>
        <w:pStyle w:val="ListParagraph"/>
        <w:numPr>
          <w:ilvl w:val="0"/>
          <w:numId w:val="55"/>
        </w:numPr>
        <w:suppressAutoHyphens w:val="0"/>
        <w:autoSpaceDN/>
        <w:spacing w:line="240" w:lineRule="auto"/>
        <w:contextualSpacing/>
        <w:textAlignment w:val="auto"/>
      </w:pPr>
      <w:r>
        <w:t>Сбор жалоб;</w:t>
      </w:r>
    </w:p>
    <w:p w14:paraId="11D03781" w14:textId="77777777" w:rsidR="00E556CD" w:rsidRPr="00E556CD" w:rsidRDefault="00E556CD" w:rsidP="007B46F5">
      <w:pPr>
        <w:pStyle w:val="ListParagraph"/>
        <w:numPr>
          <w:ilvl w:val="0"/>
          <w:numId w:val="55"/>
        </w:numPr>
        <w:suppressAutoHyphens w:val="0"/>
        <w:autoSpaceDN/>
        <w:spacing w:line="240" w:lineRule="auto"/>
        <w:contextualSpacing/>
        <w:textAlignment w:val="auto"/>
        <w:rPr>
          <w:lang w:val="ru-RU"/>
        </w:rPr>
      </w:pPr>
      <w:r w:rsidRPr="00E556CD">
        <w:rPr>
          <w:lang w:val="ru-RU"/>
        </w:rPr>
        <w:t>Сбор анамнестических, демографических и антропометрических (масса тела, рост) данных;</w:t>
      </w:r>
    </w:p>
    <w:p w14:paraId="7BEE0EF3" w14:textId="77777777" w:rsidR="00E556CD" w:rsidRDefault="00E556CD" w:rsidP="007B46F5">
      <w:pPr>
        <w:pStyle w:val="ListParagraph"/>
        <w:numPr>
          <w:ilvl w:val="0"/>
          <w:numId w:val="55"/>
        </w:numPr>
        <w:suppressAutoHyphens w:val="0"/>
        <w:autoSpaceDN/>
        <w:spacing w:line="240" w:lineRule="auto"/>
        <w:contextualSpacing/>
        <w:textAlignment w:val="auto"/>
      </w:pPr>
      <w:r>
        <w:t>Оценка статуса курения;</w:t>
      </w:r>
    </w:p>
    <w:p w14:paraId="76C07E3B" w14:textId="77777777" w:rsidR="00E556CD" w:rsidRDefault="00E556CD" w:rsidP="007B46F5">
      <w:pPr>
        <w:pStyle w:val="ListParagraph"/>
        <w:numPr>
          <w:ilvl w:val="0"/>
          <w:numId w:val="55"/>
        </w:numPr>
        <w:suppressAutoHyphens w:val="0"/>
        <w:autoSpaceDN/>
        <w:spacing w:line="240" w:lineRule="auto"/>
        <w:contextualSpacing/>
        <w:textAlignment w:val="auto"/>
      </w:pPr>
      <w:r>
        <w:t>Регистрация сопутствующей терапии;</w:t>
      </w:r>
    </w:p>
    <w:p w14:paraId="51B7844F" w14:textId="77777777" w:rsidR="00E556CD" w:rsidRDefault="00E556CD" w:rsidP="007B46F5">
      <w:pPr>
        <w:pStyle w:val="ListParagraph"/>
        <w:numPr>
          <w:ilvl w:val="0"/>
          <w:numId w:val="55"/>
        </w:numPr>
        <w:suppressAutoHyphens w:val="0"/>
        <w:autoSpaceDN/>
        <w:spacing w:line="240" w:lineRule="auto"/>
        <w:contextualSpacing/>
        <w:textAlignment w:val="auto"/>
      </w:pPr>
      <w:r>
        <w:t>Физикальный осмотр;</w:t>
      </w:r>
    </w:p>
    <w:p w14:paraId="085BB3AD" w14:textId="77777777" w:rsidR="00E556CD" w:rsidRDefault="00E556CD" w:rsidP="007B46F5">
      <w:pPr>
        <w:pStyle w:val="ListParagraph"/>
        <w:numPr>
          <w:ilvl w:val="0"/>
          <w:numId w:val="55"/>
        </w:numPr>
        <w:suppressAutoHyphens w:val="0"/>
        <w:autoSpaceDN/>
        <w:spacing w:line="240" w:lineRule="auto"/>
        <w:contextualSpacing/>
        <w:textAlignment w:val="auto"/>
      </w:pPr>
      <w:r>
        <w:t>Оценка статуса по ECOG;</w:t>
      </w:r>
    </w:p>
    <w:p w14:paraId="4108B9AE" w14:textId="77777777" w:rsidR="00E556CD" w:rsidRPr="00E556CD" w:rsidRDefault="00E556CD" w:rsidP="007B46F5">
      <w:pPr>
        <w:pStyle w:val="ListParagraph"/>
        <w:numPr>
          <w:ilvl w:val="0"/>
          <w:numId w:val="55"/>
        </w:numPr>
        <w:suppressAutoHyphens w:val="0"/>
        <w:autoSpaceDN/>
        <w:spacing w:line="240" w:lineRule="auto"/>
        <w:contextualSpacing/>
        <w:textAlignment w:val="auto"/>
        <w:rPr>
          <w:lang w:val="ru-RU"/>
        </w:rPr>
      </w:pPr>
      <w:r w:rsidRPr="00E556CD">
        <w:rPr>
          <w:lang w:val="ru-RU"/>
        </w:rPr>
        <w:t>Оценка жизненно важных показателей (артериальное давление [АД], частота сердечных сокращений [ЧСС], частота дыхательных движений [ЧДД], температура тела);</w:t>
      </w:r>
    </w:p>
    <w:p w14:paraId="06C82D25" w14:textId="77777777" w:rsidR="00E556CD" w:rsidRDefault="00E556CD" w:rsidP="007B46F5">
      <w:pPr>
        <w:pStyle w:val="ListParagraph"/>
        <w:numPr>
          <w:ilvl w:val="0"/>
          <w:numId w:val="55"/>
        </w:numPr>
        <w:suppressAutoHyphens w:val="0"/>
        <w:autoSpaceDN/>
        <w:spacing w:line="240" w:lineRule="auto"/>
        <w:contextualSpacing/>
        <w:textAlignment w:val="auto"/>
      </w:pPr>
      <w:r>
        <w:t>Клинический анализ крови;</w:t>
      </w:r>
    </w:p>
    <w:p w14:paraId="48788B41" w14:textId="77777777" w:rsidR="00E556CD" w:rsidRPr="00E556CD" w:rsidRDefault="00E556CD" w:rsidP="007B46F5">
      <w:pPr>
        <w:pStyle w:val="ListParagraph"/>
        <w:numPr>
          <w:ilvl w:val="0"/>
          <w:numId w:val="55"/>
        </w:numPr>
        <w:suppressAutoHyphens w:val="0"/>
        <w:autoSpaceDN/>
        <w:spacing w:line="240" w:lineRule="auto"/>
        <w:contextualSpacing/>
        <w:textAlignment w:val="auto"/>
        <w:rPr>
          <w:lang w:val="ru-RU"/>
        </w:rPr>
      </w:pPr>
      <w:r w:rsidRPr="00E556CD">
        <w:rPr>
          <w:lang w:val="ru-RU"/>
        </w:rPr>
        <w:t>Биохимический анализ крови (аланинаминотрансфераза [АЛТ], аспартатаминотрансфераза [АСТ], билирубин, щелочная фосфатаза [ЩФ], общий белок, альбумин, глюкоза, мочевина, креатинин);</w:t>
      </w:r>
    </w:p>
    <w:p w14:paraId="538319E6" w14:textId="77777777" w:rsidR="00E556CD" w:rsidRPr="00E556CD" w:rsidRDefault="00E556CD" w:rsidP="007B46F5">
      <w:pPr>
        <w:pStyle w:val="ListParagraph"/>
        <w:numPr>
          <w:ilvl w:val="0"/>
          <w:numId w:val="55"/>
        </w:numPr>
        <w:suppressAutoHyphens w:val="0"/>
        <w:autoSpaceDN/>
        <w:spacing w:line="240" w:lineRule="auto"/>
        <w:contextualSpacing/>
        <w:textAlignment w:val="auto"/>
        <w:rPr>
          <w:lang w:val="ru-RU"/>
        </w:rPr>
      </w:pPr>
      <w:r w:rsidRPr="00E556CD">
        <w:rPr>
          <w:lang w:val="ru-RU"/>
        </w:rPr>
        <w:t>Коагулограмма (Активированное частичное тромбопластиновое время (АЧТВ), протромбиновое время (ПВ), фибриноген, международное нормализованное отношение (МНО));</w:t>
      </w:r>
    </w:p>
    <w:p w14:paraId="67856BDD" w14:textId="77777777" w:rsidR="00E556CD" w:rsidRPr="00E556CD" w:rsidRDefault="00E556CD" w:rsidP="007B46F5">
      <w:pPr>
        <w:pStyle w:val="ListParagraph"/>
        <w:numPr>
          <w:ilvl w:val="0"/>
          <w:numId w:val="55"/>
        </w:numPr>
        <w:suppressAutoHyphens w:val="0"/>
        <w:autoSpaceDN/>
        <w:spacing w:line="240" w:lineRule="auto"/>
        <w:contextualSpacing/>
        <w:textAlignment w:val="auto"/>
        <w:rPr>
          <w:lang w:val="ru-RU"/>
        </w:rPr>
      </w:pPr>
      <w:r w:rsidRPr="00E556CD">
        <w:rPr>
          <w:lang w:val="ru-RU"/>
        </w:rPr>
        <w:t xml:space="preserve">Поверхностный антиген вируса гепатита </w:t>
      </w:r>
      <w:r>
        <w:t>B</w:t>
      </w:r>
      <w:r w:rsidRPr="00E556CD">
        <w:rPr>
          <w:lang w:val="ru-RU"/>
        </w:rPr>
        <w:t xml:space="preserve"> (</w:t>
      </w:r>
      <w:r>
        <w:t>hepatitis</w:t>
      </w:r>
      <w:r w:rsidRPr="00E556CD">
        <w:rPr>
          <w:lang w:val="ru-RU"/>
        </w:rPr>
        <w:t xml:space="preserve"> В </w:t>
      </w:r>
      <w:r>
        <w:t>surface</w:t>
      </w:r>
      <w:r w:rsidRPr="00E556CD">
        <w:rPr>
          <w:lang w:val="ru-RU"/>
        </w:rPr>
        <w:t xml:space="preserve"> </w:t>
      </w:r>
      <w:r>
        <w:t>antigen</w:t>
      </w:r>
      <w:r w:rsidRPr="00E556CD">
        <w:rPr>
          <w:lang w:val="ru-RU"/>
        </w:rPr>
        <w:t xml:space="preserve">, </w:t>
      </w:r>
      <w:r>
        <w:t>HBs</w:t>
      </w:r>
      <w:r w:rsidRPr="00E556CD">
        <w:rPr>
          <w:lang w:val="ru-RU"/>
        </w:rPr>
        <w:t>-</w:t>
      </w:r>
      <w:r>
        <w:t>Ag</w:t>
      </w:r>
      <w:r w:rsidRPr="00E556CD">
        <w:rPr>
          <w:lang w:val="ru-RU"/>
        </w:rPr>
        <w:t xml:space="preserve">), антитела к антигенам вируса гепатита </w:t>
      </w:r>
      <w:r>
        <w:t>C</w:t>
      </w:r>
      <w:r w:rsidRPr="00E556CD">
        <w:rPr>
          <w:lang w:val="ru-RU"/>
        </w:rPr>
        <w:t xml:space="preserve"> (антитела к </w:t>
      </w:r>
      <w:r>
        <w:t>hep</w:t>
      </w:r>
      <w:r w:rsidRPr="00E556CD">
        <w:rPr>
          <w:lang w:val="ru-RU"/>
        </w:rPr>
        <w:t>а</w:t>
      </w:r>
      <w:r>
        <w:t>titis</w:t>
      </w:r>
      <w:r w:rsidRPr="00E556CD">
        <w:rPr>
          <w:lang w:val="ru-RU"/>
        </w:rPr>
        <w:t xml:space="preserve"> </w:t>
      </w:r>
      <w:r>
        <w:t>C</w:t>
      </w:r>
      <w:r w:rsidRPr="00E556CD">
        <w:rPr>
          <w:lang w:val="ru-RU"/>
        </w:rPr>
        <w:t xml:space="preserve"> </w:t>
      </w:r>
      <w:r>
        <w:t>virus</w:t>
      </w:r>
      <w:r w:rsidRPr="00E556CD">
        <w:rPr>
          <w:lang w:val="ru-RU"/>
        </w:rPr>
        <w:t>, анти-</w:t>
      </w:r>
      <w:r>
        <w:t>HCV</w:t>
      </w:r>
      <w:r w:rsidRPr="00E556CD">
        <w:rPr>
          <w:lang w:val="ru-RU"/>
        </w:rPr>
        <w:t>), антитела к антигенам вируса иммунодефицита человека (анти-ВИЧ), анализ на сифилис. Возможен учет результатов исследований, выполненных в течение 60 дней до визита скрининга;</w:t>
      </w:r>
    </w:p>
    <w:p w14:paraId="0487D8ED" w14:textId="77777777" w:rsidR="00E556CD" w:rsidRDefault="00E556CD" w:rsidP="007B46F5">
      <w:pPr>
        <w:pStyle w:val="ListParagraph"/>
        <w:numPr>
          <w:ilvl w:val="0"/>
          <w:numId w:val="55"/>
        </w:numPr>
        <w:suppressAutoHyphens w:val="0"/>
        <w:autoSpaceDN/>
        <w:spacing w:line="240" w:lineRule="auto"/>
        <w:contextualSpacing/>
        <w:textAlignment w:val="auto"/>
      </w:pPr>
      <w:r>
        <w:t>Общий анализ мочи;</w:t>
      </w:r>
    </w:p>
    <w:p w14:paraId="6A99B531" w14:textId="77777777" w:rsidR="00E556CD" w:rsidRPr="00E556CD" w:rsidRDefault="00E556CD" w:rsidP="007B46F5">
      <w:pPr>
        <w:pStyle w:val="ListParagraph"/>
        <w:numPr>
          <w:ilvl w:val="0"/>
          <w:numId w:val="55"/>
        </w:numPr>
        <w:suppressAutoHyphens w:val="0"/>
        <w:autoSpaceDN/>
        <w:spacing w:line="240" w:lineRule="auto"/>
        <w:contextualSpacing/>
        <w:textAlignment w:val="auto"/>
        <w:rPr>
          <w:lang w:val="ru-RU"/>
        </w:rPr>
      </w:pPr>
      <w:r w:rsidRPr="00E556CD">
        <w:rPr>
          <w:lang w:val="ru-RU"/>
        </w:rPr>
        <w:t>Тест на беременность (для женщин детородного возраста с сохраненным репродуктивным потенциалом);</w:t>
      </w:r>
    </w:p>
    <w:p w14:paraId="25C90260" w14:textId="77777777" w:rsidR="00E556CD" w:rsidRDefault="00E556CD" w:rsidP="007B46F5">
      <w:pPr>
        <w:pStyle w:val="ListParagraph"/>
        <w:numPr>
          <w:ilvl w:val="0"/>
          <w:numId w:val="55"/>
        </w:numPr>
        <w:suppressAutoHyphens w:val="0"/>
        <w:autoSpaceDN/>
        <w:spacing w:line="240" w:lineRule="auto"/>
        <w:contextualSpacing/>
        <w:textAlignment w:val="auto"/>
      </w:pPr>
      <w:r>
        <w:t>Электрокардиография (ЭКГ);</w:t>
      </w:r>
    </w:p>
    <w:p w14:paraId="2B6CF418" w14:textId="77777777" w:rsidR="00E556CD" w:rsidRPr="00E556CD" w:rsidRDefault="00E556CD" w:rsidP="007B46F5">
      <w:pPr>
        <w:pStyle w:val="ListParagraph"/>
        <w:numPr>
          <w:ilvl w:val="0"/>
          <w:numId w:val="55"/>
        </w:numPr>
        <w:suppressAutoHyphens w:val="0"/>
        <w:autoSpaceDN/>
        <w:spacing w:line="240" w:lineRule="auto"/>
        <w:contextualSpacing/>
        <w:textAlignment w:val="auto"/>
        <w:rPr>
          <w:lang w:val="ru-RU"/>
        </w:rPr>
      </w:pPr>
      <w:r w:rsidRPr="00E556CD">
        <w:rPr>
          <w:lang w:val="ru-RU"/>
        </w:rPr>
        <w:t>Исходная оценка очагов с определением целевых (для последующей количественной оценки) и нецелевых (для последующей качественной оценки) поражений: для оценки могут использоваться данные результатов следующих исследований, выполненных в течение 28 дней до скрининга или в период скрининга:  компьютерная томография (КТ) органов грудной клетки и брюшной полости  (с контрастированием) + КТ (с контрастированием) или магнитно-резонансная томография (МРТ) (с контрастированием) всех применимых областей с первичной опухолью и ранее выявленными метастазами или при подозрении на метастазы: головы, шеи, органов брюшной полости и малого таза, и т.д.;</w:t>
      </w:r>
    </w:p>
    <w:p w14:paraId="0DDD00AF" w14:textId="77777777" w:rsidR="00E556CD" w:rsidRPr="00E556CD" w:rsidRDefault="00E556CD" w:rsidP="007B46F5">
      <w:pPr>
        <w:pStyle w:val="ListParagraph"/>
        <w:numPr>
          <w:ilvl w:val="0"/>
          <w:numId w:val="55"/>
        </w:numPr>
        <w:suppressAutoHyphens w:val="0"/>
        <w:autoSpaceDN/>
        <w:spacing w:line="240" w:lineRule="auto"/>
        <w:contextualSpacing/>
        <w:textAlignment w:val="auto"/>
        <w:rPr>
          <w:lang w:val="ru-RU"/>
        </w:rPr>
      </w:pPr>
      <w:r w:rsidRPr="00E556CD">
        <w:rPr>
          <w:lang w:val="ru-RU"/>
        </w:rPr>
        <w:t>Биопсия первичной опухоли или метастаза (в зависимости от того, что доступнее) для анализа на наличие мутаций, определяющих чувствительность опухоли к таргетной терапии (определение мутаций осуществляется по назначению врача-исследователя), если анализ на указанные мутации не выполнен ранее;</w:t>
      </w:r>
    </w:p>
    <w:p w14:paraId="726FE362" w14:textId="77777777" w:rsidR="00E556CD" w:rsidRPr="00E556CD" w:rsidRDefault="00E556CD" w:rsidP="007B46F5">
      <w:pPr>
        <w:pStyle w:val="ListParagraph"/>
        <w:numPr>
          <w:ilvl w:val="0"/>
          <w:numId w:val="55"/>
        </w:numPr>
        <w:suppressAutoHyphens w:val="0"/>
        <w:autoSpaceDN/>
        <w:spacing w:line="240" w:lineRule="auto"/>
        <w:contextualSpacing/>
        <w:textAlignment w:val="auto"/>
        <w:rPr>
          <w:lang w:val="ru-RU"/>
        </w:rPr>
      </w:pPr>
      <w:r w:rsidRPr="00E556CD">
        <w:rPr>
          <w:lang w:val="ru-RU"/>
        </w:rPr>
        <w:t>При наличии анамнеза эрозивно-язвенных поражений желудочно-кишечного тракта (ЖКТ) или наличия значимых жалоб/симптомов, предполагающих такое поражение (в случае если подобное исследование не выполнено в течение 28 дней до скрининга) - эзофагогастродуоденоскопия (ЭГДС) и колоноскопия;</w:t>
      </w:r>
    </w:p>
    <w:p w14:paraId="49730E14" w14:textId="77777777" w:rsidR="00E556CD" w:rsidRDefault="00E556CD" w:rsidP="007B46F5">
      <w:pPr>
        <w:pStyle w:val="ListParagraph"/>
        <w:numPr>
          <w:ilvl w:val="0"/>
          <w:numId w:val="55"/>
        </w:numPr>
        <w:suppressAutoHyphens w:val="0"/>
        <w:autoSpaceDN/>
        <w:spacing w:line="240" w:lineRule="auto"/>
        <w:contextualSpacing/>
        <w:textAlignment w:val="auto"/>
      </w:pPr>
      <w:r>
        <w:t>Оценка критериев включения/невключения;</w:t>
      </w:r>
    </w:p>
    <w:p w14:paraId="5DEFE942" w14:textId="77777777" w:rsidR="00E556CD" w:rsidRPr="00E556CD" w:rsidRDefault="00E556CD" w:rsidP="007B46F5">
      <w:pPr>
        <w:pStyle w:val="ListParagraph"/>
        <w:numPr>
          <w:ilvl w:val="0"/>
          <w:numId w:val="55"/>
        </w:numPr>
        <w:suppressAutoHyphens w:val="0"/>
        <w:autoSpaceDN/>
        <w:spacing w:line="240" w:lineRule="auto"/>
        <w:contextualSpacing/>
        <w:textAlignment w:val="auto"/>
        <w:rPr>
          <w:lang w:val="ru-RU"/>
        </w:rPr>
      </w:pPr>
      <w:r w:rsidRPr="00E556CD">
        <w:rPr>
          <w:lang w:val="ru-RU"/>
        </w:rPr>
        <w:t>Оценка серьезных нежелательных явлений (СНЯ), связанных с процедурами исследования.</w:t>
      </w:r>
    </w:p>
    <w:p w14:paraId="57D47A91" w14:textId="77777777" w:rsidR="00E556CD" w:rsidRDefault="00E556CD" w:rsidP="007B46F5">
      <w:pPr>
        <w:contextualSpacing/>
        <w:jc w:val="both"/>
      </w:pPr>
    </w:p>
    <w:p w14:paraId="0D6EF49B" w14:textId="77777777" w:rsidR="00E556CD" w:rsidRPr="00CB5A63" w:rsidRDefault="00E556CD" w:rsidP="007B46F5">
      <w:pPr>
        <w:contextualSpacing/>
        <w:jc w:val="both"/>
        <w:rPr>
          <w:b/>
        </w:rPr>
      </w:pPr>
      <w:r w:rsidRPr="00CB5A63">
        <w:rPr>
          <w:b/>
        </w:rPr>
        <w:t>Основная часть исследования</w:t>
      </w:r>
    </w:p>
    <w:p w14:paraId="74AA8F4F" w14:textId="77777777" w:rsidR="00E556CD" w:rsidRDefault="00E556CD" w:rsidP="007B46F5">
      <w:pPr>
        <w:contextualSpacing/>
        <w:jc w:val="both"/>
      </w:pPr>
    </w:p>
    <w:p w14:paraId="4E48C1F5" w14:textId="77777777" w:rsidR="00E556CD" w:rsidRDefault="00E556CD" w:rsidP="007B46F5">
      <w:pPr>
        <w:contextualSpacing/>
        <w:jc w:val="both"/>
        <w:rPr>
          <w:b/>
        </w:rPr>
      </w:pPr>
      <w:r w:rsidRPr="00CB5A63">
        <w:rPr>
          <w:b/>
        </w:rPr>
        <w:t>Визит 1 (рандомизация), день 1, неделя 1 (цикл 1):</w:t>
      </w:r>
    </w:p>
    <w:p w14:paraId="5845C25F" w14:textId="77777777" w:rsidR="00E556CD" w:rsidRPr="00CB5A63" w:rsidRDefault="00E556CD" w:rsidP="007B46F5">
      <w:pPr>
        <w:contextualSpacing/>
        <w:jc w:val="both"/>
        <w:rPr>
          <w:b/>
        </w:rPr>
      </w:pPr>
    </w:p>
    <w:p w14:paraId="073EA5B6" w14:textId="77777777" w:rsidR="00E556CD" w:rsidRDefault="00E556CD" w:rsidP="007B46F5">
      <w:pPr>
        <w:ind w:firstLine="708"/>
        <w:contextualSpacing/>
        <w:jc w:val="both"/>
      </w:pPr>
      <w:r>
        <w:t>Обследование и лечение пациентов в рамках каждого цикла может быть проведено в ходе госпитализации, в формате дневного стационара или амбулаторно (в соответствии в принятой практикой в клиническом центре). Перечень проводимых процедур исследования:</w:t>
      </w:r>
    </w:p>
    <w:p w14:paraId="0967D983" w14:textId="77777777" w:rsidR="00E556CD" w:rsidRDefault="00E556CD" w:rsidP="007B46F5">
      <w:pPr>
        <w:pStyle w:val="ListParagraph"/>
        <w:numPr>
          <w:ilvl w:val="0"/>
          <w:numId w:val="55"/>
        </w:numPr>
        <w:suppressAutoHyphens w:val="0"/>
        <w:autoSpaceDN/>
        <w:spacing w:line="240" w:lineRule="auto"/>
        <w:contextualSpacing/>
        <w:textAlignment w:val="auto"/>
      </w:pPr>
      <w:r>
        <w:t>Сбор жалоб;</w:t>
      </w:r>
    </w:p>
    <w:p w14:paraId="70103860" w14:textId="77777777" w:rsidR="00E556CD" w:rsidRDefault="00E556CD" w:rsidP="007B46F5">
      <w:pPr>
        <w:pStyle w:val="ListParagraph"/>
        <w:numPr>
          <w:ilvl w:val="0"/>
          <w:numId w:val="55"/>
        </w:numPr>
        <w:suppressAutoHyphens w:val="0"/>
        <w:autoSpaceDN/>
        <w:spacing w:line="240" w:lineRule="auto"/>
        <w:contextualSpacing/>
        <w:textAlignment w:val="auto"/>
      </w:pPr>
      <w:r>
        <w:t>Регистрация сопутствующей терапии;</w:t>
      </w:r>
    </w:p>
    <w:p w14:paraId="394FA726" w14:textId="77777777" w:rsidR="00E556CD" w:rsidRDefault="00E556CD" w:rsidP="007B46F5">
      <w:pPr>
        <w:pStyle w:val="ListParagraph"/>
        <w:numPr>
          <w:ilvl w:val="0"/>
          <w:numId w:val="55"/>
        </w:numPr>
        <w:suppressAutoHyphens w:val="0"/>
        <w:autoSpaceDN/>
        <w:spacing w:line="240" w:lineRule="auto"/>
        <w:contextualSpacing/>
        <w:textAlignment w:val="auto"/>
      </w:pPr>
      <w:r>
        <w:t>Физикальный осмотр;</w:t>
      </w:r>
    </w:p>
    <w:p w14:paraId="3FCC226A" w14:textId="77777777" w:rsidR="00E556CD" w:rsidRDefault="00E556CD" w:rsidP="007B46F5">
      <w:pPr>
        <w:pStyle w:val="ListParagraph"/>
        <w:numPr>
          <w:ilvl w:val="0"/>
          <w:numId w:val="55"/>
        </w:numPr>
        <w:suppressAutoHyphens w:val="0"/>
        <w:autoSpaceDN/>
        <w:spacing w:line="240" w:lineRule="auto"/>
        <w:contextualSpacing/>
        <w:textAlignment w:val="auto"/>
      </w:pPr>
      <w:r>
        <w:t>Оценка статуса по ECOG;</w:t>
      </w:r>
    </w:p>
    <w:p w14:paraId="15510C89" w14:textId="77777777" w:rsidR="00E556CD" w:rsidRDefault="00E556CD" w:rsidP="007B46F5">
      <w:pPr>
        <w:pStyle w:val="ListParagraph"/>
        <w:numPr>
          <w:ilvl w:val="0"/>
          <w:numId w:val="55"/>
        </w:numPr>
        <w:suppressAutoHyphens w:val="0"/>
        <w:autoSpaceDN/>
        <w:spacing w:line="240" w:lineRule="auto"/>
        <w:contextualSpacing/>
        <w:textAlignment w:val="auto"/>
      </w:pPr>
      <w:r>
        <w:t>Измерение массы тела;</w:t>
      </w:r>
    </w:p>
    <w:p w14:paraId="615A96F2" w14:textId="77777777" w:rsidR="00E556CD" w:rsidRPr="00E556CD" w:rsidRDefault="00E556CD" w:rsidP="007B46F5">
      <w:pPr>
        <w:pStyle w:val="ListParagraph"/>
        <w:numPr>
          <w:ilvl w:val="0"/>
          <w:numId w:val="55"/>
        </w:numPr>
        <w:suppressAutoHyphens w:val="0"/>
        <w:autoSpaceDN/>
        <w:spacing w:line="240" w:lineRule="auto"/>
        <w:contextualSpacing/>
        <w:textAlignment w:val="auto"/>
        <w:rPr>
          <w:lang w:val="ru-RU"/>
        </w:rPr>
      </w:pPr>
      <w:r w:rsidRPr="00E556CD">
        <w:rPr>
          <w:lang w:val="ru-RU"/>
        </w:rPr>
        <w:t>Оценка жизненно важных показателей (АД, ЧСС, ЧДД, температура тела);</w:t>
      </w:r>
    </w:p>
    <w:p w14:paraId="6B5D9E13" w14:textId="77777777" w:rsidR="00E556CD" w:rsidRPr="00E556CD" w:rsidRDefault="00E556CD" w:rsidP="007B46F5">
      <w:pPr>
        <w:pStyle w:val="ListParagraph"/>
        <w:numPr>
          <w:ilvl w:val="0"/>
          <w:numId w:val="55"/>
        </w:numPr>
        <w:suppressAutoHyphens w:val="0"/>
        <w:autoSpaceDN/>
        <w:spacing w:line="240" w:lineRule="auto"/>
        <w:contextualSpacing/>
        <w:textAlignment w:val="auto"/>
        <w:rPr>
          <w:lang w:val="ru-RU"/>
        </w:rPr>
      </w:pPr>
      <w:r w:rsidRPr="00E556CD">
        <w:rPr>
          <w:lang w:val="ru-RU"/>
        </w:rPr>
        <w:t>Следующие обследования необходимо повторить на рандомизации только в том случае, если с момента предыдущего обследования (в ходе скрининга) прошло более 7 дней:</w:t>
      </w:r>
    </w:p>
    <w:p w14:paraId="018628C8" w14:textId="77777777" w:rsidR="00E556CD" w:rsidRDefault="00E556CD" w:rsidP="007B46F5">
      <w:pPr>
        <w:pStyle w:val="ListParagraph"/>
        <w:numPr>
          <w:ilvl w:val="0"/>
          <w:numId w:val="57"/>
        </w:numPr>
        <w:suppressAutoHyphens w:val="0"/>
        <w:autoSpaceDN/>
        <w:spacing w:line="240" w:lineRule="auto"/>
        <w:ind w:left="1560" w:hanging="284"/>
        <w:contextualSpacing/>
        <w:textAlignment w:val="auto"/>
      </w:pPr>
      <w:r>
        <w:t>Клинический анализ крови;</w:t>
      </w:r>
    </w:p>
    <w:p w14:paraId="12D72719" w14:textId="77777777" w:rsidR="00E556CD" w:rsidRPr="00E556CD" w:rsidRDefault="00E556CD" w:rsidP="007B46F5">
      <w:pPr>
        <w:pStyle w:val="ListParagraph"/>
        <w:numPr>
          <w:ilvl w:val="0"/>
          <w:numId w:val="57"/>
        </w:numPr>
        <w:suppressAutoHyphens w:val="0"/>
        <w:autoSpaceDN/>
        <w:spacing w:line="240" w:lineRule="auto"/>
        <w:ind w:left="1560" w:hanging="284"/>
        <w:contextualSpacing/>
        <w:textAlignment w:val="auto"/>
        <w:rPr>
          <w:lang w:val="ru-RU"/>
        </w:rPr>
      </w:pPr>
      <w:r w:rsidRPr="00E556CD">
        <w:rPr>
          <w:lang w:val="ru-RU"/>
        </w:rPr>
        <w:t>Биохимический анализ крови (АЛТ, АСТ, билирубин, ЩФ, общий белок, альбумин, глюкоза, мочевина, креатинин);</w:t>
      </w:r>
    </w:p>
    <w:p w14:paraId="6303A487" w14:textId="77777777" w:rsidR="00E556CD" w:rsidRDefault="00E556CD" w:rsidP="007B46F5">
      <w:pPr>
        <w:pStyle w:val="ListParagraph"/>
        <w:numPr>
          <w:ilvl w:val="0"/>
          <w:numId w:val="57"/>
        </w:numPr>
        <w:suppressAutoHyphens w:val="0"/>
        <w:autoSpaceDN/>
        <w:spacing w:line="240" w:lineRule="auto"/>
        <w:ind w:left="1560" w:hanging="284"/>
        <w:contextualSpacing/>
        <w:textAlignment w:val="auto"/>
      </w:pPr>
      <w:r>
        <w:t>Общий анализ мочи;</w:t>
      </w:r>
    </w:p>
    <w:p w14:paraId="1DCBA819" w14:textId="77777777" w:rsidR="00E556CD" w:rsidRDefault="00E556CD" w:rsidP="007B46F5">
      <w:pPr>
        <w:pStyle w:val="ListParagraph"/>
        <w:numPr>
          <w:ilvl w:val="0"/>
          <w:numId w:val="57"/>
        </w:numPr>
        <w:suppressAutoHyphens w:val="0"/>
        <w:autoSpaceDN/>
        <w:spacing w:line="240" w:lineRule="auto"/>
        <w:ind w:left="1560" w:hanging="284"/>
        <w:contextualSpacing/>
        <w:textAlignment w:val="auto"/>
      </w:pPr>
      <w:r>
        <w:t>ЭКГ;</w:t>
      </w:r>
    </w:p>
    <w:p w14:paraId="28FC892C" w14:textId="77777777" w:rsidR="00E556CD" w:rsidRPr="00E556CD" w:rsidRDefault="00E556CD" w:rsidP="007B46F5">
      <w:pPr>
        <w:pStyle w:val="ListParagraph"/>
        <w:numPr>
          <w:ilvl w:val="0"/>
          <w:numId w:val="56"/>
        </w:numPr>
        <w:suppressAutoHyphens w:val="0"/>
        <w:autoSpaceDN/>
        <w:spacing w:line="240" w:lineRule="auto"/>
        <w:contextualSpacing/>
        <w:textAlignment w:val="auto"/>
        <w:rPr>
          <w:lang w:val="ru-RU"/>
        </w:rPr>
      </w:pPr>
      <w:r w:rsidRPr="00E556CD">
        <w:rPr>
          <w:lang w:val="ru-RU"/>
        </w:rPr>
        <w:t>Оценка скорости клубочковой фильтрации (СКФ);</w:t>
      </w:r>
    </w:p>
    <w:p w14:paraId="7B271866" w14:textId="77777777" w:rsidR="00E556CD" w:rsidRPr="00E556CD" w:rsidRDefault="00E556CD" w:rsidP="007B46F5">
      <w:pPr>
        <w:pStyle w:val="ListParagraph"/>
        <w:numPr>
          <w:ilvl w:val="0"/>
          <w:numId w:val="56"/>
        </w:numPr>
        <w:suppressAutoHyphens w:val="0"/>
        <w:autoSpaceDN/>
        <w:spacing w:line="240" w:lineRule="auto"/>
        <w:contextualSpacing/>
        <w:textAlignment w:val="auto"/>
        <w:rPr>
          <w:lang w:val="ru-RU"/>
        </w:rPr>
      </w:pPr>
      <w:r w:rsidRPr="00E556CD">
        <w:rPr>
          <w:lang w:val="ru-RU"/>
        </w:rPr>
        <w:t>Анализ крови на уровень антител к бевацизумабу;</w:t>
      </w:r>
    </w:p>
    <w:p w14:paraId="25E002D5" w14:textId="77777777" w:rsidR="00E556CD" w:rsidRPr="00E556CD" w:rsidRDefault="00E556CD" w:rsidP="007B46F5">
      <w:pPr>
        <w:pStyle w:val="ListParagraph"/>
        <w:numPr>
          <w:ilvl w:val="0"/>
          <w:numId w:val="56"/>
        </w:numPr>
        <w:suppressAutoHyphens w:val="0"/>
        <w:autoSpaceDN/>
        <w:spacing w:line="240" w:lineRule="auto"/>
        <w:contextualSpacing/>
        <w:textAlignment w:val="auto"/>
        <w:rPr>
          <w:lang w:val="ru-RU"/>
        </w:rPr>
      </w:pPr>
      <w:r w:rsidRPr="00E556CD">
        <w:rPr>
          <w:lang w:val="ru-RU"/>
        </w:rPr>
        <w:t>Тест на беременность (для женщин детородного возраста с сохраненным репродуктивным потенциалом);</w:t>
      </w:r>
    </w:p>
    <w:p w14:paraId="1DD96FEF" w14:textId="77777777" w:rsidR="00E556CD" w:rsidRDefault="00E556CD" w:rsidP="007B46F5">
      <w:pPr>
        <w:pStyle w:val="ListParagraph"/>
        <w:numPr>
          <w:ilvl w:val="0"/>
          <w:numId w:val="56"/>
        </w:numPr>
        <w:suppressAutoHyphens w:val="0"/>
        <w:autoSpaceDN/>
        <w:spacing w:line="240" w:lineRule="auto"/>
        <w:contextualSpacing/>
        <w:textAlignment w:val="auto"/>
      </w:pPr>
      <w:r>
        <w:t>Оценка критериев включения/невключения;</w:t>
      </w:r>
    </w:p>
    <w:p w14:paraId="39A7F366" w14:textId="77777777" w:rsidR="00E556CD" w:rsidRPr="00E556CD" w:rsidRDefault="00E556CD" w:rsidP="007B46F5">
      <w:pPr>
        <w:pStyle w:val="ListParagraph"/>
        <w:numPr>
          <w:ilvl w:val="0"/>
          <w:numId w:val="56"/>
        </w:numPr>
        <w:suppressAutoHyphens w:val="0"/>
        <w:autoSpaceDN/>
        <w:spacing w:line="240" w:lineRule="auto"/>
        <w:contextualSpacing/>
        <w:textAlignment w:val="auto"/>
        <w:rPr>
          <w:lang w:val="ru-RU"/>
        </w:rPr>
      </w:pPr>
      <w:r w:rsidRPr="00E556CD">
        <w:rPr>
          <w:lang w:val="ru-RU"/>
        </w:rPr>
        <w:t>Рандомизация с использованием электронной системы (</w:t>
      </w:r>
      <w:r>
        <w:t>IWRS</w:t>
      </w:r>
      <w:r w:rsidRPr="00E556CD">
        <w:rPr>
          <w:lang w:val="ru-RU"/>
        </w:rPr>
        <w:t>) с распределением пациентов по группам терапии в соотношении 1:1 и стратификацией по характеру заболевания (впервые диагностированный или рецидивирующий неплоскоклеточный НМРЛ), полу и курению (группа высокого риска по курению: стаж курения 20 пачка/лет и более, продолжающие курить пациенты или пациенты, бросившие курить менее чем за 15 лет до визита рандомизации; группа низкого риска по курению: пациенты, которые никогда не курили или бросили курить более чем за 15 лет до визита рандомизации);</w:t>
      </w:r>
    </w:p>
    <w:p w14:paraId="7B316625" w14:textId="77777777" w:rsidR="00E556CD" w:rsidRPr="00E556CD" w:rsidRDefault="00E556CD" w:rsidP="007B46F5">
      <w:pPr>
        <w:pStyle w:val="ListParagraph"/>
        <w:numPr>
          <w:ilvl w:val="0"/>
          <w:numId w:val="56"/>
        </w:numPr>
        <w:suppressAutoHyphens w:val="0"/>
        <w:autoSpaceDN/>
        <w:spacing w:line="240" w:lineRule="auto"/>
        <w:contextualSpacing/>
        <w:textAlignment w:val="auto"/>
        <w:rPr>
          <w:lang w:val="ru-RU"/>
        </w:rPr>
      </w:pPr>
      <w:r w:rsidRPr="00E556CD">
        <w:rPr>
          <w:lang w:val="ru-RU"/>
        </w:rPr>
        <w:t>Первое введение препаратов химиотерапии и бевацизумаба (исследуемого препарата или препарата сравнения);</w:t>
      </w:r>
    </w:p>
    <w:p w14:paraId="31288E55" w14:textId="77777777" w:rsidR="00E556CD" w:rsidRPr="00E556CD" w:rsidRDefault="00E556CD" w:rsidP="007B46F5">
      <w:pPr>
        <w:pStyle w:val="ListParagraph"/>
        <w:numPr>
          <w:ilvl w:val="0"/>
          <w:numId w:val="56"/>
        </w:numPr>
        <w:suppressAutoHyphens w:val="0"/>
        <w:autoSpaceDN/>
        <w:spacing w:line="240" w:lineRule="auto"/>
        <w:contextualSpacing/>
        <w:textAlignment w:val="auto"/>
        <w:rPr>
          <w:lang w:val="ru-RU"/>
        </w:rPr>
      </w:pPr>
      <w:r w:rsidRPr="00E556CD">
        <w:rPr>
          <w:lang w:val="ru-RU"/>
        </w:rPr>
        <w:t>Оценка НЯ (с момента первого введения препарата) и СНЯ;</w:t>
      </w:r>
    </w:p>
    <w:p w14:paraId="7BE91423" w14:textId="77777777" w:rsidR="00E556CD" w:rsidRPr="00E556CD" w:rsidRDefault="00E556CD" w:rsidP="007B46F5">
      <w:pPr>
        <w:pStyle w:val="ListParagraph"/>
        <w:numPr>
          <w:ilvl w:val="0"/>
          <w:numId w:val="56"/>
        </w:numPr>
        <w:suppressAutoHyphens w:val="0"/>
        <w:autoSpaceDN/>
        <w:spacing w:line="240" w:lineRule="auto"/>
        <w:contextualSpacing/>
        <w:textAlignment w:val="auto"/>
        <w:rPr>
          <w:lang w:val="ru-RU"/>
        </w:rPr>
      </w:pPr>
      <w:r w:rsidRPr="00E556CD">
        <w:rPr>
          <w:lang w:val="ru-RU"/>
        </w:rPr>
        <w:t>Оценка критериев исключения (с момента первого введения препарата).</w:t>
      </w:r>
    </w:p>
    <w:p w14:paraId="37B68AEF" w14:textId="77777777" w:rsidR="00E556CD" w:rsidRDefault="00E556CD" w:rsidP="007B46F5">
      <w:pPr>
        <w:contextualSpacing/>
        <w:jc w:val="both"/>
      </w:pPr>
    </w:p>
    <w:p w14:paraId="70FCD55A" w14:textId="77777777" w:rsidR="00E556CD" w:rsidRPr="00CB5A63" w:rsidRDefault="00E556CD" w:rsidP="007B46F5">
      <w:pPr>
        <w:contextualSpacing/>
        <w:jc w:val="both"/>
        <w:rPr>
          <w:b/>
        </w:rPr>
      </w:pPr>
      <w:r w:rsidRPr="00CB5A63">
        <w:rPr>
          <w:b/>
        </w:rPr>
        <w:t>Визит 2, день 22±4, неделя 4 (цикл 2):</w:t>
      </w:r>
    </w:p>
    <w:p w14:paraId="2E91D86E" w14:textId="77777777" w:rsidR="00E556CD" w:rsidRDefault="00E556CD" w:rsidP="007B46F5">
      <w:pPr>
        <w:contextualSpacing/>
        <w:jc w:val="both"/>
      </w:pPr>
    </w:p>
    <w:p w14:paraId="2C28BBD2" w14:textId="77777777" w:rsidR="00E556CD" w:rsidRDefault="00E556CD" w:rsidP="007B46F5">
      <w:pPr>
        <w:ind w:firstLine="708"/>
        <w:contextualSpacing/>
        <w:jc w:val="both"/>
      </w:pPr>
      <w:r>
        <w:t>Обследование и лечение пациентов в рамках каждого цикла может быть проведено в ходе госпитализации, в формате дневного стационара или амбулаторно (в соответствии в принятой практикой в клиническом центре). Перечень проводимых процедур исследования:</w:t>
      </w:r>
    </w:p>
    <w:p w14:paraId="31BA222F" w14:textId="77777777" w:rsidR="00E556CD" w:rsidRDefault="00E556CD" w:rsidP="007B46F5">
      <w:pPr>
        <w:pStyle w:val="ListParagraph"/>
        <w:numPr>
          <w:ilvl w:val="0"/>
          <w:numId w:val="54"/>
        </w:numPr>
        <w:suppressAutoHyphens w:val="0"/>
        <w:autoSpaceDN/>
        <w:spacing w:line="240" w:lineRule="auto"/>
        <w:contextualSpacing/>
        <w:textAlignment w:val="auto"/>
      </w:pPr>
      <w:r>
        <w:t>Сбор жалоб;</w:t>
      </w:r>
    </w:p>
    <w:p w14:paraId="4CBE3612" w14:textId="77777777" w:rsidR="00E556CD" w:rsidRDefault="00E556CD" w:rsidP="007B46F5">
      <w:pPr>
        <w:pStyle w:val="ListParagraph"/>
        <w:numPr>
          <w:ilvl w:val="0"/>
          <w:numId w:val="54"/>
        </w:numPr>
        <w:suppressAutoHyphens w:val="0"/>
        <w:autoSpaceDN/>
        <w:spacing w:line="240" w:lineRule="auto"/>
        <w:contextualSpacing/>
        <w:textAlignment w:val="auto"/>
      </w:pPr>
      <w:r>
        <w:t>Регистрация сопутствующей терапии;</w:t>
      </w:r>
    </w:p>
    <w:p w14:paraId="382D37F1" w14:textId="77777777" w:rsidR="00E556CD" w:rsidRDefault="00E556CD" w:rsidP="007B46F5">
      <w:pPr>
        <w:pStyle w:val="ListParagraph"/>
        <w:numPr>
          <w:ilvl w:val="0"/>
          <w:numId w:val="54"/>
        </w:numPr>
        <w:suppressAutoHyphens w:val="0"/>
        <w:autoSpaceDN/>
        <w:spacing w:line="240" w:lineRule="auto"/>
        <w:contextualSpacing/>
        <w:textAlignment w:val="auto"/>
      </w:pPr>
      <w:r>
        <w:t>Физикальный осмотр;</w:t>
      </w:r>
    </w:p>
    <w:p w14:paraId="39C7E581" w14:textId="77777777" w:rsidR="00E556CD" w:rsidRDefault="00E556CD" w:rsidP="007B46F5">
      <w:pPr>
        <w:pStyle w:val="ListParagraph"/>
        <w:numPr>
          <w:ilvl w:val="0"/>
          <w:numId w:val="54"/>
        </w:numPr>
        <w:suppressAutoHyphens w:val="0"/>
        <w:autoSpaceDN/>
        <w:spacing w:line="240" w:lineRule="auto"/>
        <w:contextualSpacing/>
        <w:textAlignment w:val="auto"/>
      </w:pPr>
      <w:r>
        <w:t>Оценка статуса по ECOG;</w:t>
      </w:r>
    </w:p>
    <w:p w14:paraId="44BC4E3E" w14:textId="77777777" w:rsidR="00E556CD" w:rsidRDefault="00E556CD" w:rsidP="007B46F5">
      <w:pPr>
        <w:pStyle w:val="ListParagraph"/>
        <w:numPr>
          <w:ilvl w:val="0"/>
          <w:numId w:val="54"/>
        </w:numPr>
        <w:suppressAutoHyphens w:val="0"/>
        <w:autoSpaceDN/>
        <w:spacing w:line="240" w:lineRule="auto"/>
        <w:contextualSpacing/>
        <w:textAlignment w:val="auto"/>
      </w:pPr>
      <w:r>
        <w:t>Измерение массы тела;</w:t>
      </w:r>
    </w:p>
    <w:p w14:paraId="07128C33" w14:textId="77777777" w:rsidR="00E556CD" w:rsidRPr="00E556CD" w:rsidRDefault="00E556CD" w:rsidP="007B46F5">
      <w:pPr>
        <w:pStyle w:val="ListParagraph"/>
        <w:numPr>
          <w:ilvl w:val="0"/>
          <w:numId w:val="54"/>
        </w:numPr>
        <w:suppressAutoHyphens w:val="0"/>
        <w:autoSpaceDN/>
        <w:spacing w:line="240" w:lineRule="auto"/>
        <w:contextualSpacing/>
        <w:textAlignment w:val="auto"/>
        <w:rPr>
          <w:lang w:val="ru-RU"/>
        </w:rPr>
      </w:pPr>
      <w:r w:rsidRPr="00E556CD">
        <w:rPr>
          <w:lang w:val="ru-RU"/>
        </w:rPr>
        <w:t>Оценка жизненно важных показателей (АД, ЧСС, ЧДД, температура тела);</w:t>
      </w:r>
    </w:p>
    <w:p w14:paraId="6D9934AD" w14:textId="77777777" w:rsidR="00E556CD" w:rsidRDefault="00E556CD" w:rsidP="007B46F5">
      <w:pPr>
        <w:pStyle w:val="ListParagraph"/>
        <w:numPr>
          <w:ilvl w:val="0"/>
          <w:numId w:val="54"/>
        </w:numPr>
        <w:suppressAutoHyphens w:val="0"/>
        <w:autoSpaceDN/>
        <w:spacing w:line="240" w:lineRule="auto"/>
        <w:contextualSpacing/>
        <w:textAlignment w:val="auto"/>
      </w:pPr>
      <w:r>
        <w:t>Клинический анализ крови;</w:t>
      </w:r>
    </w:p>
    <w:p w14:paraId="2986BADF" w14:textId="77777777" w:rsidR="00E556CD" w:rsidRPr="00E556CD" w:rsidRDefault="00E556CD" w:rsidP="007B46F5">
      <w:pPr>
        <w:pStyle w:val="ListParagraph"/>
        <w:numPr>
          <w:ilvl w:val="0"/>
          <w:numId w:val="54"/>
        </w:numPr>
        <w:suppressAutoHyphens w:val="0"/>
        <w:autoSpaceDN/>
        <w:spacing w:line="240" w:lineRule="auto"/>
        <w:contextualSpacing/>
        <w:textAlignment w:val="auto"/>
        <w:rPr>
          <w:lang w:val="ru-RU"/>
        </w:rPr>
      </w:pPr>
      <w:r w:rsidRPr="00E556CD">
        <w:rPr>
          <w:lang w:val="ru-RU"/>
        </w:rPr>
        <w:t>Биохимический анализ крови (АЛТ, АСТ, билирубин, ЩФ, общий белок, альбумин, глюкоза, мочевина, креатинин);</w:t>
      </w:r>
    </w:p>
    <w:p w14:paraId="30BBD7C0" w14:textId="77777777" w:rsidR="00E556CD" w:rsidRPr="00E556CD" w:rsidRDefault="00E556CD" w:rsidP="007B46F5">
      <w:pPr>
        <w:pStyle w:val="ListParagraph"/>
        <w:numPr>
          <w:ilvl w:val="0"/>
          <w:numId w:val="54"/>
        </w:numPr>
        <w:suppressAutoHyphens w:val="0"/>
        <w:autoSpaceDN/>
        <w:spacing w:line="240" w:lineRule="auto"/>
        <w:contextualSpacing/>
        <w:textAlignment w:val="auto"/>
        <w:rPr>
          <w:lang w:val="ru-RU"/>
        </w:rPr>
      </w:pPr>
      <w:r w:rsidRPr="00E556CD">
        <w:rPr>
          <w:lang w:val="ru-RU"/>
        </w:rPr>
        <w:t>Оценка СКФ для коррекции дозы карбоплатина;</w:t>
      </w:r>
    </w:p>
    <w:p w14:paraId="3150B951" w14:textId="77777777" w:rsidR="00E556CD" w:rsidRPr="00E556CD" w:rsidRDefault="00E556CD" w:rsidP="007B46F5">
      <w:pPr>
        <w:pStyle w:val="ListParagraph"/>
        <w:numPr>
          <w:ilvl w:val="0"/>
          <w:numId w:val="54"/>
        </w:numPr>
        <w:suppressAutoHyphens w:val="0"/>
        <w:autoSpaceDN/>
        <w:spacing w:line="240" w:lineRule="auto"/>
        <w:contextualSpacing/>
        <w:textAlignment w:val="auto"/>
        <w:rPr>
          <w:lang w:val="ru-RU"/>
        </w:rPr>
      </w:pPr>
      <w:r w:rsidRPr="00E556CD">
        <w:rPr>
          <w:lang w:val="ru-RU"/>
        </w:rPr>
        <w:t>Тест на беременность (для женщин детородного возраста с сохраненным репродуктивным потенциалом);</w:t>
      </w:r>
    </w:p>
    <w:p w14:paraId="00E226BB" w14:textId="77777777" w:rsidR="00E556CD" w:rsidRDefault="00E556CD" w:rsidP="007B46F5">
      <w:pPr>
        <w:pStyle w:val="ListParagraph"/>
        <w:numPr>
          <w:ilvl w:val="0"/>
          <w:numId w:val="54"/>
        </w:numPr>
        <w:suppressAutoHyphens w:val="0"/>
        <w:autoSpaceDN/>
        <w:spacing w:line="240" w:lineRule="auto"/>
        <w:contextualSpacing/>
        <w:textAlignment w:val="auto"/>
      </w:pPr>
      <w:r>
        <w:t>Общий анализ мочи;</w:t>
      </w:r>
    </w:p>
    <w:p w14:paraId="7EF4804A" w14:textId="77777777" w:rsidR="00E556CD" w:rsidRDefault="00E556CD" w:rsidP="007B46F5">
      <w:pPr>
        <w:pStyle w:val="ListParagraph"/>
        <w:numPr>
          <w:ilvl w:val="0"/>
          <w:numId w:val="54"/>
        </w:numPr>
        <w:suppressAutoHyphens w:val="0"/>
        <w:autoSpaceDN/>
        <w:spacing w:line="240" w:lineRule="auto"/>
        <w:contextualSpacing/>
        <w:textAlignment w:val="auto"/>
      </w:pPr>
      <w:r>
        <w:t>ЭКГ;</w:t>
      </w:r>
    </w:p>
    <w:p w14:paraId="04EA851C" w14:textId="77777777" w:rsidR="00E556CD" w:rsidRDefault="00E556CD" w:rsidP="007B46F5">
      <w:pPr>
        <w:pStyle w:val="ListParagraph"/>
        <w:numPr>
          <w:ilvl w:val="0"/>
          <w:numId w:val="54"/>
        </w:numPr>
        <w:suppressAutoHyphens w:val="0"/>
        <w:autoSpaceDN/>
        <w:spacing w:line="240" w:lineRule="auto"/>
        <w:contextualSpacing/>
        <w:textAlignment w:val="auto"/>
      </w:pPr>
      <w:r>
        <w:t>Оценка НЯ и СНЯ;</w:t>
      </w:r>
    </w:p>
    <w:p w14:paraId="34012351" w14:textId="77777777" w:rsidR="00E556CD" w:rsidRDefault="00E556CD" w:rsidP="007B46F5">
      <w:pPr>
        <w:pStyle w:val="ListParagraph"/>
        <w:numPr>
          <w:ilvl w:val="0"/>
          <w:numId w:val="54"/>
        </w:numPr>
        <w:suppressAutoHyphens w:val="0"/>
        <w:autoSpaceDN/>
        <w:spacing w:line="240" w:lineRule="auto"/>
        <w:contextualSpacing/>
        <w:textAlignment w:val="auto"/>
      </w:pPr>
      <w:r>
        <w:t>Оценка критериев исключения;</w:t>
      </w:r>
    </w:p>
    <w:p w14:paraId="2AB4B158" w14:textId="77777777" w:rsidR="00E556CD" w:rsidRPr="00E556CD" w:rsidRDefault="00E556CD" w:rsidP="007B46F5">
      <w:pPr>
        <w:pStyle w:val="ListParagraph"/>
        <w:numPr>
          <w:ilvl w:val="0"/>
          <w:numId w:val="54"/>
        </w:numPr>
        <w:suppressAutoHyphens w:val="0"/>
        <w:autoSpaceDN/>
        <w:spacing w:line="240" w:lineRule="auto"/>
        <w:contextualSpacing/>
        <w:textAlignment w:val="auto"/>
        <w:rPr>
          <w:lang w:val="ru-RU"/>
        </w:rPr>
      </w:pPr>
      <w:r w:rsidRPr="00E556CD">
        <w:rPr>
          <w:lang w:val="ru-RU"/>
        </w:rPr>
        <w:t>Если допустимо с учетом наличия и выраженности токсичности, второе введение препаратов химиотерапии и бевацизумаба.</w:t>
      </w:r>
    </w:p>
    <w:p w14:paraId="71044B6A" w14:textId="77777777" w:rsidR="00E556CD" w:rsidRDefault="00E556CD" w:rsidP="007B46F5">
      <w:pPr>
        <w:contextualSpacing/>
        <w:jc w:val="both"/>
      </w:pPr>
    </w:p>
    <w:p w14:paraId="4CCE2887" w14:textId="77777777" w:rsidR="00E556CD" w:rsidRPr="00CB5A63" w:rsidRDefault="00E556CD" w:rsidP="007B46F5">
      <w:pPr>
        <w:contextualSpacing/>
        <w:jc w:val="both"/>
        <w:rPr>
          <w:b/>
        </w:rPr>
      </w:pPr>
      <w:r w:rsidRPr="00CB5A63">
        <w:rPr>
          <w:b/>
        </w:rPr>
        <w:t>Визит 3, день 43±4, неделя 7 (цикл 3):</w:t>
      </w:r>
    </w:p>
    <w:p w14:paraId="1BF5A92C" w14:textId="77777777" w:rsidR="00E556CD" w:rsidRDefault="00E556CD" w:rsidP="007B46F5">
      <w:pPr>
        <w:contextualSpacing/>
        <w:jc w:val="both"/>
      </w:pPr>
    </w:p>
    <w:p w14:paraId="3A67C691" w14:textId="77777777" w:rsidR="00E556CD" w:rsidRDefault="00E556CD" w:rsidP="007B46F5">
      <w:pPr>
        <w:ind w:firstLine="708"/>
        <w:contextualSpacing/>
        <w:jc w:val="both"/>
      </w:pPr>
      <w:r>
        <w:t>Обследование и лечение пациентов в рамках каждого цикла может быть проведено в ходе госпитализации, в формате дневного стационара или амбулаторно (в соответствии в принятой практикой в клиническом центре). Перечень проводимых процедур исследования:</w:t>
      </w:r>
    </w:p>
    <w:p w14:paraId="3A396A63" w14:textId="77777777" w:rsidR="00E556CD" w:rsidRDefault="00E556CD" w:rsidP="007B46F5">
      <w:pPr>
        <w:pStyle w:val="ListParagraph"/>
        <w:numPr>
          <w:ilvl w:val="0"/>
          <w:numId w:val="54"/>
        </w:numPr>
        <w:suppressAutoHyphens w:val="0"/>
        <w:autoSpaceDN/>
        <w:spacing w:line="240" w:lineRule="auto"/>
        <w:contextualSpacing/>
        <w:textAlignment w:val="auto"/>
      </w:pPr>
      <w:r>
        <w:t>Сбор жалоб;</w:t>
      </w:r>
    </w:p>
    <w:p w14:paraId="47B33D45" w14:textId="77777777" w:rsidR="00E556CD" w:rsidRDefault="00E556CD" w:rsidP="007B46F5">
      <w:pPr>
        <w:pStyle w:val="ListParagraph"/>
        <w:numPr>
          <w:ilvl w:val="0"/>
          <w:numId w:val="54"/>
        </w:numPr>
        <w:suppressAutoHyphens w:val="0"/>
        <w:autoSpaceDN/>
        <w:spacing w:line="240" w:lineRule="auto"/>
        <w:contextualSpacing/>
        <w:textAlignment w:val="auto"/>
      </w:pPr>
      <w:r>
        <w:t>Регистрация сопутствующей терапии;</w:t>
      </w:r>
    </w:p>
    <w:p w14:paraId="424249B9" w14:textId="77777777" w:rsidR="00E556CD" w:rsidRDefault="00E556CD" w:rsidP="007B46F5">
      <w:pPr>
        <w:pStyle w:val="ListParagraph"/>
        <w:numPr>
          <w:ilvl w:val="0"/>
          <w:numId w:val="54"/>
        </w:numPr>
        <w:suppressAutoHyphens w:val="0"/>
        <w:autoSpaceDN/>
        <w:spacing w:line="240" w:lineRule="auto"/>
        <w:contextualSpacing/>
        <w:textAlignment w:val="auto"/>
      </w:pPr>
      <w:r>
        <w:t>Физикальный осмотр;</w:t>
      </w:r>
    </w:p>
    <w:p w14:paraId="041306E4" w14:textId="77777777" w:rsidR="00E556CD" w:rsidRDefault="00E556CD" w:rsidP="007B46F5">
      <w:pPr>
        <w:pStyle w:val="ListParagraph"/>
        <w:numPr>
          <w:ilvl w:val="0"/>
          <w:numId w:val="54"/>
        </w:numPr>
        <w:suppressAutoHyphens w:val="0"/>
        <w:autoSpaceDN/>
        <w:spacing w:line="240" w:lineRule="auto"/>
        <w:contextualSpacing/>
        <w:textAlignment w:val="auto"/>
      </w:pPr>
      <w:r>
        <w:t>Оценка статуса по ECOG;</w:t>
      </w:r>
    </w:p>
    <w:p w14:paraId="68FC13A5" w14:textId="77777777" w:rsidR="00E556CD" w:rsidRDefault="00E556CD" w:rsidP="007B46F5">
      <w:pPr>
        <w:pStyle w:val="ListParagraph"/>
        <w:numPr>
          <w:ilvl w:val="0"/>
          <w:numId w:val="54"/>
        </w:numPr>
        <w:suppressAutoHyphens w:val="0"/>
        <w:autoSpaceDN/>
        <w:spacing w:line="240" w:lineRule="auto"/>
        <w:contextualSpacing/>
        <w:textAlignment w:val="auto"/>
      </w:pPr>
      <w:r>
        <w:t>Измерение массы тела</w:t>
      </w:r>
    </w:p>
    <w:p w14:paraId="298A9156" w14:textId="77777777" w:rsidR="00E556CD" w:rsidRPr="00E556CD" w:rsidRDefault="00E556CD" w:rsidP="007B46F5">
      <w:pPr>
        <w:pStyle w:val="ListParagraph"/>
        <w:numPr>
          <w:ilvl w:val="0"/>
          <w:numId w:val="54"/>
        </w:numPr>
        <w:suppressAutoHyphens w:val="0"/>
        <w:autoSpaceDN/>
        <w:spacing w:line="240" w:lineRule="auto"/>
        <w:contextualSpacing/>
        <w:textAlignment w:val="auto"/>
        <w:rPr>
          <w:lang w:val="ru-RU"/>
        </w:rPr>
      </w:pPr>
      <w:r w:rsidRPr="00E556CD">
        <w:rPr>
          <w:lang w:val="ru-RU"/>
        </w:rPr>
        <w:t>Оценка жизненно важных показателей (АД, ЧСС, ЧДД, температура тела);</w:t>
      </w:r>
    </w:p>
    <w:p w14:paraId="43F65567" w14:textId="77777777" w:rsidR="00E556CD" w:rsidRDefault="00E556CD" w:rsidP="007B46F5">
      <w:pPr>
        <w:pStyle w:val="ListParagraph"/>
        <w:numPr>
          <w:ilvl w:val="0"/>
          <w:numId w:val="54"/>
        </w:numPr>
        <w:suppressAutoHyphens w:val="0"/>
        <w:autoSpaceDN/>
        <w:spacing w:line="240" w:lineRule="auto"/>
        <w:contextualSpacing/>
        <w:textAlignment w:val="auto"/>
      </w:pPr>
      <w:r>
        <w:t>Клинический анализ крови;</w:t>
      </w:r>
    </w:p>
    <w:p w14:paraId="5C371CFE" w14:textId="77777777" w:rsidR="00E556CD" w:rsidRPr="00E556CD" w:rsidRDefault="00E556CD" w:rsidP="007B46F5">
      <w:pPr>
        <w:pStyle w:val="ListParagraph"/>
        <w:numPr>
          <w:ilvl w:val="0"/>
          <w:numId w:val="54"/>
        </w:numPr>
        <w:suppressAutoHyphens w:val="0"/>
        <w:autoSpaceDN/>
        <w:spacing w:line="240" w:lineRule="auto"/>
        <w:contextualSpacing/>
        <w:textAlignment w:val="auto"/>
        <w:rPr>
          <w:lang w:val="ru-RU"/>
        </w:rPr>
      </w:pPr>
      <w:r w:rsidRPr="00E556CD">
        <w:rPr>
          <w:lang w:val="ru-RU"/>
        </w:rPr>
        <w:t>Биохимический анализ крови (АЛТ, АСТ, билирубин, ЩФ, общий белок, альбумин, глюкоза, мочевина креатинин);</w:t>
      </w:r>
    </w:p>
    <w:p w14:paraId="49602E8A" w14:textId="77777777" w:rsidR="00E556CD" w:rsidRPr="00E556CD" w:rsidRDefault="00E556CD" w:rsidP="007B46F5">
      <w:pPr>
        <w:pStyle w:val="ListParagraph"/>
        <w:numPr>
          <w:ilvl w:val="0"/>
          <w:numId w:val="54"/>
        </w:numPr>
        <w:suppressAutoHyphens w:val="0"/>
        <w:autoSpaceDN/>
        <w:spacing w:line="240" w:lineRule="auto"/>
        <w:contextualSpacing/>
        <w:textAlignment w:val="auto"/>
        <w:rPr>
          <w:lang w:val="ru-RU"/>
        </w:rPr>
      </w:pPr>
      <w:r w:rsidRPr="00E556CD">
        <w:rPr>
          <w:lang w:val="ru-RU"/>
        </w:rPr>
        <w:t>Оценка СКФ для коррекции дозы карбоплатина;</w:t>
      </w:r>
    </w:p>
    <w:p w14:paraId="09E63E0D" w14:textId="77777777" w:rsidR="00E556CD" w:rsidRPr="00E556CD" w:rsidRDefault="00E556CD" w:rsidP="007B46F5">
      <w:pPr>
        <w:pStyle w:val="ListParagraph"/>
        <w:numPr>
          <w:ilvl w:val="0"/>
          <w:numId w:val="54"/>
        </w:numPr>
        <w:suppressAutoHyphens w:val="0"/>
        <w:autoSpaceDN/>
        <w:spacing w:line="240" w:lineRule="auto"/>
        <w:contextualSpacing/>
        <w:textAlignment w:val="auto"/>
        <w:rPr>
          <w:lang w:val="ru-RU"/>
        </w:rPr>
      </w:pPr>
      <w:r w:rsidRPr="00E556CD">
        <w:rPr>
          <w:lang w:val="ru-RU"/>
        </w:rPr>
        <w:t>Анализ крови на уровень антител к бевацизумабу (в случае выявления антител – анализ на уровень нейтрализующих антител);</w:t>
      </w:r>
    </w:p>
    <w:p w14:paraId="60E72AFF" w14:textId="77777777" w:rsidR="00E556CD" w:rsidRDefault="00E556CD" w:rsidP="007B46F5">
      <w:pPr>
        <w:pStyle w:val="ListParagraph"/>
        <w:numPr>
          <w:ilvl w:val="0"/>
          <w:numId w:val="54"/>
        </w:numPr>
        <w:suppressAutoHyphens w:val="0"/>
        <w:autoSpaceDN/>
        <w:spacing w:line="240" w:lineRule="auto"/>
        <w:contextualSpacing/>
        <w:textAlignment w:val="auto"/>
      </w:pPr>
      <w:r>
        <w:t>Общий анализ мочи;</w:t>
      </w:r>
    </w:p>
    <w:p w14:paraId="1F697445" w14:textId="77777777" w:rsidR="00E556CD" w:rsidRPr="00E556CD" w:rsidRDefault="00E556CD" w:rsidP="007B46F5">
      <w:pPr>
        <w:pStyle w:val="ListParagraph"/>
        <w:numPr>
          <w:ilvl w:val="0"/>
          <w:numId w:val="54"/>
        </w:numPr>
        <w:suppressAutoHyphens w:val="0"/>
        <w:autoSpaceDN/>
        <w:spacing w:line="240" w:lineRule="auto"/>
        <w:contextualSpacing/>
        <w:textAlignment w:val="auto"/>
        <w:rPr>
          <w:lang w:val="ru-RU"/>
        </w:rPr>
      </w:pPr>
      <w:r w:rsidRPr="00E556CD">
        <w:rPr>
          <w:lang w:val="ru-RU"/>
        </w:rPr>
        <w:t>Тест на беременность (для женщин детородного возраста с сохраненным репродуктивным потенциалом);</w:t>
      </w:r>
    </w:p>
    <w:p w14:paraId="2B9E49AB" w14:textId="77777777" w:rsidR="00E556CD" w:rsidRDefault="00E556CD" w:rsidP="007B46F5">
      <w:pPr>
        <w:pStyle w:val="ListParagraph"/>
        <w:numPr>
          <w:ilvl w:val="0"/>
          <w:numId w:val="54"/>
        </w:numPr>
        <w:suppressAutoHyphens w:val="0"/>
        <w:autoSpaceDN/>
        <w:spacing w:line="240" w:lineRule="auto"/>
        <w:contextualSpacing/>
        <w:textAlignment w:val="auto"/>
      </w:pPr>
      <w:r>
        <w:t>ЭКГ;</w:t>
      </w:r>
    </w:p>
    <w:p w14:paraId="727CED59" w14:textId="77777777" w:rsidR="00E556CD" w:rsidRPr="00E556CD" w:rsidRDefault="00E556CD" w:rsidP="007B46F5">
      <w:pPr>
        <w:pStyle w:val="ListParagraph"/>
        <w:numPr>
          <w:ilvl w:val="0"/>
          <w:numId w:val="54"/>
        </w:numPr>
        <w:suppressAutoHyphens w:val="0"/>
        <w:autoSpaceDN/>
        <w:spacing w:line="240" w:lineRule="auto"/>
        <w:contextualSpacing/>
        <w:textAlignment w:val="auto"/>
        <w:rPr>
          <w:lang w:val="ru-RU"/>
        </w:rPr>
      </w:pPr>
      <w:r w:rsidRPr="00E556CD">
        <w:rPr>
          <w:lang w:val="ru-RU"/>
        </w:rPr>
        <w:t>Оценка очагов с определением целевых (для количественной оценки) и нецелевых (для качественной оценки) поражений: КТ органов грудной клетки и брюшной полости (с контрастированием) + КТ (с контрастированием) или МРТ (с контрастированием) всех применимых областей с первичной опухолью и ранее выявленными метастазами или при подозрении на метастазы: головы, шеи, органов брюшной полости и малого таза, и т.д. (для оценки очагов должен быть использован тот же метод обследования, что и на скрининге, если только у пациента не возникают противопоказания к использованию соответствующего метода);</w:t>
      </w:r>
    </w:p>
    <w:p w14:paraId="3DAA736E" w14:textId="77777777" w:rsidR="00E556CD" w:rsidRDefault="00E556CD" w:rsidP="007B46F5">
      <w:pPr>
        <w:pStyle w:val="ListParagraph"/>
        <w:numPr>
          <w:ilvl w:val="0"/>
          <w:numId w:val="54"/>
        </w:numPr>
        <w:suppressAutoHyphens w:val="0"/>
        <w:autoSpaceDN/>
        <w:spacing w:line="240" w:lineRule="auto"/>
        <w:contextualSpacing/>
        <w:textAlignment w:val="auto"/>
      </w:pPr>
      <w:r>
        <w:t>Оценка НЯ и СНЯ;</w:t>
      </w:r>
    </w:p>
    <w:p w14:paraId="4F1B25CA" w14:textId="77777777" w:rsidR="00E556CD" w:rsidRDefault="00E556CD" w:rsidP="007B46F5">
      <w:pPr>
        <w:pStyle w:val="ListParagraph"/>
        <w:numPr>
          <w:ilvl w:val="0"/>
          <w:numId w:val="54"/>
        </w:numPr>
        <w:suppressAutoHyphens w:val="0"/>
        <w:autoSpaceDN/>
        <w:spacing w:line="240" w:lineRule="auto"/>
        <w:contextualSpacing/>
        <w:textAlignment w:val="auto"/>
      </w:pPr>
      <w:r>
        <w:t>Оценка критериев исключения;</w:t>
      </w:r>
    </w:p>
    <w:p w14:paraId="5F85A6A0" w14:textId="77777777" w:rsidR="00E556CD" w:rsidRPr="00E556CD" w:rsidRDefault="00E556CD" w:rsidP="007B46F5">
      <w:pPr>
        <w:pStyle w:val="ListParagraph"/>
        <w:numPr>
          <w:ilvl w:val="0"/>
          <w:numId w:val="54"/>
        </w:numPr>
        <w:suppressAutoHyphens w:val="0"/>
        <w:autoSpaceDN/>
        <w:spacing w:line="240" w:lineRule="auto"/>
        <w:contextualSpacing/>
        <w:textAlignment w:val="auto"/>
        <w:rPr>
          <w:lang w:val="ru-RU"/>
        </w:rPr>
      </w:pPr>
      <w:r w:rsidRPr="00E556CD">
        <w:rPr>
          <w:lang w:val="ru-RU"/>
        </w:rPr>
        <w:t>Если допустимо с учетом наличия и выраженности токсичности и при отсутствии прогрессирования заболевания, третье введение препаратов химиотерапии и бевацизумаба.</w:t>
      </w:r>
    </w:p>
    <w:p w14:paraId="255625B6" w14:textId="77777777" w:rsidR="00E556CD" w:rsidRDefault="00E556CD" w:rsidP="007B46F5">
      <w:pPr>
        <w:contextualSpacing/>
        <w:jc w:val="both"/>
      </w:pPr>
    </w:p>
    <w:p w14:paraId="74F18BEF" w14:textId="77777777" w:rsidR="00E556CD" w:rsidRPr="00CB5A63" w:rsidRDefault="00E556CD" w:rsidP="007B46F5">
      <w:pPr>
        <w:contextualSpacing/>
        <w:jc w:val="both"/>
        <w:rPr>
          <w:b/>
        </w:rPr>
      </w:pPr>
      <w:r w:rsidRPr="00CB5A63">
        <w:rPr>
          <w:b/>
        </w:rPr>
        <w:t>Визит 4, день 64±4, неделя 10 (цикл 4):</w:t>
      </w:r>
    </w:p>
    <w:p w14:paraId="71924156" w14:textId="77777777" w:rsidR="00E556CD" w:rsidRDefault="00E556CD" w:rsidP="007B46F5">
      <w:pPr>
        <w:contextualSpacing/>
        <w:jc w:val="both"/>
      </w:pPr>
    </w:p>
    <w:p w14:paraId="12E187A4" w14:textId="77777777" w:rsidR="00E556CD" w:rsidRDefault="00E556CD" w:rsidP="007B46F5">
      <w:pPr>
        <w:ind w:firstLine="708"/>
        <w:contextualSpacing/>
        <w:jc w:val="both"/>
      </w:pPr>
      <w:r>
        <w:t>Обследование и лечение пациентов в рамках каждого цикла может быть проведено в ходе госпитализации, в формате дневного стационара или амбулаторно (в соответствии в принятой практикой в клиническом центре). Перечень проводимых процедур исследования:</w:t>
      </w:r>
    </w:p>
    <w:p w14:paraId="711D5ABE" w14:textId="77777777" w:rsidR="00E556CD" w:rsidRDefault="00E556CD" w:rsidP="007B46F5">
      <w:pPr>
        <w:pStyle w:val="ListParagraph"/>
        <w:numPr>
          <w:ilvl w:val="0"/>
          <w:numId w:val="54"/>
        </w:numPr>
        <w:suppressAutoHyphens w:val="0"/>
        <w:autoSpaceDN/>
        <w:spacing w:line="240" w:lineRule="auto"/>
        <w:contextualSpacing/>
        <w:textAlignment w:val="auto"/>
      </w:pPr>
      <w:r>
        <w:t>Сбор жалоб;</w:t>
      </w:r>
    </w:p>
    <w:p w14:paraId="0E2F25C2" w14:textId="77777777" w:rsidR="00E556CD" w:rsidRDefault="00E556CD" w:rsidP="007B46F5">
      <w:pPr>
        <w:pStyle w:val="ListParagraph"/>
        <w:numPr>
          <w:ilvl w:val="0"/>
          <w:numId w:val="54"/>
        </w:numPr>
        <w:suppressAutoHyphens w:val="0"/>
        <w:autoSpaceDN/>
        <w:spacing w:line="240" w:lineRule="auto"/>
        <w:contextualSpacing/>
        <w:textAlignment w:val="auto"/>
      </w:pPr>
      <w:r>
        <w:t>Регистрация сопутствующей терапии;</w:t>
      </w:r>
    </w:p>
    <w:p w14:paraId="41C84B55" w14:textId="77777777" w:rsidR="00E556CD" w:rsidRDefault="00E556CD" w:rsidP="007B46F5">
      <w:pPr>
        <w:pStyle w:val="ListParagraph"/>
        <w:numPr>
          <w:ilvl w:val="0"/>
          <w:numId w:val="54"/>
        </w:numPr>
        <w:suppressAutoHyphens w:val="0"/>
        <w:autoSpaceDN/>
        <w:spacing w:line="240" w:lineRule="auto"/>
        <w:contextualSpacing/>
        <w:textAlignment w:val="auto"/>
      </w:pPr>
      <w:r>
        <w:t>Физикальный осмотр;</w:t>
      </w:r>
    </w:p>
    <w:p w14:paraId="3BFEDD23" w14:textId="77777777" w:rsidR="00E556CD" w:rsidRDefault="00E556CD" w:rsidP="007B46F5">
      <w:pPr>
        <w:pStyle w:val="ListParagraph"/>
        <w:numPr>
          <w:ilvl w:val="0"/>
          <w:numId w:val="54"/>
        </w:numPr>
        <w:suppressAutoHyphens w:val="0"/>
        <w:autoSpaceDN/>
        <w:spacing w:line="240" w:lineRule="auto"/>
        <w:contextualSpacing/>
        <w:textAlignment w:val="auto"/>
      </w:pPr>
      <w:r>
        <w:t>Оценка статуса по ECOG;</w:t>
      </w:r>
    </w:p>
    <w:p w14:paraId="3B7658B7" w14:textId="77777777" w:rsidR="00E556CD" w:rsidRDefault="00E556CD" w:rsidP="007B46F5">
      <w:pPr>
        <w:pStyle w:val="ListParagraph"/>
        <w:numPr>
          <w:ilvl w:val="0"/>
          <w:numId w:val="54"/>
        </w:numPr>
        <w:suppressAutoHyphens w:val="0"/>
        <w:autoSpaceDN/>
        <w:spacing w:line="240" w:lineRule="auto"/>
        <w:contextualSpacing/>
        <w:textAlignment w:val="auto"/>
      </w:pPr>
      <w:r>
        <w:t>Измерение массы тела;</w:t>
      </w:r>
    </w:p>
    <w:p w14:paraId="46362585" w14:textId="77777777" w:rsidR="00E556CD" w:rsidRPr="00E556CD" w:rsidRDefault="00E556CD" w:rsidP="007B46F5">
      <w:pPr>
        <w:pStyle w:val="ListParagraph"/>
        <w:numPr>
          <w:ilvl w:val="0"/>
          <w:numId w:val="54"/>
        </w:numPr>
        <w:suppressAutoHyphens w:val="0"/>
        <w:autoSpaceDN/>
        <w:spacing w:line="240" w:lineRule="auto"/>
        <w:contextualSpacing/>
        <w:textAlignment w:val="auto"/>
        <w:rPr>
          <w:lang w:val="ru-RU"/>
        </w:rPr>
      </w:pPr>
      <w:r w:rsidRPr="00E556CD">
        <w:rPr>
          <w:lang w:val="ru-RU"/>
        </w:rPr>
        <w:t>Оценка жизненно важных показателей (АД, ЧСС, ЧДД, температура тела);</w:t>
      </w:r>
    </w:p>
    <w:p w14:paraId="264A2C45" w14:textId="77777777" w:rsidR="00E556CD" w:rsidRDefault="00E556CD" w:rsidP="007B46F5">
      <w:pPr>
        <w:pStyle w:val="ListParagraph"/>
        <w:numPr>
          <w:ilvl w:val="0"/>
          <w:numId w:val="54"/>
        </w:numPr>
        <w:suppressAutoHyphens w:val="0"/>
        <w:autoSpaceDN/>
        <w:spacing w:line="240" w:lineRule="auto"/>
        <w:contextualSpacing/>
        <w:textAlignment w:val="auto"/>
      </w:pPr>
      <w:r>
        <w:t>Клинический анализ крови;</w:t>
      </w:r>
    </w:p>
    <w:p w14:paraId="06911B73" w14:textId="77777777" w:rsidR="00E556CD" w:rsidRPr="00E556CD" w:rsidRDefault="00E556CD" w:rsidP="007B46F5">
      <w:pPr>
        <w:pStyle w:val="ListParagraph"/>
        <w:numPr>
          <w:ilvl w:val="0"/>
          <w:numId w:val="54"/>
        </w:numPr>
        <w:suppressAutoHyphens w:val="0"/>
        <w:autoSpaceDN/>
        <w:spacing w:line="240" w:lineRule="auto"/>
        <w:contextualSpacing/>
        <w:textAlignment w:val="auto"/>
        <w:rPr>
          <w:lang w:val="ru-RU"/>
        </w:rPr>
      </w:pPr>
      <w:r w:rsidRPr="00E556CD">
        <w:rPr>
          <w:lang w:val="ru-RU"/>
        </w:rPr>
        <w:t>Биохимический анализ крови (АЛТ, АСТ, билирубин, ЩФ, общий белок, альбумин, глюкоза, мочевина креатинин);</w:t>
      </w:r>
    </w:p>
    <w:p w14:paraId="07D6D017" w14:textId="77777777" w:rsidR="00E556CD" w:rsidRPr="00E556CD" w:rsidRDefault="00E556CD" w:rsidP="007B46F5">
      <w:pPr>
        <w:pStyle w:val="ListParagraph"/>
        <w:numPr>
          <w:ilvl w:val="0"/>
          <w:numId w:val="54"/>
        </w:numPr>
        <w:suppressAutoHyphens w:val="0"/>
        <w:autoSpaceDN/>
        <w:spacing w:line="240" w:lineRule="auto"/>
        <w:contextualSpacing/>
        <w:textAlignment w:val="auto"/>
        <w:rPr>
          <w:lang w:val="ru-RU"/>
        </w:rPr>
      </w:pPr>
      <w:r w:rsidRPr="00E556CD">
        <w:rPr>
          <w:lang w:val="ru-RU"/>
        </w:rPr>
        <w:t>Оценка СКФ для коррекции дозы карбоплатина;</w:t>
      </w:r>
    </w:p>
    <w:p w14:paraId="56F9B681" w14:textId="77777777" w:rsidR="00E556CD" w:rsidRDefault="00E556CD" w:rsidP="007B46F5">
      <w:pPr>
        <w:pStyle w:val="ListParagraph"/>
        <w:numPr>
          <w:ilvl w:val="0"/>
          <w:numId w:val="54"/>
        </w:numPr>
        <w:suppressAutoHyphens w:val="0"/>
        <w:autoSpaceDN/>
        <w:spacing w:line="240" w:lineRule="auto"/>
        <w:contextualSpacing/>
        <w:textAlignment w:val="auto"/>
      </w:pPr>
      <w:r>
        <w:t>Общий анализ мочи;</w:t>
      </w:r>
    </w:p>
    <w:p w14:paraId="44DB5CE3" w14:textId="77777777" w:rsidR="00E556CD" w:rsidRPr="00E556CD" w:rsidRDefault="00E556CD" w:rsidP="007B46F5">
      <w:pPr>
        <w:pStyle w:val="ListParagraph"/>
        <w:numPr>
          <w:ilvl w:val="0"/>
          <w:numId w:val="54"/>
        </w:numPr>
        <w:suppressAutoHyphens w:val="0"/>
        <w:autoSpaceDN/>
        <w:spacing w:line="240" w:lineRule="auto"/>
        <w:contextualSpacing/>
        <w:textAlignment w:val="auto"/>
        <w:rPr>
          <w:lang w:val="ru-RU"/>
        </w:rPr>
      </w:pPr>
      <w:r w:rsidRPr="00E556CD">
        <w:rPr>
          <w:lang w:val="ru-RU"/>
        </w:rPr>
        <w:t>Тест на беременность (для женщин детородного возраста с сохраненным репродуктивным потенциалом);</w:t>
      </w:r>
    </w:p>
    <w:p w14:paraId="2E874B21" w14:textId="77777777" w:rsidR="00E556CD" w:rsidRDefault="00E556CD" w:rsidP="007B46F5">
      <w:pPr>
        <w:pStyle w:val="ListParagraph"/>
        <w:numPr>
          <w:ilvl w:val="0"/>
          <w:numId w:val="54"/>
        </w:numPr>
        <w:suppressAutoHyphens w:val="0"/>
        <w:autoSpaceDN/>
        <w:spacing w:line="240" w:lineRule="auto"/>
        <w:contextualSpacing/>
        <w:textAlignment w:val="auto"/>
      </w:pPr>
      <w:r>
        <w:t>ЭКГ;</w:t>
      </w:r>
    </w:p>
    <w:p w14:paraId="175A0297" w14:textId="77777777" w:rsidR="00E556CD" w:rsidRDefault="00E556CD" w:rsidP="007B46F5">
      <w:pPr>
        <w:pStyle w:val="ListParagraph"/>
        <w:numPr>
          <w:ilvl w:val="0"/>
          <w:numId w:val="54"/>
        </w:numPr>
        <w:suppressAutoHyphens w:val="0"/>
        <w:autoSpaceDN/>
        <w:spacing w:line="240" w:lineRule="auto"/>
        <w:contextualSpacing/>
        <w:textAlignment w:val="auto"/>
      </w:pPr>
      <w:r>
        <w:t>Оценка НЯ и СНЯ;</w:t>
      </w:r>
    </w:p>
    <w:p w14:paraId="732206E9" w14:textId="77777777" w:rsidR="00E556CD" w:rsidRPr="00E556CD" w:rsidRDefault="00E556CD" w:rsidP="007B46F5">
      <w:pPr>
        <w:pStyle w:val="ListParagraph"/>
        <w:numPr>
          <w:ilvl w:val="0"/>
          <w:numId w:val="54"/>
        </w:numPr>
        <w:suppressAutoHyphens w:val="0"/>
        <w:autoSpaceDN/>
        <w:spacing w:line="240" w:lineRule="auto"/>
        <w:contextualSpacing/>
        <w:textAlignment w:val="auto"/>
        <w:rPr>
          <w:lang w:val="ru-RU"/>
        </w:rPr>
      </w:pPr>
      <w:r w:rsidRPr="00E556CD">
        <w:rPr>
          <w:lang w:val="ru-RU"/>
        </w:rPr>
        <w:t>Если допустимо с учетом наличия и выраженности токсичности, четвертое введение препаратов химиотерапии и бевацизумаба;</w:t>
      </w:r>
    </w:p>
    <w:p w14:paraId="7B70115A" w14:textId="77777777" w:rsidR="00E556CD" w:rsidRDefault="00E556CD" w:rsidP="007B46F5">
      <w:pPr>
        <w:pStyle w:val="ListParagraph"/>
        <w:numPr>
          <w:ilvl w:val="0"/>
          <w:numId w:val="54"/>
        </w:numPr>
        <w:suppressAutoHyphens w:val="0"/>
        <w:autoSpaceDN/>
        <w:spacing w:line="240" w:lineRule="auto"/>
        <w:contextualSpacing/>
        <w:textAlignment w:val="auto"/>
      </w:pPr>
      <w:r>
        <w:t>Оценка критериев исключения.</w:t>
      </w:r>
    </w:p>
    <w:p w14:paraId="15569B84" w14:textId="77777777" w:rsidR="00E556CD" w:rsidRDefault="00E556CD" w:rsidP="007B46F5">
      <w:pPr>
        <w:contextualSpacing/>
        <w:jc w:val="both"/>
      </w:pPr>
    </w:p>
    <w:p w14:paraId="3698C722" w14:textId="77777777" w:rsidR="00E556CD" w:rsidRPr="00CB5A63" w:rsidRDefault="00E556CD" w:rsidP="007B46F5">
      <w:pPr>
        <w:contextualSpacing/>
        <w:jc w:val="both"/>
        <w:rPr>
          <w:b/>
        </w:rPr>
      </w:pPr>
      <w:r w:rsidRPr="00CB5A63">
        <w:rPr>
          <w:b/>
        </w:rPr>
        <w:t>Визит 5, день 85±4, неделя 13 (цикл 5):</w:t>
      </w:r>
    </w:p>
    <w:p w14:paraId="1E1C3553" w14:textId="77777777" w:rsidR="00E556CD" w:rsidRDefault="00E556CD" w:rsidP="007B46F5">
      <w:pPr>
        <w:contextualSpacing/>
        <w:jc w:val="both"/>
      </w:pPr>
    </w:p>
    <w:p w14:paraId="3B36800D" w14:textId="77777777" w:rsidR="00E556CD" w:rsidRDefault="00E556CD" w:rsidP="007B46F5">
      <w:pPr>
        <w:ind w:firstLine="708"/>
        <w:contextualSpacing/>
        <w:jc w:val="both"/>
      </w:pPr>
      <w:r>
        <w:t>Обследование и лечение пациентов в рамках каждого цикла может быть проведено в ходе госпитализации, в формате дневного стационара или амбулаторно (в соответствии в принятой практикой в клиническом центре). Перечень проводимых процедур исследования:</w:t>
      </w:r>
    </w:p>
    <w:p w14:paraId="34DB56D4" w14:textId="77777777" w:rsidR="00E556CD" w:rsidRDefault="00E556CD" w:rsidP="007B46F5">
      <w:pPr>
        <w:pStyle w:val="ListParagraph"/>
        <w:numPr>
          <w:ilvl w:val="0"/>
          <w:numId w:val="54"/>
        </w:numPr>
        <w:suppressAutoHyphens w:val="0"/>
        <w:autoSpaceDN/>
        <w:spacing w:line="240" w:lineRule="auto"/>
        <w:contextualSpacing/>
        <w:textAlignment w:val="auto"/>
      </w:pPr>
      <w:r>
        <w:t>Сбор жалоб;</w:t>
      </w:r>
    </w:p>
    <w:p w14:paraId="5D9ED044" w14:textId="77777777" w:rsidR="00E556CD" w:rsidRDefault="00E556CD" w:rsidP="007B46F5">
      <w:pPr>
        <w:pStyle w:val="ListParagraph"/>
        <w:numPr>
          <w:ilvl w:val="0"/>
          <w:numId w:val="54"/>
        </w:numPr>
        <w:suppressAutoHyphens w:val="0"/>
        <w:autoSpaceDN/>
        <w:spacing w:line="240" w:lineRule="auto"/>
        <w:contextualSpacing/>
        <w:textAlignment w:val="auto"/>
      </w:pPr>
      <w:r>
        <w:t>Регистрация сопутствующей терапии;</w:t>
      </w:r>
    </w:p>
    <w:p w14:paraId="30A8A4F5" w14:textId="77777777" w:rsidR="00E556CD" w:rsidRDefault="00E556CD" w:rsidP="007B46F5">
      <w:pPr>
        <w:pStyle w:val="ListParagraph"/>
        <w:numPr>
          <w:ilvl w:val="0"/>
          <w:numId w:val="54"/>
        </w:numPr>
        <w:suppressAutoHyphens w:val="0"/>
        <w:autoSpaceDN/>
        <w:spacing w:line="240" w:lineRule="auto"/>
        <w:contextualSpacing/>
        <w:textAlignment w:val="auto"/>
      </w:pPr>
      <w:r>
        <w:t>Физикальный осмотр;</w:t>
      </w:r>
    </w:p>
    <w:p w14:paraId="50CD2631" w14:textId="77777777" w:rsidR="00E556CD" w:rsidRDefault="00E556CD" w:rsidP="007B46F5">
      <w:pPr>
        <w:pStyle w:val="ListParagraph"/>
        <w:numPr>
          <w:ilvl w:val="0"/>
          <w:numId w:val="54"/>
        </w:numPr>
        <w:suppressAutoHyphens w:val="0"/>
        <w:autoSpaceDN/>
        <w:spacing w:line="240" w:lineRule="auto"/>
        <w:contextualSpacing/>
        <w:textAlignment w:val="auto"/>
      </w:pPr>
      <w:r>
        <w:t>Оценка статуса по ECOG;</w:t>
      </w:r>
    </w:p>
    <w:p w14:paraId="693F01CF" w14:textId="77777777" w:rsidR="00E556CD" w:rsidRDefault="00E556CD" w:rsidP="007B46F5">
      <w:pPr>
        <w:pStyle w:val="ListParagraph"/>
        <w:numPr>
          <w:ilvl w:val="0"/>
          <w:numId w:val="54"/>
        </w:numPr>
        <w:suppressAutoHyphens w:val="0"/>
        <w:autoSpaceDN/>
        <w:spacing w:line="240" w:lineRule="auto"/>
        <w:contextualSpacing/>
        <w:textAlignment w:val="auto"/>
      </w:pPr>
      <w:r>
        <w:t>Измерение массы тела;</w:t>
      </w:r>
    </w:p>
    <w:p w14:paraId="31356480" w14:textId="77777777" w:rsidR="00E556CD" w:rsidRPr="00E556CD" w:rsidRDefault="00E556CD" w:rsidP="007B46F5">
      <w:pPr>
        <w:pStyle w:val="ListParagraph"/>
        <w:numPr>
          <w:ilvl w:val="0"/>
          <w:numId w:val="54"/>
        </w:numPr>
        <w:suppressAutoHyphens w:val="0"/>
        <w:autoSpaceDN/>
        <w:spacing w:line="240" w:lineRule="auto"/>
        <w:contextualSpacing/>
        <w:textAlignment w:val="auto"/>
        <w:rPr>
          <w:lang w:val="ru-RU"/>
        </w:rPr>
      </w:pPr>
      <w:r w:rsidRPr="00E556CD">
        <w:rPr>
          <w:lang w:val="ru-RU"/>
        </w:rPr>
        <w:t>Оценка жизненно важных показателей (АД, ЧСС, ЧДД, температура тела);</w:t>
      </w:r>
    </w:p>
    <w:p w14:paraId="685D5777" w14:textId="77777777" w:rsidR="00E556CD" w:rsidRDefault="00E556CD" w:rsidP="007B46F5">
      <w:pPr>
        <w:pStyle w:val="ListParagraph"/>
        <w:numPr>
          <w:ilvl w:val="0"/>
          <w:numId w:val="54"/>
        </w:numPr>
        <w:suppressAutoHyphens w:val="0"/>
        <w:autoSpaceDN/>
        <w:spacing w:line="240" w:lineRule="auto"/>
        <w:contextualSpacing/>
        <w:textAlignment w:val="auto"/>
      </w:pPr>
      <w:r>
        <w:t>Клинический анализ крови;</w:t>
      </w:r>
    </w:p>
    <w:p w14:paraId="5FF16FAF" w14:textId="77777777" w:rsidR="00E556CD" w:rsidRPr="00E556CD" w:rsidRDefault="00E556CD" w:rsidP="007B46F5">
      <w:pPr>
        <w:pStyle w:val="ListParagraph"/>
        <w:numPr>
          <w:ilvl w:val="0"/>
          <w:numId w:val="54"/>
        </w:numPr>
        <w:suppressAutoHyphens w:val="0"/>
        <w:autoSpaceDN/>
        <w:spacing w:line="240" w:lineRule="auto"/>
        <w:contextualSpacing/>
        <w:textAlignment w:val="auto"/>
        <w:rPr>
          <w:lang w:val="ru-RU"/>
        </w:rPr>
      </w:pPr>
      <w:r w:rsidRPr="00E556CD">
        <w:rPr>
          <w:lang w:val="ru-RU"/>
        </w:rPr>
        <w:t>Биохимический анализ крови (АЛТ, АСТ, билирубин, ЩФ, общий белок, альбумин, глюкоза, мочевина креатинин);</w:t>
      </w:r>
    </w:p>
    <w:p w14:paraId="4C56654A" w14:textId="77777777" w:rsidR="00E556CD" w:rsidRPr="00E556CD" w:rsidRDefault="00E556CD" w:rsidP="007B46F5">
      <w:pPr>
        <w:pStyle w:val="ListParagraph"/>
        <w:numPr>
          <w:ilvl w:val="0"/>
          <w:numId w:val="54"/>
        </w:numPr>
        <w:suppressAutoHyphens w:val="0"/>
        <w:autoSpaceDN/>
        <w:spacing w:line="240" w:lineRule="auto"/>
        <w:contextualSpacing/>
        <w:textAlignment w:val="auto"/>
        <w:rPr>
          <w:lang w:val="ru-RU"/>
        </w:rPr>
      </w:pPr>
      <w:r w:rsidRPr="00E556CD">
        <w:rPr>
          <w:lang w:val="ru-RU"/>
        </w:rPr>
        <w:t>Коагулограмма (Активированное частичное тромбопластиновое время (АЧТВ), протромбиновое время (ПВ), фибриноген, международное нормализованное отношение (МНО));</w:t>
      </w:r>
    </w:p>
    <w:p w14:paraId="2978A41F" w14:textId="77777777" w:rsidR="00E556CD" w:rsidRPr="00E556CD" w:rsidRDefault="00E556CD" w:rsidP="007B46F5">
      <w:pPr>
        <w:pStyle w:val="ListParagraph"/>
        <w:numPr>
          <w:ilvl w:val="0"/>
          <w:numId w:val="54"/>
        </w:numPr>
        <w:suppressAutoHyphens w:val="0"/>
        <w:autoSpaceDN/>
        <w:spacing w:line="240" w:lineRule="auto"/>
        <w:contextualSpacing/>
        <w:textAlignment w:val="auto"/>
        <w:rPr>
          <w:lang w:val="ru-RU"/>
        </w:rPr>
      </w:pPr>
      <w:r w:rsidRPr="00E556CD">
        <w:rPr>
          <w:lang w:val="ru-RU"/>
        </w:rPr>
        <w:t>Оценка СКФ для коррекции дозы карбоплатина;</w:t>
      </w:r>
    </w:p>
    <w:p w14:paraId="143D03BE" w14:textId="77777777" w:rsidR="00E556CD" w:rsidRPr="00E556CD" w:rsidRDefault="00E556CD" w:rsidP="007B46F5">
      <w:pPr>
        <w:pStyle w:val="ListParagraph"/>
        <w:numPr>
          <w:ilvl w:val="0"/>
          <w:numId w:val="54"/>
        </w:numPr>
        <w:suppressAutoHyphens w:val="0"/>
        <w:autoSpaceDN/>
        <w:spacing w:line="240" w:lineRule="auto"/>
        <w:contextualSpacing/>
        <w:textAlignment w:val="auto"/>
        <w:rPr>
          <w:lang w:val="ru-RU"/>
        </w:rPr>
      </w:pPr>
      <w:r w:rsidRPr="00E556CD">
        <w:rPr>
          <w:lang w:val="ru-RU"/>
        </w:rPr>
        <w:t>Анализ крови на уровень антител к бевацизумабу (в случае выявления антител – анализ на уровень нейтрализующих антител);</w:t>
      </w:r>
    </w:p>
    <w:p w14:paraId="03C558A2" w14:textId="77777777" w:rsidR="00E556CD" w:rsidRDefault="00E556CD" w:rsidP="007B46F5">
      <w:pPr>
        <w:pStyle w:val="ListParagraph"/>
        <w:numPr>
          <w:ilvl w:val="0"/>
          <w:numId w:val="54"/>
        </w:numPr>
        <w:suppressAutoHyphens w:val="0"/>
        <w:autoSpaceDN/>
        <w:spacing w:line="240" w:lineRule="auto"/>
        <w:contextualSpacing/>
        <w:textAlignment w:val="auto"/>
      </w:pPr>
      <w:r>
        <w:t>Общий анализ мочи;</w:t>
      </w:r>
    </w:p>
    <w:p w14:paraId="44E5F2B4" w14:textId="77777777" w:rsidR="00E556CD" w:rsidRPr="00E556CD" w:rsidRDefault="00E556CD" w:rsidP="007B46F5">
      <w:pPr>
        <w:pStyle w:val="ListParagraph"/>
        <w:numPr>
          <w:ilvl w:val="0"/>
          <w:numId w:val="54"/>
        </w:numPr>
        <w:suppressAutoHyphens w:val="0"/>
        <w:autoSpaceDN/>
        <w:spacing w:line="240" w:lineRule="auto"/>
        <w:contextualSpacing/>
        <w:textAlignment w:val="auto"/>
        <w:rPr>
          <w:lang w:val="ru-RU"/>
        </w:rPr>
      </w:pPr>
      <w:r w:rsidRPr="00E556CD">
        <w:rPr>
          <w:lang w:val="ru-RU"/>
        </w:rPr>
        <w:t>Тест на беременность (для женщин детородного возраста с сохраненным репродуктивным потенциалом);</w:t>
      </w:r>
    </w:p>
    <w:p w14:paraId="449CB18A" w14:textId="77777777" w:rsidR="00E556CD" w:rsidRDefault="00E556CD" w:rsidP="007B46F5">
      <w:pPr>
        <w:pStyle w:val="ListParagraph"/>
        <w:numPr>
          <w:ilvl w:val="0"/>
          <w:numId w:val="54"/>
        </w:numPr>
        <w:suppressAutoHyphens w:val="0"/>
        <w:autoSpaceDN/>
        <w:spacing w:line="240" w:lineRule="auto"/>
        <w:contextualSpacing/>
        <w:textAlignment w:val="auto"/>
      </w:pPr>
      <w:r>
        <w:t>ЭКГ;</w:t>
      </w:r>
    </w:p>
    <w:p w14:paraId="4A53E648" w14:textId="77777777" w:rsidR="00E556CD" w:rsidRPr="00E556CD" w:rsidRDefault="00E556CD" w:rsidP="007B46F5">
      <w:pPr>
        <w:pStyle w:val="ListParagraph"/>
        <w:numPr>
          <w:ilvl w:val="0"/>
          <w:numId w:val="54"/>
        </w:numPr>
        <w:suppressAutoHyphens w:val="0"/>
        <w:autoSpaceDN/>
        <w:spacing w:line="240" w:lineRule="auto"/>
        <w:contextualSpacing/>
        <w:textAlignment w:val="auto"/>
        <w:rPr>
          <w:lang w:val="ru-RU"/>
        </w:rPr>
      </w:pPr>
      <w:r w:rsidRPr="00E556CD">
        <w:rPr>
          <w:lang w:val="ru-RU"/>
        </w:rPr>
        <w:t>Оценка очагов с определением целевых (для количественной оценки) и нецелевых (для качественной оценки) поражений: КТ органов грудной клетки и брюшной полости (с контрастированием) + КТ (с контрастированием) или МРТ (с контрастированием) всех применимых областей с первичной опухолью и ранее выявленными метастазами или при подозрении на метастазы: головы, шеи, органов брюшной полости и малого таза, и т.д. (для оценки очагов должен быть использован тот же метод обследования, что и на скрининге, если только у пациента не возникают противопоказания к использованию соответствующего метода);</w:t>
      </w:r>
    </w:p>
    <w:p w14:paraId="0FB62842" w14:textId="77777777" w:rsidR="00E556CD" w:rsidRDefault="00E556CD" w:rsidP="007B46F5">
      <w:pPr>
        <w:pStyle w:val="ListParagraph"/>
        <w:numPr>
          <w:ilvl w:val="0"/>
          <w:numId w:val="54"/>
        </w:numPr>
        <w:suppressAutoHyphens w:val="0"/>
        <w:autoSpaceDN/>
        <w:spacing w:line="240" w:lineRule="auto"/>
        <w:contextualSpacing/>
        <w:textAlignment w:val="auto"/>
      </w:pPr>
      <w:r>
        <w:t>Оценка НЯ и СНЯ;</w:t>
      </w:r>
    </w:p>
    <w:p w14:paraId="5A33261F" w14:textId="77777777" w:rsidR="00E556CD" w:rsidRDefault="00E556CD" w:rsidP="007B46F5">
      <w:pPr>
        <w:pStyle w:val="ListParagraph"/>
        <w:numPr>
          <w:ilvl w:val="0"/>
          <w:numId w:val="54"/>
        </w:numPr>
        <w:suppressAutoHyphens w:val="0"/>
        <w:autoSpaceDN/>
        <w:spacing w:line="240" w:lineRule="auto"/>
        <w:contextualSpacing/>
        <w:textAlignment w:val="auto"/>
      </w:pPr>
      <w:r>
        <w:t>Оценка критериев исключения;</w:t>
      </w:r>
    </w:p>
    <w:p w14:paraId="774A4B4D" w14:textId="77777777" w:rsidR="00E556CD" w:rsidRPr="00E556CD" w:rsidRDefault="00E556CD" w:rsidP="007B46F5">
      <w:pPr>
        <w:pStyle w:val="ListParagraph"/>
        <w:numPr>
          <w:ilvl w:val="0"/>
          <w:numId w:val="54"/>
        </w:numPr>
        <w:suppressAutoHyphens w:val="0"/>
        <w:autoSpaceDN/>
        <w:spacing w:line="240" w:lineRule="auto"/>
        <w:contextualSpacing/>
        <w:textAlignment w:val="auto"/>
        <w:rPr>
          <w:lang w:val="ru-RU"/>
        </w:rPr>
      </w:pPr>
      <w:r w:rsidRPr="00E556CD">
        <w:rPr>
          <w:lang w:val="ru-RU"/>
        </w:rPr>
        <w:t>Если допустимо с учетом наличия и выраженности токсичности и при отсутствии прогрессирования заболевания, пятое введение препаратов химиотерапии и бевацизумаба.</w:t>
      </w:r>
    </w:p>
    <w:p w14:paraId="7837B338" w14:textId="77777777" w:rsidR="00E556CD" w:rsidRDefault="00E556CD" w:rsidP="007B46F5">
      <w:pPr>
        <w:contextualSpacing/>
        <w:jc w:val="both"/>
      </w:pPr>
    </w:p>
    <w:p w14:paraId="0BE35B11" w14:textId="77777777" w:rsidR="00E556CD" w:rsidRPr="00CB5A63" w:rsidRDefault="00E556CD" w:rsidP="007B46F5">
      <w:pPr>
        <w:contextualSpacing/>
        <w:jc w:val="both"/>
        <w:rPr>
          <w:b/>
        </w:rPr>
      </w:pPr>
      <w:r w:rsidRPr="00CB5A63">
        <w:rPr>
          <w:b/>
        </w:rPr>
        <w:t>Визит 6, день 106±4, неделя 16 (цикл 6):</w:t>
      </w:r>
    </w:p>
    <w:p w14:paraId="2C29480F" w14:textId="77777777" w:rsidR="00E556CD" w:rsidRDefault="00E556CD" w:rsidP="007B46F5">
      <w:pPr>
        <w:contextualSpacing/>
        <w:jc w:val="both"/>
      </w:pPr>
    </w:p>
    <w:p w14:paraId="46BE39B8" w14:textId="77777777" w:rsidR="00E556CD" w:rsidRDefault="00E556CD" w:rsidP="007B46F5">
      <w:pPr>
        <w:ind w:firstLine="708"/>
        <w:contextualSpacing/>
        <w:jc w:val="both"/>
      </w:pPr>
      <w:r>
        <w:t>Обследование и лечение пациентов в рамках каждого цикла может быть проведено в ходе госпитализации, в формате дневного стационара или амбулаторно (в соответствии в принятой практикой в клиническом центре). Перечень проводимых процедур исследования:</w:t>
      </w:r>
    </w:p>
    <w:p w14:paraId="0AB9329F" w14:textId="77777777" w:rsidR="00E556CD" w:rsidRDefault="00E556CD" w:rsidP="007B46F5">
      <w:pPr>
        <w:pStyle w:val="ListParagraph"/>
        <w:numPr>
          <w:ilvl w:val="0"/>
          <w:numId w:val="54"/>
        </w:numPr>
        <w:suppressAutoHyphens w:val="0"/>
        <w:autoSpaceDN/>
        <w:spacing w:line="240" w:lineRule="auto"/>
        <w:contextualSpacing/>
        <w:textAlignment w:val="auto"/>
      </w:pPr>
      <w:r>
        <w:t>Сбор жалоб;</w:t>
      </w:r>
    </w:p>
    <w:p w14:paraId="7DD7AB04" w14:textId="77777777" w:rsidR="00E556CD" w:rsidRDefault="00E556CD" w:rsidP="007B46F5">
      <w:pPr>
        <w:pStyle w:val="ListParagraph"/>
        <w:numPr>
          <w:ilvl w:val="0"/>
          <w:numId w:val="54"/>
        </w:numPr>
        <w:suppressAutoHyphens w:val="0"/>
        <w:autoSpaceDN/>
        <w:spacing w:line="240" w:lineRule="auto"/>
        <w:contextualSpacing/>
        <w:textAlignment w:val="auto"/>
      </w:pPr>
      <w:r>
        <w:t>Регистрация сопутствующей терапии;</w:t>
      </w:r>
    </w:p>
    <w:p w14:paraId="55C8AD91" w14:textId="77777777" w:rsidR="00E556CD" w:rsidRDefault="00E556CD" w:rsidP="007B46F5">
      <w:pPr>
        <w:pStyle w:val="ListParagraph"/>
        <w:numPr>
          <w:ilvl w:val="0"/>
          <w:numId w:val="54"/>
        </w:numPr>
        <w:suppressAutoHyphens w:val="0"/>
        <w:autoSpaceDN/>
        <w:spacing w:line="240" w:lineRule="auto"/>
        <w:contextualSpacing/>
        <w:textAlignment w:val="auto"/>
      </w:pPr>
      <w:r>
        <w:t>Физикальный осмотр;</w:t>
      </w:r>
    </w:p>
    <w:p w14:paraId="0EB769EC" w14:textId="77777777" w:rsidR="00E556CD" w:rsidRDefault="00E556CD" w:rsidP="007B46F5">
      <w:pPr>
        <w:pStyle w:val="ListParagraph"/>
        <w:numPr>
          <w:ilvl w:val="0"/>
          <w:numId w:val="54"/>
        </w:numPr>
        <w:suppressAutoHyphens w:val="0"/>
        <w:autoSpaceDN/>
        <w:spacing w:line="240" w:lineRule="auto"/>
        <w:contextualSpacing/>
        <w:textAlignment w:val="auto"/>
      </w:pPr>
      <w:r>
        <w:t>Оценка статуса по ECOG;</w:t>
      </w:r>
    </w:p>
    <w:p w14:paraId="2D6738D6" w14:textId="77777777" w:rsidR="00E556CD" w:rsidRDefault="00E556CD" w:rsidP="007B46F5">
      <w:pPr>
        <w:pStyle w:val="ListParagraph"/>
        <w:numPr>
          <w:ilvl w:val="0"/>
          <w:numId w:val="54"/>
        </w:numPr>
        <w:suppressAutoHyphens w:val="0"/>
        <w:autoSpaceDN/>
        <w:spacing w:line="240" w:lineRule="auto"/>
        <w:contextualSpacing/>
        <w:textAlignment w:val="auto"/>
      </w:pPr>
      <w:r>
        <w:t>Измерение массы тела;</w:t>
      </w:r>
    </w:p>
    <w:p w14:paraId="6BFC22C3" w14:textId="77777777" w:rsidR="00E556CD" w:rsidRPr="00E556CD" w:rsidRDefault="00E556CD" w:rsidP="007B46F5">
      <w:pPr>
        <w:pStyle w:val="ListParagraph"/>
        <w:numPr>
          <w:ilvl w:val="0"/>
          <w:numId w:val="54"/>
        </w:numPr>
        <w:suppressAutoHyphens w:val="0"/>
        <w:autoSpaceDN/>
        <w:spacing w:line="240" w:lineRule="auto"/>
        <w:contextualSpacing/>
        <w:textAlignment w:val="auto"/>
        <w:rPr>
          <w:lang w:val="ru-RU"/>
        </w:rPr>
      </w:pPr>
      <w:r w:rsidRPr="00E556CD">
        <w:rPr>
          <w:lang w:val="ru-RU"/>
        </w:rPr>
        <w:t>Оценка жизненно важных показателей (АД, ЧСС, ЧДД, температура тела);</w:t>
      </w:r>
    </w:p>
    <w:p w14:paraId="42CE7572" w14:textId="77777777" w:rsidR="00E556CD" w:rsidRDefault="00E556CD" w:rsidP="007B46F5">
      <w:pPr>
        <w:pStyle w:val="ListParagraph"/>
        <w:numPr>
          <w:ilvl w:val="0"/>
          <w:numId w:val="54"/>
        </w:numPr>
        <w:suppressAutoHyphens w:val="0"/>
        <w:autoSpaceDN/>
        <w:spacing w:line="240" w:lineRule="auto"/>
        <w:contextualSpacing/>
        <w:textAlignment w:val="auto"/>
      </w:pPr>
      <w:r>
        <w:t>Клинический анализ крови;</w:t>
      </w:r>
    </w:p>
    <w:p w14:paraId="057C71C1" w14:textId="77777777" w:rsidR="00E556CD" w:rsidRPr="00E556CD" w:rsidRDefault="00E556CD" w:rsidP="007B46F5">
      <w:pPr>
        <w:pStyle w:val="ListParagraph"/>
        <w:numPr>
          <w:ilvl w:val="0"/>
          <w:numId w:val="54"/>
        </w:numPr>
        <w:suppressAutoHyphens w:val="0"/>
        <w:autoSpaceDN/>
        <w:spacing w:line="240" w:lineRule="auto"/>
        <w:contextualSpacing/>
        <w:textAlignment w:val="auto"/>
        <w:rPr>
          <w:lang w:val="ru-RU"/>
        </w:rPr>
      </w:pPr>
      <w:r w:rsidRPr="00E556CD">
        <w:rPr>
          <w:lang w:val="ru-RU"/>
        </w:rPr>
        <w:t>Биохимический анализ крови (АЛТ, АСТ, билирубин, ЩФ, общий белок, альбумин, глюкоза, мочевина креатинин);</w:t>
      </w:r>
    </w:p>
    <w:p w14:paraId="1224BCB4" w14:textId="77777777" w:rsidR="00E556CD" w:rsidRPr="00E556CD" w:rsidRDefault="00E556CD" w:rsidP="007B46F5">
      <w:pPr>
        <w:pStyle w:val="ListParagraph"/>
        <w:numPr>
          <w:ilvl w:val="0"/>
          <w:numId w:val="54"/>
        </w:numPr>
        <w:suppressAutoHyphens w:val="0"/>
        <w:autoSpaceDN/>
        <w:spacing w:line="240" w:lineRule="auto"/>
        <w:contextualSpacing/>
        <w:textAlignment w:val="auto"/>
        <w:rPr>
          <w:lang w:val="ru-RU"/>
        </w:rPr>
      </w:pPr>
      <w:r w:rsidRPr="00E556CD">
        <w:rPr>
          <w:lang w:val="ru-RU"/>
        </w:rPr>
        <w:t>Оценка СКФ для коррекции дозы карбоплатина;</w:t>
      </w:r>
    </w:p>
    <w:p w14:paraId="2667F2B9" w14:textId="77777777" w:rsidR="00E556CD" w:rsidRDefault="00E556CD" w:rsidP="007B46F5">
      <w:pPr>
        <w:pStyle w:val="ListParagraph"/>
        <w:numPr>
          <w:ilvl w:val="0"/>
          <w:numId w:val="54"/>
        </w:numPr>
        <w:suppressAutoHyphens w:val="0"/>
        <w:autoSpaceDN/>
        <w:spacing w:line="240" w:lineRule="auto"/>
        <w:contextualSpacing/>
        <w:textAlignment w:val="auto"/>
      </w:pPr>
      <w:r>
        <w:t>Общий анализ мочи;</w:t>
      </w:r>
    </w:p>
    <w:p w14:paraId="7CD778EC" w14:textId="77777777" w:rsidR="00E556CD" w:rsidRPr="00E556CD" w:rsidRDefault="00E556CD" w:rsidP="007B46F5">
      <w:pPr>
        <w:pStyle w:val="ListParagraph"/>
        <w:numPr>
          <w:ilvl w:val="0"/>
          <w:numId w:val="54"/>
        </w:numPr>
        <w:suppressAutoHyphens w:val="0"/>
        <w:autoSpaceDN/>
        <w:spacing w:line="240" w:lineRule="auto"/>
        <w:contextualSpacing/>
        <w:textAlignment w:val="auto"/>
        <w:rPr>
          <w:lang w:val="ru-RU"/>
        </w:rPr>
      </w:pPr>
      <w:r w:rsidRPr="00E556CD">
        <w:rPr>
          <w:lang w:val="ru-RU"/>
        </w:rPr>
        <w:t>Тест на беременность (для женщин детородного возраста с сохраненным репродуктивным потенциалом);</w:t>
      </w:r>
    </w:p>
    <w:p w14:paraId="7146EE24" w14:textId="77777777" w:rsidR="00E556CD" w:rsidRDefault="00E556CD" w:rsidP="007B46F5">
      <w:pPr>
        <w:pStyle w:val="ListParagraph"/>
        <w:numPr>
          <w:ilvl w:val="0"/>
          <w:numId w:val="54"/>
        </w:numPr>
        <w:suppressAutoHyphens w:val="0"/>
        <w:autoSpaceDN/>
        <w:spacing w:line="240" w:lineRule="auto"/>
        <w:contextualSpacing/>
        <w:textAlignment w:val="auto"/>
      </w:pPr>
      <w:r>
        <w:t>ЭКГ;</w:t>
      </w:r>
    </w:p>
    <w:p w14:paraId="492AD762" w14:textId="77777777" w:rsidR="00E556CD" w:rsidRDefault="00E556CD" w:rsidP="007B46F5">
      <w:pPr>
        <w:pStyle w:val="ListParagraph"/>
        <w:numPr>
          <w:ilvl w:val="0"/>
          <w:numId w:val="54"/>
        </w:numPr>
        <w:suppressAutoHyphens w:val="0"/>
        <w:autoSpaceDN/>
        <w:spacing w:line="240" w:lineRule="auto"/>
        <w:contextualSpacing/>
        <w:textAlignment w:val="auto"/>
      </w:pPr>
      <w:r>
        <w:t>Оценка НЯ и СНЯ;</w:t>
      </w:r>
    </w:p>
    <w:p w14:paraId="0B95B1A2" w14:textId="77777777" w:rsidR="00E556CD" w:rsidRDefault="00E556CD" w:rsidP="007B46F5">
      <w:pPr>
        <w:pStyle w:val="ListParagraph"/>
        <w:numPr>
          <w:ilvl w:val="0"/>
          <w:numId w:val="54"/>
        </w:numPr>
        <w:suppressAutoHyphens w:val="0"/>
        <w:autoSpaceDN/>
        <w:spacing w:line="240" w:lineRule="auto"/>
        <w:contextualSpacing/>
        <w:textAlignment w:val="auto"/>
      </w:pPr>
      <w:r>
        <w:t>Оценка критериев исключения;</w:t>
      </w:r>
    </w:p>
    <w:p w14:paraId="08CC3DF7" w14:textId="77777777" w:rsidR="00E556CD" w:rsidRPr="00E556CD" w:rsidRDefault="00E556CD" w:rsidP="007B46F5">
      <w:pPr>
        <w:pStyle w:val="ListParagraph"/>
        <w:numPr>
          <w:ilvl w:val="0"/>
          <w:numId w:val="54"/>
        </w:numPr>
        <w:suppressAutoHyphens w:val="0"/>
        <w:autoSpaceDN/>
        <w:spacing w:line="240" w:lineRule="auto"/>
        <w:contextualSpacing/>
        <w:textAlignment w:val="auto"/>
        <w:rPr>
          <w:lang w:val="ru-RU"/>
        </w:rPr>
      </w:pPr>
      <w:r w:rsidRPr="00E556CD">
        <w:rPr>
          <w:lang w:val="ru-RU"/>
        </w:rPr>
        <w:t>Если допустимо с учетом наличия и выраженности токсичности и при отсутствии прогрессирования заболевания, шестое введение препаратов химиотерапии и бевацизумаба.</w:t>
      </w:r>
    </w:p>
    <w:p w14:paraId="1E71E35B" w14:textId="77777777" w:rsidR="00E556CD" w:rsidRDefault="00E556CD" w:rsidP="007B46F5">
      <w:pPr>
        <w:contextualSpacing/>
        <w:jc w:val="both"/>
      </w:pPr>
    </w:p>
    <w:p w14:paraId="122BDD7F" w14:textId="77777777" w:rsidR="00E556CD" w:rsidRPr="00CB5A63" w:rsidRDefault="00E556CD" w:rsidP="007B46F5">
      <w:pPr>
        <w:contextualSpacing/>
        <w:jc w:val="both"/>
        <w:rPr>
          <w:b/>
        </w:rPr>
      </w:pPr>
      <w:r w:rsidRPr="00CB5A63">
        <w:rPr>
          <w:b/>
        </w:rPr>
        <w:t>Визит 7, день 127±4, неделя 19 (цикл 7 для бевацизумаба):</w:t>
      </w:r>
    </w:p>
    <w:p w14:paraId="37DD16E5" w14:textId="77777777" w:rsidR="00E556CD" w:rsidRDefault="00E556CD" w:rsidP="007B46F5">
      <w:pPr>
        <w:contextualSpacing/>
        <w:jc w:val="both"/>
      </w:pPr>
    </w:p>
    <w:p w14:paraId="37C42D27" w14:textId="77777777" w:rsidR="00E556CD" w:rsidRDefault="00E556CD" w:rsidP="007B46F5">
      <w:pPr>
        <w:ind w:firstLine="708"/>
        <w:contextualSpacing/>
        <w:jc w:val="both"/>
      </w:pPr>
      <w:r>
        <w:t>Обследование и лечение пациентов в рамках каждого цикла может быть проведено в ходе госпитализации, в формате дневного стационара или амбулаторно (в соответствии в принятой практикой в клиническом центре). Перечень проводимых процедур исследования:</w:t>
      </w:r>
    </w:p>
    <w:p w14:paraId="7C050276" w14:textId="77777777" w:rsidR="00E556CD" w:rsidRDefault="00E556CD" w:rsidP="007B46F5">
      <w:pPr>
        <w:pStyle w:val="ListParagraph"/>
        <w:numPr>
          <w:ilvl w:val="0"/>
          <w:numId w:val="54"/>
        </w:numPr>
        <w:suppressAutoHyphens w:val="0"/>
        <w:autoSpaceDN/>
        <w:spacing w:line="240" w:lineRule="auto"/>
        <w:contextualSpacing/>
        <w:textAlignment w:val="auto"/>
      </w:pPr>
      <w:r>
        <w:t>Сбор жалоб;</w:t>
      </w:r>
    </w:p>
    <w:p w14:paraId="673C6C24" w14:textId="77777777" w:rsidR="00E556CD" w:rsidRDefault="00E556CD" w:rsidP="007B46F5">
      <w:pPr>
        <w:pStyle w:val="ListParagraph"/>
        <w:numPr>
          <w:ilvl w:val="0"/>
          <w:numId w:val="54"/>
        </w:numPr>
        <w:suppressAutoHyphens w:val="0"/>
        <w:autoSpaceDN/>
        <w:spacing w:line="240" w:lineRule="auto"/>
        <w:contextualSpacing/>
        <w:textAlignment w:val="auto"/>
      </w:pPr>
      <w:r>
        <w:t>Регистрация сопутствующей терапии;</w:t>
      </w:r>
    </w:p>
    <w:p w14:paraId="140D83E9" w14:textId="77777777" w:rsidR="00E556CD" w:rsidRDefault="00E556CD" w:rsidP="007B46F5">
      <w:pPr>
        <w:pStyle w:val="ListParagraph"/>
        <w:numPr>
          <w:ilvl w:val="0"/>
          <w:numId w:val="54"/>
        </w:numPr>
        <w:suppressAutoHyphens w:val="0"/>
        <w:autoSpaceDN/>
        <w:spacing w:line="240" w:lineRule="auto"/>
        <w:contextualSpacing/>
        <w:textAlignment w:val="auto"/>
      </w:pPr>
      <w:r>
        <w:t>Физикальный осмотр;</w:t>
      </w:r>
    </w:p>
    <w:p w14:paraId="658A4B86" w14:textId="77777777" w:rsidR="00E556CD" w:rsidRDefault="00E556CD" w:rsidP="007B46F5">
      <w:pPr>
        <w:pStyle w:val="ListParagraph"/>
        <w:numPr>
          <w:ilvl w:val="0"/>
          <w:numId w:val="54"/>
        </w:numPr>
        <w:suppressAutoHyphens w:val="0"/>
        <w:autoSpaceDN/>
        <w:spacing w:line="240" w:lineRule="auto"/>
        <w:contextualSpacing/>
        <w:textAlignment w:val="auto"/>
      </w:pPr>
      <w:r>
        <w:t>Оценка статуса по ECOG;</w:t>
      </w:r>
    </w:p>
    <w:p w14:paraId="05803145" w14:textId="77777777" w:rsidR="00E556CD" w:rsidRDefault="00E556CD" w:rsidP="007B46F5">
      <w:pPr>
        <w:pStyle w:val="ListParagraph"/>
        <w:numPr>
          <w:ilvl w:val="0"/>
          <w:numId w:val="54"/>
        </w:numPr>
        <w:suppressAutoHyphens w:val="0"/>
        <w:autoSpaceDN/>
        <w:spacing w:line="240" w:lineRule="auto"/>
        <w:contextualSpacing/>
        <w:textAlignment w:val="auto"/>
      </w:pPr>
      <w:r>
        <w:t>Измерение массы тела;</w:t>
      </w:r>
    </w:p>
    <w:p w14:paraId="21EED286" w14:textId="77777777" w:rsidR="00E556CD" w:rsidRPr="00E556CD" w:rsidRDefault="00E556CD" w:rsidP="007B46F5">
      <w:pPr>
        <w:pStyle w:val="ListParagraph"/>
        <w:numPr>
          <w:ilvl w:val="0"/>
          <w:numId w:val="54"/>
        </w:numPr>
        <w:suppressAutoHyphens w:val="0"/>
        <w:autoSpaceDN/>
        <w:spacing w:line="240" w:lineRule="auto"/>
        <w:contextualSpacing/>
        <w:textAlignment w:val="auto"/>
        <w:rPr>
          <w:lang w:val="ru-RU"/>
        </w:rPr>
      </w:pPr>
      <w:r w:rsidRPr="00E556CD">
        <w:rPr>
          <w:lang w:val="ru-RU"/>
        </w:rPr>
        <w:t>Оценка жизненно важных показателей (АД, ЧСС, ЧДД, температура тела);</w:t>
      </w:r>
    </w:p>
    <w:p w14:paraId="620F29D5" w14:textId="77777777" w:rsidR="00E556CD" w:rsidRDefault="00E556CD" w:rsidP="007B46F5">
      <w:pPr>
        <w:pStyle w:val="ListParagraph"/>
        <w:numPr>
          <w:ilvl w:val="0"/>
          <w:numId w:val="54"/>
        </w:numPr>
        <w:suppressAutoHyphens w:val="0"/>
        <w:autoSpaceDN/>
        <w:spacing w:line="240" w:lineRule="auto"/>
        <w:contextualSpacing/>
        <w:textAlignment w:val="auto"/>
      </w:pPr>
      <w:r>
        <w:t>Клинический анализ крови;</w:t>
      </w:r>
    </w:p>
    <w:p w14:paraId="7AC4B155" w14:textId="77777777" w:rsidR="00E556CD" w:rsidRPr="00E556CD" w:rsidRDefault="00E556CD" w:rsidP="007B46F5">
      <w:pPr>
        <w:pStyle w:val="ListParagraph"/>
        <w:numPr>
          <w:ilvl w:val="0"/>
          <w:numId w:val="54"/>
        </w:numPr>
        <w:suppressAutoHyphens w:val="0"/>
        <w:autoSpaceDN/>
        <w:spacing w:line="240" w:lineRule="auto"/>
        <w:contextualSpacing/>
        <w:textAlignment w:val="auto"/>
        <w:rPr>
          <w:lang w:val="ru-RU"/>
        </w:rPr>
      </w:pPr>
      <w:r w:rsidRPr="00E556CD">
        <w:rPr>
          <w:lang w:val="ru-RU"/>
        </w:rPr>
        <w:t>Биохимический анализ крови (АЛТ, АСТ, билирубин, ЩФ, общий белок, альбумин, глюкоза, мочевина креатинин);</w:t>
      </w:r>
    </w:p>
    <w:p w14:paraId="66D40BBA" w14:textId="77777777" w:rsidR="00E556CD" w:rsidRPr="00E556CD" w:rsidRDefault="00E556CD" w:rsidP="007B46F5">
      <w:pPr>
        <w:pStyle w:val="ListParagraph"/>
        <w:numPr>
          <w:ilvl w:val="0"/>
          <w:numId w:val="54"/>
        </w:numPr>
        <w:suppressAutoHyphens w:val="0"/>
        <w:autoSpaceDN/>
        <w:spacing w:line="240" w:lineRule="auto"/>
        <w:contextualSpacing/>
        <w:textAlignment w:val="auto"/>
        <w:rPr>
          <w:lang w:val="ru-RU"/>
        </w:rPr>
      </w:pPr>
      <w:r w:rsidRPr="00E556CD">
        <w:rPr>
          <w:lang w:val="ru-RU"/>
        </w:rPr>
        <w:t>Оценка СКФ (для оценки возможности выполнения исследования и выбора контрастного препарата, если планируется выполнение КТ или МРТ с контрастированием);</w:t>
      </w:r>
    </w:p>
    <w:p w14:paraId="6FD2D687" w14:textId="77777777" w:rsidR="00E556CD" w:rsidRPr="00E556CD" w:rsidRDefault="00E556CD" w:rsidP="007B46F5">
      <w:pPr>
        <w:pStyle w:val="ListParagraph"/>
        <w:numPr>
          <w:ilvl w:val="0"/>
          <w:numId w:val="54"/>
        </w:numPr>
        <w:suppressAutoHyphens w:val="0"/>
        <w:autoSpaceDN/>
        <w:spacing w:line="240" w:lineRule="auto"/>
        <w:contextualSpacing/>
        <w:textAlignment w:val="auto"/>
        <w:rPr>
          <w:lang w:val="ru-RU"/>
        </w:rPr>
      </w:pPr>
      <w:r w:rsidRPr="00E556CD">
        <w:rPr>
          <w:lang w:val="ru-RU"/>
        </w:rPr>
        <w:t>Анализ крови на уровень антител к бевацизумабу (в случае выявления антител – анализ на уровень нейтрализующих антител);</w:t>
      </w:r>
    </w:p>
    <w:p w14:paraId="067CF1D5" w14:textId="77777777" w:rsidR="00E556CD" w:rsidRDefault="00E556CD" w:rsidP="007B46F5">
      <w:pPr>
        <w:pStyle w:val="ListParagraph"/>
        <w:numPr>
          <w:ilvl w:val="0"/>
          <w:numId w:val="54"/>
        </w:numPr>
        <w:suppressAutoHyphens w:val="0"/>
        <w:autoSpaceDN/>
        <w:spacing w:line="240" w:lineRule="auto"/>
        <w:contextualSpacing/>
        <w:textAlignment w:val="auto"/>
      </w:pPr>
      <w:r>
        <w:t>Общий анализ мочи;</w:t>
      </w:r>
    </w:p>
    <w:p w14:paraId="0256245E" w14:textId="77777777" w:rsidR="00E556CD" w:rsidRPr="00E556CD" w:rsidRDefault="00E556CD" w:rsidP="007B46F5">
      <w:pPr>
        <w:pStyle w:val="ListParagraph"/>
        <w:numPr>
          <w:ilvl w:val="0"/>
          <w:numId w:val="54"/>
        </w:numPr>
        <w:suppressAutoHyphens w:val="0"/>
        <w:autoSpaceDN/>
        <w:spacing w:line="240" w:lineRule="auto"/>
        <w:contextualSpacing/>
        <w:textAlignment w:val="auto"/>
        <w:rPr>
          <w:lang w:val="ru-RU"/>
        </w:rPr>
      </w:pPr>
      <w:r w:rsidRPr="00E556CD">
        <w:rPr>
          <w:lang w:val="ru-RU"/>
        </w:rPr>
        <w:t>Тест на беременность (для женщин детородного возраста с сохраненным репродуктивным потенциалом);</w:t>
      </w:r>
    </w:p>
    <w:p w14:paraId="3DBDCF2A" w14:textId="77777777" w:rsidR="00E556CD" w:rsidRDefault="00E556CD" w:rsidP="007B46F5">
      <w:pPr>
        <w:pStyle w:val="ListParagraph"/>
        <w:numPr>
          <w:ilvl w:val="0"/>
          <w:numId w:val="54"/>
        </w:numPr>
        <w:suppressAutoHyphens w:val="0"/>
        <w:autoSpaceDN/>
        <w:spacing w:line="240" w:lineRule="auto"/>
        <w:contextualSpacing/>
        <w:textAlignment w:val="auto"/>
      </w:pPr>
      <w:r>
        <w:t>ЭКГ;</w:t>
      </w:r>
    </w:p>
    <w:p w14:paraId="35C14DC3" w14:textId="77777777" w:rsidR="00E556CD" w:rsidRPr="00E556CD" w:rsidRDefault="00E556CD" w:rsidP="007B46F5">
      <w:pPr>
        <w:pStyle w:val="ListParagraph"/>
        <w:numPr>
          <w:ilvl w:val="0"/>
          <w:numId w:val="54"/>
        </w:numPr>
        <w:suppressAutoHyphens w:val="0"/>
        <w:autoSpaceDN/>
        <w:spacing w:line="240" w:lineRule="auto"/>
        <w:contextualSpacing/>
        <w:textAlignment w:val="auto"/>
        <w:rPr>
          <w:lang w:val="ru-RU"/>
        </w:rPr>
      </w:pPr>
      <w:r w:rsidRPr="00E556CD">
        <w:rPr>
          <w:lang w:val="ru-RU"/>
        </w:rPr>
        <w:t>Оценка очагов с определением целевых (для количественной оценки) и нецелевых (для качественной оценки) поражений: КТ органов грудной клетки и брюшной полости (с контрастированием) + КТ (с контрастированием) или МРТ (с контрастированием) всех применимых областей с первичной опухолью и ранее выявленными метастазами или при подозрении на метастазы: головы, шеи, органов брюшной полости и малого таза, и т.д. (для оценки очагов должен быть использован тот же метод обследования, что и на скрининге, если только у пациента не возникают противопоказания к использованию соответствующего метода);</w:t>
      </w:r>
    </w:p>
    <w:p w14:paraId="53D0F19A" w14:textId="77777777" w:rsidR="00E556CD" w:rsidRDefault="00E556CD" w:rsidP="007B46F5">
      <w:pPr>
        <w:pStyle w:val="ListParagraph"/>
        <w:numPr>
          <w:ilvl w:val="0"/>
          <w:numId w:val="54"/>
        </w:numPr>
        <w:suppressAutoHyphens w:val="0"/>
        <w:autoSpaceDN/>
        <w:spacing w:line="240" w:lineRule="auto"/>
        <w:contextualSpacing/>
        <w:textAlignment w:val="auto"/>
      </w:pPr>
      <w:r>
        <w:t>Оценка НЯ и СНЯ;</w:t>
      </w:r>
    </w:p>
    <w:p w14:paraId="11D190E4" w14:textId="77777777" w:rsidR="00E556CD" w:rsidRDefault="00E556CD" w:rsidP="007B46F5">
      <w:pPr>
        <w:pStyle w:val="ListParagraph"/>
        <w:numPr>
          <w:ilvl w:val="0"/>
          <w:numId w:val="54"/>
        </w:numPr>
        <w:suppressAutoHyphens w:val="0"/>
        <w:autoSpaceDN/>
        <w:spacing w:line="240" w:lineRule="auto"/>
        <w:contextualSpacing/>
        <w:textAlignment w:val="auto"/>
      </w:pPr>
      <w:r>
        <w:t>Оценка критериев исключения;</w:t>
      </w:r>
    </w:p>
    <w:p w14:paraId="2FB03C8B" w14:textId="77777777" w:rsidR="00E556CD" w:rsidRPr="00E556CD" w:rsidRDefault="00E556CD" w:rsidP="007B46F5">
      <w:pPr>
        <w:pStyle w:val="ListParagraph"/>
        <w:numPr>
          <w:ilvl w:val="0"/>
          <w:numId w:val="54"/>
        </w:numPr>
        <w:suppressAutoHyphens w:val="0"/>
        <w:autoSpaceDN/>
        <w:spacing w:line="240" w:lineRule="auto"/>
        <w:contextualSpacing/>
        <w:textAlignment w:val="auto"/>
        <w:rPr>
          <w:lang w:val="ru-RU"/>
        </w:rPr>
      </w:pPr>
      <w:r w:rsidRPr="00E556CD">
        <w:rPr>
          <w:lang w:val="ru-RU"/>
        </w:rPr>
        <w:t>Если допустимо с учетом наличия и выраженности токсичности и при отсутствии прогрессирования заболевания, седьмое введение бевацизумаба.</w:t>
      </w:r>
    </w:p>
    <w:p w14:paraId="170F5F70" w14:textId="77777777" w:rsidR="00E556CD" w:rsidRDefault="00E556CD" w:rsidP="007B46F5">
      <w:pPr>
        <w:contextualSpacing/>
        <w:jc w:val="both"/>
      </w:pPr>
    </w:p>
    <w:p w14:paraId="43CD1558" w14:textId="77777777" w:rsidR="00E556CD" w:rsidRPr="00CB5A63" w:rsidRDefault="00E556CD" w:rsidP="007B46F5">
      <w:pPr>
        <w:contextualSpacing/>
        <w:jc w:val="both"/>
        <w:rPr>
          <w:b/>
        </w:rPr>
      </w:pPr>
      <w:r w:rsidRPr="00CB5A63">
        <w:rPr>
          <w:b/>
        </w:rPr>
        <w:t>Визит 8, день 148±4, неделя 22 (цикл 8 для бевацизумаба):</w:t>
      </w:r>
    </w:p>
    <w:p w14:paraId="2DB899A7" w14:textId="77777777" w:rsidR="00E556CD" w:rsidRDefault="00E556CD" w:rsidP="007B46F5">
      <w:pPr>
        <w:contextualSpacing/>
        <w:jc w:val="both"/>
      </w:pPr>
    </w:p>
    <w:p w14:paraId="1DEB567D" w14:textId="77777777" w:rsidR="00E556CD" w:rsidRDefault="00E556CD" w:rsidP="007B46F5">
      <w:pPr>
        <w:ind w:firstLine="708"/>
        <w:contextualSpacing/>
        <w:jc w:val="both"/>
      </w:pPr>
      <w:r>
        <w:t>Обследование и лечение пациентов в рамках каждого цикла может быть проведено в ходе госпитализации, в формате дневного стационара или амбулаторно (в соответствии с принятой практикой в клиническом центре). Перечень проводимых процедур исследования:</w:t>
      </w:r>
    </w:p>
    <w:p w14:paraId="6861C370" w14:textId="77777777" w:rsidR="00E556CD" w:rsidRDefault="00E556CD" w:rsidP="007B46F5">
      <w:pPr>
        <w:pStyle w:val="ListParagraph"/>
        <w:numPr>
          <w:ilvl w:val="0"/>
          <w:numId w:val="54"/>
        </w:numPr>
        <w:suppressAutoHyphens w:val="0"/>
        <w:autoSpaceDN/>
        <w:spacing w:line="240" w:lineRule="auto"/>
        <w:contextualSpacing/>
        <w:textAlignment w:val="auto"/>
      </w:pPr>
      <w:r>
        <w:t>Сбор жалоб;</w:t>
      </w:r>
    </w:p>
    <w:p w14:paraId="09938B37" w14:textId="77777777" w:rsidR="00E556CD" w:rsidRDefault="00E556CD" w:rsidP="007B46F5">
      <w:pPr>
        <w:pStyle w:val="ListParagraph"/>
        <w:numPr>
          <w:ilvl w:val="0"/>
          <w:numId w:val="54"/>
        </w:numPr>
        <w:suppressAutoHyphens w:val="0"/>
        <w:autoSpaceDN/>
        <w:spacing w:line="240" w:lineRule="auto"/>
        <w:contextualSpacing/>
        <w:textAlignment w:val="auto"/>
      </w:pPr>
      <w:r>
        <w:t>Регистрация сопутствующей терапии;</w:t>
      </w:r>
    </w:p>
    <w:p w14:paraId="7C506331" w14:textId="77777777" w:rsidR="00E556CD" w:rsidRDefault="00E556CD" w:rsidP="007B46F5">
      <w:pPr>
        <w:pStyle w:val="ListParagraph"/>
        <w:numPr>
          <w:ilvl w:val="0"/>
          <w:numId w:val="54"/>
        </w:numPr>
        <w:suppressAutoHyphens w:val="0"/>
        <w:autoSpaceDN/>
        <w:spacing w:line="240" w:lineRule="auto"/>
        <w:contextualSpacing/>
        <w:textAlignment w:val="auto"/>
      </w:pPr>
      <w:r>
        <w:t>Физикальный осмотр;</w:t>
      </w:r>
    </w:p>
    <w:p w14:paraId="32FA4111" w14:textId="77777777" w:rsidR="00E556CD" w:rsidRDefault="00E556CD" w:rsidP="007B46F5">
      <w:pPr>
        <w:pStyle w:val="ListParagraph"/>
        <w:numPr>
          <w:ilvl w:val="0"/>
          <w:numId w:val="54"/>
        </w:numPr>
        <w:suppressAutoHyphens w:val="0"/>
        <w:autoSpaceDN/>
        <w:spacing w:line="240" w:lineRule="auto"/>
        <w:contextualSpacing/>
        <w:textAlignment w:val="auto"/>
      </w:pPr>
      <w:r>
        <w:t>Оценка статуса по ECOG;</w:t>
      </w:r>
    </w:p>
    <w:p w14:paraId="459F032A" w14:textId="77777777" w:rsidR="00E556CD" w:rsidRDefault="00E556CD" w:rsidP="007B46F5">
      <w:pPr>
        <w:pStyle w:val="ListParagraph"/>
        <w:numPr>
          <w:ilvl w:val="0"/>
          <w:numId w:val="54"/>
        </w:numPr>
        <w:suppressAutoHyphens w:val="0"/>
        <w:autoSpaceDN/>
        <w:spacing w:line="240" w:lineRule="auto"/>
        <w:contextualSpacing/>
        <w:textAlignment w:val="auto"/>
      </w:pPr>
      <w:r>
        <w:t>Измерение массы тела;</w:t>
      </w:r>
    </w:p>
    <w:p w14:paraId="004941DF" w14:textId="77777777" w:rsidR="00E556CD" w:rsidRPr="00E556CD" w:rsidRDefault="00E556CD" w:rsidP="007B46F5">
      <w:pPr>
        <w:pStyle w:val="ListParagraph"/>
        <w:numPr>
          <w:ilvl w:val="0"/>
          <w:numId w:val="54"/>
        </w:numPr>
        <w:suppressAutoHyphens w:val="0"/>
        <w:autoSpaceDN/>
        <w:spacing w:line="240" w:lineRule="auto"/>
        <w:contextualSpacing/>
        <w:textAlignment w:val="auto"/>
        <w:rPr>
          <w:lang w:val="ru-RU"/>
        </w:rPr>
      </w:pPr>
      <w:r w:rsidRPr="00E556CD">
        <w:rPr>
          <w:lang w:val="ru-RU"/>
        </w:rPr>
        <w:t>Оценка жизненно важных показателей (АД, ЧСС, ЧДД, температура тела);</w:t>
      </w:r>
    </w:p>
    <w:p w14:paraId="1570B2CC" w14:textId="77777777" w:rsidR="00E556CD" w:rsidRDefault="00E556CD" w:rsidP="007B46F5">
      <w:pPr>
        <w:pStyle w:val="ListParagraph"/>
        <w:numPr>
          <w:ilvl w:val="0"/>
          <w:numId w:val="54"/>
        </w:numPr>
        <w:suppressAutoHyphens w:val="0"/>
        <w:autoSpaceDN/>
        <w:spacing w:line="240" w:lineRule="auto"/>
        <w:contextualSpacing/>
        <w:textAlignment w:val="auto"/>
      </w:pPr>
      <w:r>
        <w:t>Клинический анализ крови;</w:t>
      </w:r>
    </w:p>
    <w:p w14:paraId="1F880B16" w14:textId="77777777" w:rsidR="00E556CD" w:rsidRPr="00E556CD" w:rsidRDefault="00E556CD" w:rsidP="007B46F5">
      <w:pPr>
        <w:pStyle w:val="ListParagraph"/>
        <w:numPr>
          <w:ilvl w:val="0"/>
          <w:numId w:val="54"/>
        </w:numPr>
        <w:suppressAutoHyphens w:val="0"/>
        <w:autoSpaceDN/>
        <w:spacing w:line="240" w:lineRule="auto"/>
        <w:contextualSpacing/>
        <w:textAlignment w:val="auto"/>
        <w:rPr>
          <w:lang w:val="ru-RU"/>
        </w:rPr>
      </w:pPr>
      <w:r w:rsidRPr="00E556CD">
        <w:rPr>
          <w:lang w:val="ru-RU"/>
        </w:rPr>
        <w:t>Биохимический анализ крови (АЛТ, АСТ, билирубин, ЩФ, общий белок, альбумин, глюкоза, мочевина креатинин);</w:t>
      </w:r>
    </w:p>
    <w:p w14:paraId="411E1E12" w14:textId="77777777" w:rsidR="00E556CD" w:rsidRDefault="00E556CD" w:rsidP="007B46F5">
      <w:pPr>
        <w:pStyle w:val="ListParagraph"/>
        <w:numPr>
          <w:ilvl w:val="0"/>
          <w:numId w:val="54"/>
        </w:numPr>
        <w:suppressAutoHyphens w:val="0"/>
        <w:autoSpaceDN/>
        <w:spacing w:line="240" w:lineRule="auto"/>
        <w:contextualSpacing/>
        <w:textAlignment w:val="auto"/>
      </w:pPr>
      <w:r>
        <w:t>Общий анализ мочи;</w:t>
      </w:r>
    </w:p>
    <w:p w14:paraId="3B7464BE" w14:textId="77777777" w:rsidR="00E556CD" w:rsidRPr="00E556CD" w:rsidRDefault="00E556CD" w:rsidP="007B46F5">
      <w:pPr>
        <w:pStyle w:val="ListParagraph"/>
        <w:numPr>
          <w:ilvl w:val="0"/>
          <w:numId w:val="54"/>
        </w:numPr>
        <w:suppressAutoHyphens w:val="0"/>
        <w:autoSpaceDN/>
        <w:spacing w:line="240" w:lineRule="auto"/>
        <w:contextualSpacing/>
        <w:textAlignment w:val="auto"/>
        <w:rPr>
          <w:lang w:val="ru-RU"/>
        </w:rPr>
      </w:pPr>
      <w:r w:rsidRPr="00E556CD">
        <w:rPr>
          <w:lang w:val="ru-RU"/>
        </w:rPr>
        <w:t>Тест на беременность (для женщин детородного возраста с сохраненным репродуктивным потенциалом);</w:t>
      </w:r>
    </w:p>
    <w:p w14:paraId="7B499C72" w14:textId="77777777" w:rsidR="00E556CD" w:rsidRDefault="00E556CD" w:rsidP="007B46F5">
      <w:pPr>
        <w:pStyle w:val="ListParagraph"/>
        <w:numPr>
          <w:ilvl w:val="0"/>
          <w:numId w:val="54"/>
        </w:numPr>
        <w:suppressAutoHyphens w:val="0"/>
        <w:autoSpaceDN/>
        <w:spacing w:line="240" w:lineRule="auto"/>
        <w:contextualSpacing/>
        <w:textAlignment w:val="auto"/>
      </w:pPr>
      <w:r>
        <w:t>ЭКГ;</w:t>
      </w:r>
    </w:p>
    <w:p w14:paraId="5203AFEF" w14:textId="77777777" w:rsidR="00E556CD" w:rsidRDefault="00E556CD" w:rsidP="007B46F5">
      <w:pPr>
        <w:pStyle w:val="ListParagraph"/>
        <w:numPr>
          <w:ilvl w:val="0"/>
          <w:numId w:val="54"/>
        </w:numPr>
        <w:suppressAutoHyphens w:val="0"/>
        <w:autoSpaceDN/>
        <w:spacing w:line="240" w:lineRule="auto"/>
        <w:contextualSpacing/>
        <w:textAlignment w:val="auto"/>
      </w:pPr>
      <w:r>
        <w:t>Оценка НЯ и СНЯ;</w:t>
      </w:r>
    </w:p>
    <w:p w14:paraId="72813AAA" w14:textId="77777777" w:rsidR="00E556CD" w:rsidRDefault="00E556CD" w:rsidP="007B46F5">
      <w:pPr>
        <w:pStyle w:val="ListParagraph"/>
        <w:numPr>
          <w:ilvl w:val="0"/>
          <w:numId w:val="54"/>
        </w:numPr>
        <w:suppressAutoHyphens w:val="0"/>
        <w:autoSpaceDN/>
        <w:spacing w:line="240" w:lineRule="auto"/>
        <w:contextualSpacing/>
        <w:textAlignment w:val="auto"/>
      </w:pPr>
      <w:r>
        <w:t>Оценка критериев исключения;</w:t>
      </w:r>
    </w:p>
    <w:p w14:paraId="62B4799A" w14:textId="77777777" w:rsidR="00E556CD" w:rsidRPr="00E556CD" w:rsidRDefault="00E556CD" w:rsidP="007B46F5">
      <w:pPr>
        <w:pStyle w:val="ListParagraph"/>
        <w:numPr>
          <w:ilvl w:val="0"/>
          <w:numId w:val="54"/>
        </w:numPr>
        <w:suppressAutoHyphens w:val="0"/>
        <w:autoSpaceDN/>
        <w:spacing w:line="240" w:lineRule="auto"/>
        <w:contextualSpacing/>
        <w:textAlignment w:val="auto"/>
        <w:rPr>
          <w:lang w:val="ru-RU"/>
        </w:rPr>
      </w:pPr>
      <w:r w:rsidRPr="00E556CD">
        <w:rPr>
          <w:lang w:val="ru-RU"/>
        </w:rPr>
        <w:t>Если допустимо с учетом наличия и выраженности токсичности и при отсутствии прогрессирования заболевания, очередное введение бевацизумаба.</w:t>
      </w:r>
    </w:p>
    <w:p w14:paraId="40A9EDE0" w14:textId="77777777" w:rsidR="00E556CD" w:rsidRDefault="00E556CD" w:rsidP="007B46F5">
      <w:pPr>
        <w:contextualSpacing/>
        <w:jc w:val="both"/>
      </w:pPr>
    </w:p>
    <w:p w14:paraId="5217778D" w14:textId="77777777" w:rsidR="00E556CD" w:rsidRPr="00CB5A63" w:rsidRDefault="00E556CD" w:rsidP="007B46F5">
      <w:pPr>
        <w:contextualSpacing/>
        <w:jc w:val="both"/>
        <w:rPr>
          <w:b/>
        </w:rPr>
      </w:pPr>
      <w:r w:rsidRPr="00CB5A63">
        <w:rPr>
          <w:b/>
        </w:rPr>
        <w:t>Визит 9, день 169±4, неделя 25 (цикл 9 для бевацизумаба)</w:t>
      </w:r>
    </w:p>
    <w:p w14:paraId="69523982" w14:textId="77777777" w:rsidR="00E556CD" w:rsidRDefault="00E556CD" w:rsidP="007B46F5">
      <w:pPr>
        <w:contextualSpacing/>
        <w:jc w:val="both"/>
      </w:pPr>
    </w:p>
    <w:p w14:paraId="12750F8A" w14:textId="77777777" w:rsidR="00E556CD" w:rsidRDefault="00E556CD" w:rsidP="007B46F5">
      <w:pPr>
        <w:ind w:firstLine="708"/>
        <w:contextualSpacing/>
        <w:jc w:val="both"/>
      </w:pPr>
      <w:r>
        <w:t>Обследование и лечение пациентов в рамках каждого цикла может быть проведено в ходе госпитализации, в формате дневного стационара или амбулаторно (в соответствии с принятой практикой в клиническом центре). Перечень проводимых процедур исследования:</w:t>
      </w:r>
    </w:p>
    <w:p w14:paraId="2FE1D668" w14:textId="77777777" w:rsidR="00E556CD" w:rsidRDefault="00E556CD" w:rsidP="007B46F5">
      <w:pPr>
        <w:pStyle w:val="ListParagraph"/>
        <w:numPr>
          <w:ilvl w:val="0"/>
          <w:numId w:val="54"/>
        </w:numPr>
        <w:suppressAutoHyphens w:val="0"/>
        <w:autoSpaceDN/>
        <w:spacing w:line="240" w:lineRule="auto"/>
        <w:contextualSpacing/>
        <w:textAlignment w:val="auto"/>
      </w:pPr>
      <w:r>
        <w:t>Сбор жалоб;</w:t>
      </w:r>
    </w:p>
    <w:p w14:paraId="05EB333E" w14:textId="77777777" w:rsidR="00E556CD" w:rsidRDefault="00E556CD" w:rsidP="007B46F5">
      <w:pPr>
        <w:pStyle w:val="ListParagraph"/>
        <w:numPr>
          <w:ilvl w:val="0"/>
          <w:numId w:val="54"/>
        </w:numPr>
        <w:suppressAutoHyphens w:val="0"/>
        <w:autoSpaceDN/>
        <w:spacing w:line="240" w:lineRule="auto"/>
        <w:contextualSpacing/>
        <w:textAlignment w:val="auto"/>
      </w:pPr>
      <w:r>
        <w:t>Регистрация сопутствующей терапии;</w:t>
      </w:r>
    </w:p>
    <w:p w14:paraId="2B1994BC" w14:textId="77777777" w:rsidR="00E556CD" w:rsidRDefault="00E556CD" w:rsidP="007B46F5">
      <w:pPr>
        <w:pStyle w:val="ListParagraph"/>
        <w:numPr>
          <w:ilvl w:val="0"/>
          <w:numId w:val="54"/>
        </w:numPr>
        <w:suppressAutoHyphens w:val="0"/>
        <w:autoSpaceDN/>
        <w:spacing w:line="240" w:lineRule="auto"/>
        <w:contextualSpacing/>
        <w:textAlignment w:val="auto"/>
      </w:pPr>
      <w:r>
        <w:t>Физикальный осмотр;</w:t>
      </w:r>
    </w:p>
    <w:p w14:paraId="0F6BC784" w14:textId="77777777" w:rsidR="00E556CD" w:rsidRDefault="00E556CD" w:rsidP="007B46F5">
      <w:pPr>
        <w:pStyle w:val="ListParagraph"/>
        <w:numPr>
          <w:ilvl w:val="0"/>
          <w:numId w:val="54"/>
        </w:numPr>
        <w:suppressAutoHyphens w:val="0"/>
        <w:autoSpaceDN/>
        <w:spacing w:line="240" w:lineRule="auto"/>
        <w:contextualSpacing/>
        <w:textAlignment w:val="auto"/>
      </w:pPr>
      <w:r>
        <w:t>Оценка статуса по ECOG;</w:t>
      </w:r>
    </w:p>
    <w:p w14:paraId="34D1D6EA" w14:textId="77777777" w:rsidR="00E556CD" w:rsidRDefault="00E556CD" w:rsidP="007B46F5">
      <w:pPr>
        <w:pStyle w:val="ListParagraph"/>
        <w:numPr>
          <w:ilvl w:val="0"/>
          <w:numId w:val="54"/>
        </w:numPr>
        <w:suppressAutoHyphens w:val="0"/>
        <w:autoSpaceDN/>
        <w:spacing w:line="240" w:lineRule="auto"/>
        <w:contextualSpacing/>
        <w:textAlignment w:val="auto"/>
      </w:pPr>
      <w:r>
        <w:t>Измерение массы тела;</w:t>
      </w:r>
    </w:p>
    <w:p w14:paraId="712E9F2E" w14:textId="77777777" w:rsidR="00E556CD" w:rsidRPr="00E556CD" w:rsidRDefault="00E556CD" w:rsidP="007B46F5">
      <w:pPr>
        <w:pStyle w:val="ListParagraph"/>
        <w:numPr>
          <w:ilvl w:val="0"/>
          <w:numId w:val="54"/>
        </w:numPr>
        <w:suppressAutoHyphens w:val="0"/>
        <w:autoSpaceDN/>
        <w:spacing w:line="240" w:lineRule="auto"/>
        <w:contextualSpacing/>
        <w:textAlignment w:val="auto"/>
        <w:rPr>
          <w:lang w:val="ru-RU"/>
        </w:rPr>
      </w:pPr>
      <w:r w:rsidRPr="00E556CD">
        <w:rPr>
          <w:lang w:val="ru-RU"/>
        </w:rPr>
        <w:t>Оценка жизненно важных показателей (АД, ЧСС, ЧДД, температура тела);</w:t>
      </w:r>
    </w:p>
    <w:p w14:paraId="249D8F30" w14:textId="77777777" w:rsidR="00E556CD" w:rsidRDefault="00E556CD" w:rsidP="007B46F5">
      <w:pPr>
        <w:pStyle w:val="ListParagraph"/>
        <w:numPr>
          <w:ilvl w:val="0"/>
          <w:numId w:val="58"/>
        </w:numPr>
        <w:suppressAutoHyphens w:val="0"/>
        <w:autoSpaceDN/>
        <w:spacing w:line="240" w:lineRule="auto"/>
        <w:contextualSpacing/>
        <w:textAlignment w:val="auto"/>
      </w:pPr>
      <w:r>
        <w:t>Клинический анализ крови;</w:t>
      </w:r>
    </w:p>
    <w:p w14:paraId="4B8AF86F" w14:textId="77777777" w:rsidR="00E556CD" w:rsidRPr="00E556CD" w:rsidRDefault="00E556CD" w:rsidP="007B46F5">
      <w:pPr>
        <w:pStyle w:val="ListParagraph"/>
        <w:numPr>
          <w:ilvl w:val="0"/>
          <w:numId w:val="58"/>
        </w:numPr>
        <w:suppressAutoHyphens w:val="0"/>
        <w:autoSpaceDN/>
        <w:spacing w:line="240" w:lineRule="auto"/>
        <w:contextualSpacing/>
        <w:textAlignment w:val="auto"/>
        <w:rPr>
          <w:lang w:val="ru-RU"/>
        </w:rPr>
      </w:pPr>
      <w:r w:rsidRPr="00E556CD">
        <w:rPr>
          <w:lang w:val="ru-RU"/>
        </w:rPr>
        <w:t>Биохимический анализ крови (АЛТ, АСТ, билирубин, ЩФ, общий белок, альбумин, глюкоза, мочевина креатинин);</w:t>
      </w:r>
    </w:p>
    <w:p w14:paraId="2D69858E" w14:textId="77777777" w:rsidR="00E556CD" w:rsidRPr="00E556CD" w:rsidRDefault="00E556CD" w:rsidP="007B46F5">
      <w:pPr>
        <w:pStyle w:val="ListParagraph"/>
        <w:numPr>
          <w:ilvl w:val="0"/>
          <w:numId w:val="58"/>
        </w:numPr>
        <w:suppressAutoHyphens w:val="0"/>
        <w:autoSpaceDN/>
        <w:spacing w:line="240" w:lineRule="auto"/>
        <w:contextualSpacing/>
        <w:textAlignment w:val="auto"/>
        <w:rPr>
          <w:lang w:val="ru-RU"/>
        </w:rPr>
      </w:pPr>
      <w:r w:rsidRPr="00E556CD">
        <w:rPr>
          <w:lang w:val="ru-RU"/>
        </w:rPr>
        <w:t>Коагулограмма (Активированное частичное тромбопластиновое время (АЧТВ), протромбиновое время (ПВ), фибриноген, международное нормализованное отношение (МНО));</w:t>
      </w:r>
    </w:p>
    <w:p w14:paraId="44355A26" w14:textId="77777777" w:rsidR="00E556CD" w:rsidRPr="00E556CD" w:rsidRDefault="00E556CD" w:rsidP="007B46F5">
      <w:pPr>
        <w:pStyle w:val="ListParagraph"/>
        <w:numPr>
          <w:ilvl w:val="0"/>
          <w:numId w:val="58"/>
        </w:numPr>
        <w:suppressAutoHyphens w:val="0"/>
        <w:autoSpaceDN/>
        <w:spacing w:line="240" w:lineRule="auto"/>
        <w:contextualSpacing/>
        <w:textAlignment w:val="auto"/>
        <w:rPr>
          <w:lang w:val="ru-RU"/>
        </w:rPr>
      </w:pPr>
      <w:r w:rsidRPr="00E556CD">
        <w:rPr>
          <w:lang w:val="ru-RU"/>
        </w:rPr>
        <w:t>Анализ крови на уровень антител к бевацизумабу (в случае выявления антител – анализ на уровень нейтрализующих антител);</w:t>
      </w:r>
    </w:p>
    <w:p w14:paraId="4DD03B2C" w14:textId="77777777" w:rsidR="00E556CD" w:rsidRPr="00E556CD" w:rsidRDefault="00E556CD" w:rsidP="007B46F5">
      <w:pPr>
        <w:pStyle w:val="ListParagraph"/>
        <w:numPr>
          <w:ilvl w:val="0"/>
          <w:numId w:val="58"/>
        </w:numPr>
        <w:suppressAutoHyphens w:val="0"/>
        <w:autoSpaceDN/>
        <w:spacing w:line="240" w:lineRule="auto"/>
        <w:contextualSpacing/>
        <w:textAlignment w:val="auto"/>
        <w:rPr>
          <w:lang w:val="ru-RU"/>
        </w:rPr>
      </w:pPr>
      <w:r w:rsidRPr="00E556CD">
        <w:rPr>
          <w:lang w:val="ru-RU"/>
        </w:rPr>
        <w:t>Оценка СКФ (для оценки возможности выполнения исследования и выбора контрастного препарата, если планируется выполнение КТ или МРТ с контрастированием);</w:t>
      </w:r>
    </w:p>
    <w:p w14:paraId="487AD8E1" w14:textId="77777777" w:rsidR="00E556CD" w:rsidRDefault="00E556CD" w:rsidP="007B46F5">
      <w:pPr>
        <w:pStyle w:val="ListParagraph"/>
        <w:numPr>
          <w:ilvl w:val="0"/>
          <w:numId w:val="58"/>
        </w:numPr>
        <w:suppressAutoHyphens w:val="0"/>
        <w:autoSpaceDN/>
        <w:spacing w:line="240" w:lineRule="auto"/>
        <w:contextualSpacing/>
        <w:textAlignment w:val="auto"/>
      </w:pPr>
      <w:r>
        <w:t>Общий анализ мочи;</w:t>
      </w:r>
    </w:p>
    <w:p w14:paraId="2BDF1E09" w14:textId="77777777" w:rsidR="00E556CD" w:rsidRPr="00E556CD" w:rsidRDefault="00E556CD" w:rsidP="007B46F5">
      <w:pPr>
        <w:pStyle w:val="ListParagraph"/>
        <w:numPr>
          <w:ilvl w:val="0"/>
          <w:numId w:val="58"/>
        </w:numPr>
        <w:suppressAutoHyphens w:val="0"/>
        <w:autoSpaceDN/>
        <w:spacing w:line="240" w:lineRule="auto"/>
        <w:contextualSpacing/>
        <w:textAlignment w:val="auto"/>
        <w:rPr>
          <w:lang w:val="ru-RU"/>
        </w:rPr>
      </w:pPr>
      <w:r w:rsidRPr="00E556CD">
        <w:rPr>
          <w:lang w:val="ru-RU"/>
        </w:rPr>
        <w:t>Тест на беременность (для женщин детородного возраста с сохраненным репродуктивным потенциалом);</w:t>
      </w:r>
    </w:p>
    <w:p w14:paraId="29900122" w14:textId="77777777" w:rsidR="00E556CD" w:rsidRDefault="00E556CD" w:rsidP="007B46F5">
      <w:pPr>
        <w:pStyle w:val="ListParagraph"/>
        <w:numPr>
          <w:ilvl w:val="0"/>
          <w:numId w:val="58"/>
        </w:numPr>
        <w:suppressAutoHyphens w:val="0"/>
        <w:autoSpaceDN/>
        <w:spacing w:line="240" w:lineRule="auto"/>
        <w:contextualSpacing/>
        <w:textAlignment w:val="auto"/>
      </w:pPr>
      <w:r>
        <w:t>ЭКГ;</w:t>
      </w:r>
    </w:p>
    <w:p w14:paraId="1488423B" w14:textId="77777777" w:rsidR="00E556CD" w:rsidRPr="00E556CD" w:rsidRDefault="00E556CD" w:rsidP="007B46F5">
      <w:pPr>
        <w:pStyle w:val="ListParagraph"/>
        <w:numPr>
          <w:ilvl w:val="0"/>
          <w:numId w:val="58"/>
        </w:numPr>
        <w:suppressAutoHyphens w:val="0"/>
        <w:autoSpaceDN/>
        <w:spacing w:line="240" w:lineRule="auto"/>
        <w:contextualSpacing/>
        <w:textAlignment w:val="auto"/>
        <w:rPr>
          <w:lang w:val="ru-RU"/>
        </w:rPr>
      </w:pPr>
      <w:r w:rsidRPr="00E556CD">
        <w:rPr>
          <w:lang w:val="ru-RU"/>
        </w:rPr>
        <w:t>Оценка очагов с определением целевых (для количественной оценки) и нецелевых (для качественной оценки) поражений: КТ органов грудной клетки и брюшной полости (с контрастированием) + КТ (с контрастированием) или МРТ (с контрастированием) всех применимых областей с первичной опухолью и ранее выявленными метастазами или при подозрении на метастазы: головы, шеи, органов брюшной полости и малого таза, и т.д. (для оценки очагов должен быть использован тот же метод обследования, что и на скрининге, если только у пациента не возникают противопоказания к использованию соответствующего метода);</w:t>
      </w:r>
    </w:p>
    <w:p w14:paraId="4A6192D8" w14:textId="77777777" w:rsidR="00E556CD" w:rsidRDefault="00E556CD" w:rsidP="007B46F5">
      <w:pPr>
        <w:pStyle w:val="ListParagraph"/>
        <w:numPr>
          <w:ilvl w:val="0"/>
          <w:numId w:val="58"/>
        </w:numPr>
        <w:suppressAutoHyphens w:val="0"/>
        <w:autoSpaceDN/>
        <w:spacing w:line="240" w:lineRule="auto"/>
        <w:contextualSpacing/>
        <w:textAlignment w:val="auto"/>
      </w:pPr>
      <w:r>
        <w:t>Оценка НЯ и СНЯ;</w:t>
      </w:r>
    </w:p>
    <w:p w14:paraId="1C4B5844" w14:textId="77777777" w:rsidR="00E556CD" w:rsidRDefault="00E556CD" w:rsidP="007B46F5">
      <w:pPr>
        <w:pStyle w:val="ListParagraph"/>
        <w:numPr>
          <w:ilvl w:val="0"/>
          <w:numId w:val="58"/>
        </w:numPr>
        <w:suppressAutoHyphens w:val="0"/>
        <w:autoSpaceDN/>
        <w:spacing w:line="240" w:lineRule="auto"/>
        <w:contextualSpacing/>
        <w:textAlignment w:val="auto"/>
      </w:pPr>
      <w:r>
        <w:t>Оценка критериев исключения;</w:t>
      </w:r>
    </w:p>
    <w:p w14:paraId="1185DC7B" w14:textId="77777777" w:rsidR="00E556CD" w:rsidRPr="00E556CD" w:rsidRDefault="00E556CD" w:rsidP="007B46F5">
      <w:pPr>
        <w:pStyle w:val="ListParagraph"/>
        <w:numPr>
          <w:ilvl w:val="0"/>
          <w:numId w:val="58"/>
        </w:numPr>
        <w:suppressAutoHyphens w:val="0"/>
        <w:autoSpaceDN/>
        <w:spacing w:line="240" w:lineRule="auto"/>
        <w:contextualSpacing/>
        <w:textAlignment w:val="auto"/>
        <w:rPr>
          <w:lang w:val="ru-RU"/>
        </w:rPr>
      </w:pPr>
      <w:r w:rsidRPr="00E556CD">
        <w:rPr>
          <w:lang w:val="ru-RU"/>
        </w:rPr>
        <w:t>Если допустимо с учетом наличия и выраженности токсичности и при отсутствии прогрессирования заболевания, очередное введение бевацизумаба;</w:t>
      </w:r>
    </w:p>
    <w:p w14:paraId="576821DD" w14:textId="77777777" w:rsidR="00E556CD" w:rsidRDefault="00E556CD" w:rsidP="007B46F5">
      <w:pPr>
        <w:contextualSpacing/>
        <w:jc w:val="both"/>
      </w:pPr>
      <w:r>
        <w:t>При сохранении клинической пользы от лечения бевацизумабом пациент информируется о продолжении участия в продленной части исследования.</w:t>
      </w:r>
    </w:p>
    <w:p w14:paraId="50E80A8E" w14:textId="77777777" w:rsidR="00E556CD" w:rsidRDefault="00E556CD" w:rsidP="007B46F5">
      <w:pPr>
        <w:contextualSpacing/>
        <w:jc w:val="both"/>
      </w:pPr>
    </w:p>
    <w:p w14:paraId="70E9B94F" w14:textId="77777777" w:rsidR="00E556CD" w:rsidRDefault="00E556CD" w:rsidP="007B46F5">
      <w:pPr>
        <w:contextualSpacing/>
        <w:jc w:val="both"/>
        <w:rPr>
          <w:b/>
        </w:rPr>
      </w:pPr>
      <w:r w:rsidRPr="00CB5A63">
        <w:rPr>
          <w:b/>
        </w:rPr>
        <w:t>Продленная часть исследования (начиная с цикла 10, неделя 28) и период последующего наблюдения и терапии (визиты 19+)</w:t>
      </w:r>
    </w:p>
    <w:p w14:paraId="5176EFBA" w14:textId="77777777" w:rsidR="00E556CD" w:rsidRPr="00CB5A63" w:rsidRDefault="00E556CD" w:rsidP="007B46F5">
      <w:pPr>
        <w:contextualSpacing/>
        <w:jc w:val="both"/>
        <w:rPr>
          <w:b/>
        </w:rPr>
      </w:pPr>
    </w:p>
    <w:p w14:paraId="5AD79F4A" w14:textId="77777777" w:rsidR="00E556CD" w:rsidRDefault="00E556CD" w:rsidP="007B46F5">
      <w:pPr>
        <w:ind w:firstLine="708"/>
        <w:contextualSpacing/>
        <w:jc w:val="both"/>
      </w:pPr>
      <w:r>
        <w:t>В случае, если пациенту после 6 месяцев лечения все еще показан бевацизумаб, пациент переходит в продленную часть (до визита 18 включительно) и далее в период последующего наблюдения и терапии (визиты 19+) монотерапии исследуемым препаратом RPH-001 или препаратом сравнения Авастин® в соответствии с рандомизационным кодом в заслепленном (до получения результатов основной части исследования) режиме до прогрессирования заболевания (в соответствии с критериями ответа солидных опухолей  [response evaluation criteria in solid tumors,  RECIST версии 1.1] и/или развития неприемлемой токсичности и/или решения исследователя о необходимости выведения пациента из исследования в интересах пациента и/или отзыва информированного согласия или смерти пациента, в зависимости от того, что произойдет раньше. В продленной части исследования и в периоде последующего наблюдения и терапии продолжается (в заслепленном режиме) введение бевацизумаба каждые 3 недели (с окном ±4 дня). После получения результатов окончательного анализа эффективности, в случае доказательства эквивалентности исследуемого препарата RPH-001 препарату сравнения Авастин® на ближайшем визите пациентам в рамках продленной части исследования будет предложено перейти с лечения препаратом сравнения Авастин® на лечение препаратом RPH-001. При отказе пациента от такого перевода пациент прекращает терапию в рамках исследования. После этого для оценки дожития с пациентом будет поддерживаться телефонный контакт каждые 2 месяца (±14 дней) до 12 месяцев от момента рандомизации..</w:t>
      </w:r>
    </w:p>
    <w:p w14:paraId="1D06C93B" w14:textId="77777777" w:rsidR="00E556CD" w:rsidRDefault="00E556CD" w:rsidP="007B46F5">
      <w:pPr>
        <w:contextualSpacing/>
        <w:jc w:val="both"/>
      </w:pPr>
    </w:p>
    <w:p w14:paraId="28628CC4" w14:textId="77777777" w:rsidR="00E556CD" w:rsidRPr="00CB5A63" w:rsidRDefault="00E556CD" w:rsidP="007B46F5">
      <w:pPr>
        <w:contextualSpacing/>
        <w:jc w:val="both"/>
        <w:rPr>
          <w:b/>
        </w:rPr>
      </w:pPr>
      <w:r w:rsidRPr="00CB5A63">
        <w:rPr>
          <w:b/>
        </w:rPr>
        <w:t>Визиты 10 (день 190±4, неделя 28), 11 (день 211±4, неделя 31), 13 (день 253±4, неделя 37), 14 (день 274, ±4 неделя 40), 16 (день 316±4, неделя 46) и 17 (день 337±4, неделя 49):</w:t>
      </w:r>
    </w:p>
    <w:p w14:paraId="67BEF4BF" w14:textId="77777777" w:rsidR="00E556CD" w:rsidRDefault="00E556CD" w:rsidP="007B46F5">
      <w:pPr>
        <w:contextualSpacing/>
        <w:jc w:val="both"/>
      </w:pPr>
    </w:p>
    <w:p w14:paraId="23C03069" w14:textId="77777777" w:rsidR="00E556CD" w:rsidRDefault="00E556CD" w:rsidP="007B46F5">
      <w:pPr>
        <w:ind w:firstLine="708"/>
        <w:contextualSpacing/>
        <w:jc w:val="both"/>
      </w:pPr>
      <w:r>
        <w:t>Обследование и лечение пациентов в рамках каждого цикла может быть проведено в ходе госпитализации, в формате дневного стационара или амбулаторно (в соответствии с принятой практикой в клиническом центре). Перечень проводимых процедур исследования:</w:t>
      </w:r>
    </w:p>
    <w:p w14:paraId="1F0DEAA3" w14:textId="77777777" w:rsidR="00E556CD" w:rsidRDefault="00E556CD" w:rsidP="007B46F5">
      <w:pPr>
        <w:pStyle w:val="ListParagraph"/>
        <w:numPr>
          <w:ilvl w:val="0"/>
          <w:numId w:val="58"/>
        </w:numPr>
        <w:suppressAutoHyphens w:val="0"/>
        <w:autoSpaceDN/>
        <w:spacing w:line="240" w:lineRule="auto"/>
        <w:contextualSpacing/>
        <w:textAlignment w:val="auto"/>
      </w:pPr>
      <w:r>
        <w:t>Сбор жалоб;</w:t>
      </w:r>
    </w:p>
    <w:p w14:paraId="73EF356B" w14:textId="77777777" w:rsidR="00E556CD" w:rsidRDefault="00E556CD" w:rsidP="007B46F5">
      <w:pPr>
        <w:pStyle w:val="ListParagraph"/>
        <w:numPr>
          <w:ilvl w:val="0"/>
          <w:numId w:val="58"/>
        </w:numPr>
        <w:suppressAutoHyphens w:val="0"/>
        <w:autoSpaceDN/>
        <w:spacing w:line="240" w:lineRule="auto"/>
        <w:contextualSpacing/>
        <w:textAlignment w:val="auto"/>
      </w:pPr>
      <w:r>
        <w:t>Регистрация сопутствующей терапии;</w:t>
      </w:r>
    </w:p>
    <w:p w14:paraId="3AE151A4" w14:textId="77777777" w:rsidR="00E556CD" w:rsidRDefault="00E556CD" w:rsidP="007B46F5">
      <w:pPr>
        <w:pStyle w:val="ListParagraph"/>
        <w:numPr>
          <w:ilvl w:val="0"/>
          <w:numId w:val="58"/>
        </w:numPr>
        <w:suppressAutoHyphens w:val="0"/>
        <w:autoSpaceDN/>
        <w:spacing w:line="240" w:lineRule="auto"/>
        <w:contextualSpacing/>
        <w:textAlignment w:val="auto"/>
      </w:pPr>
      <w:r>
        <w:t>Физикальный осмотр;</w:t>
      </w:r>
    </w:p>
    <w:p w14:paraId="7105DF82" w14:textId="77777777" w:rsidR="00E556CD" w:rsidRDefault="00E556CD" w:rsidP="007B46F5">
      <w:pPr>
        <w:pStyle w:val="ListParagraph"/>
        <w:numPr>
          <w:ilvl w:val="0"/>
          <w:numId w:val="58"/>
        </w:numPr>
        <w:suppressAutoHyphens w:val="0"/>
        <w:autoSpaceDN/>
        <w:spacing w:line="240" w:lineRule="auto"/>
        <w:contextualSpacing/>
        <w:textAlignment w:val="auto"/>
      </w:pPr>
      <w:r>
        <w:t>Оценка статуса по ECOG;</w:t>
      </w:r>
    </w:p>
    <w:p w14:paraId="095C83C1" w14:textId="77777777" w:rsidR="00E556CD" w:rsidRDefault="00E556CD" w:rsidP="007B46F5">
      <w:pPr>
        <w:pStyle w:val="ListParagraph"/>
        <w:numPr>
          <w:ilvl w:val="0"/>
          <w:numId w:val="58"/>
        </w:numPr>
        <w:suppressAutoHyphens w:val="0"/>
        <w:autoSpaceDN/>
        <w:spacing w:line="240" w:lineRule="auto"/>
        <w:contextualSpacing/>
        <w:textAlignment w:val="auto"/>
      </w:pPr>
      <w:r>
        <w:t>Измерение массы тела;</w:t>
      </w:r>
    </w:p>
    <w:p w14:paraId="3D372A9A" w14:textId="77777777" w:rsidR="00E556CD" w:rsidRPr="00E556CD" w:rsidRDefault="00E556CD" w:rsidP="007B46F5">
      <w:pPr>
        <w:pStyle w:val="ListParagraph"/>
        <w:numPr>
          <w:ilvl w:val="0"/>
          <w:numId w:val="58"/>
        </w:numPr>
        <w:suppressAutoHyphens w:val="0"/>
        <w:autoSpaceDN/>
        <w:spacing w:line="240" w:lineRule="auto"/>
        <w:contextualSpacing/>
        <w:textAlignment w:val="auto"/>
        <w:rPr>
          <w:lang w:val="ru-RU"/>
        </w:rPr>
      </w:pPr>
      <w:r w:rsidRPr="00E556CD">
        <w:rPr>
          <w:lang w:val="ru-RU"/>
        </w:rPr>
        <w:t>Оценка жизненно важных показателей (АД, ЧСС, ЧДД, температура тела);</w:t>
      </w:r>
    </w:p>
    <w:p w14:paraId="086A2539" w14:textId="77777777" w:rsidR="00E556CD" w:rsidRDefault="00E556CD" w:rsidP="007B46F5">
      <w:pPr>
        <w:pStyle w:val="ListParagraph"/>
        <w:numPr>
          <w:ilvl w:val="0"/>
          <w:numId w:val="58"/>
        </w:numPr>
        <w:suppressAutoHyphens w:val="0"/>
        <w:autoSpaceDN/>
        <w:spacing w:line="240" w:lineRule="auto"/>
        <w:contextualSpacing/>
        <w:textAlignment w:val="auto"/>
      </w:pPr>
      <w:r>
        <w:t>Клинический анализ крови;</w:t>
      </w:r>
    </w:p>
    <w:p w14:paraId="6B22B5ED" w14:textId="77777777" w:rsidR="00E556CD" w:rsidRPr="00E556CD" w:rsidRDefault="00E556CD" w:rsidP="007B46F5">
      <w:pPr>
        <w:pStyle w:val="ListParagraph"/>
        <w:numPr>
          <w:ilvl w:val="0"/>
          <w:numId w:val="58"/>
        </w:numPr>
        <w:suppressAutoHyphens w:val="0"/>
        <w:autoSpaceDN/>
        <w:spacing w:line="240" w:lineRule="auto"/>
        <w:contextualSpacing/>
        <w:textAlignment w:val="auto"/>
        <w:rPr>
          <w:lang w:val="ru-RU"/>
        </w:rPr>
      </w:pPr>
      <w:r w:rsidRPr="00E556CD">
        <w:rPr>
          <w:lang w:val="ru-RU"/>
        </w:rPr>
        <w:t>Биохимический анализ крови (АЛТ, АСТ, билирубин, ЩФ, общий белок, альбумин, глюкоза, мочевина креатинин);</w:t>
      </w:r>
    </w:p>
    <w:p w14:paraId="2DAA241C" w14:textId="77777777" w:rsidR="00E556CD" w:rsidRDefault="00E556CD" w:rsidP="007B46F5">
      <w:pPr>
        <w:pStyle w:val="ListParagraph"/>
        <w:numPr>
          <w:ilvl w:val="0"/>
          <w:numId w:val="58"/>
        </w:numPr>
        <w:suppressAutoHyphens w:val="0"/>
        <w:autoSpaceDN/>
        <w:spacing w:line="240" w:lineRule="auto"/>
        <w:contextualSpacing/>
        <w:textAlignment w:val="auto"/>
      </w:pPr>
      <w:r>
        <w:t>Общий анализ мочи;</w:t>
      </w:r>
    </w:p>
    <w:p w14:paraId="733805EF" w14:textId="77777777" w:rsidR="00E556CD" w:rsidRPr="00E556CD" w:rsidRDefault="00E556CD" w:rsidP="007B46F5">
      <w:pPr>
        <w:pStyle w:val="ListParagraph"/>
        <w:numPr>
          <w:ilvl w:val="0"/>
          <w:numId w:val="58"/>
        </w:numPr>
        <w:suppressAutoHyphens w:val="0"/>
        <w:autoSpaceDN/>
        <w:spacing w:line="240" w:lineRule="auto"/>
        <w:contextualSpacing/>
        <w:textAlignment w:val="auto"/>
        <w:rPr>
          <w:lang w:val="ru-RU"/>
        </w:rPr>
      </w:pPr>
      <w:r w:rsidRPr="00E556CD">
        <w:rPr>
          <w:lang w:val="ru-RU"/>
        </w:rPr>
        <w:t>Тест на беременность (для женщин детородного возраста с сохраненным репродуктивным потенциалом);</w:t>
      </w:r>
    </w:p>
    <w:p w14:paraId="474891C4" w14:textId="77777777" w:rsidR="00E556CD" w:rsidRDefault="00E556CD" w:rsidP="007B46F5">
      <w:pPr>
        <w:pStyle w:val="ListParagraph"/>
        <w:numPr>
          <w:ilvl w:val="0"/>
          <w:numId w:val="58"/>
        </w:numPr>
        <w:suppressAutoHyphens w:val="0"/>
        <w:autoSpaceDN/>
        <w:spacing w:line="240" w:lineRule="auto"/>
        <w:contextualSpacing/>
        <w:textAlignment w:val="auto"/>
      </w:pPr>
      <w:r>
        <w:t>Оценка НЯ и СНЯ;</w:t>
      </w:r>
    </w:p>
    <w:p w14:paraId="460CF46E" w14:textId="77777777" w:rsidR="00E556CD" w:rsidRDefault="00E556CD" w:rsidP="007B46F5">
      <w:pPr>
        <w:pStyle w:val="ListParagraph"/>
        <w:numPr>
          <w:ilvl w:val="0"/>
          <w:numId w:val="58"/>
        </w:numPr>
        <w:suppressAutoHyphens w:val="0"/>
        <w:autoSpaceDN/>
        <w:spacing w:line="240" w:lineRule="auto"/>
        <w:contextualSpacing/>
        <w:textAlignment w:val="auto"/>
      </w:pPr>
      <w:r>
        <w:t>Оценка критериев исключения;</w:t>
      </w:r>
    </w:p>
    <w:p w14:paraId="7A09ECD6" w14:textId="77777777" w:rsidR="00E556CD" w:rsidRPr="00E556CD" w:rsidRDefault="00E556CD" w:rsidP="007B46F5">
      <w:pPr>
        <w:pStyle w:val="ListParagraph"/>
        <w:numPr>
          <w:ilvl w:val="0"/>
          <w:numId w:val="58"/>
        </w:numPr>
        <w:suppressAutoHyphens w:val="0"/>
        <w:autoSpaceDN/>
        <w:spacing w:line="240" w:lineRule="auto"/>
        <w:contextualSpacing/>
        <w:textAlignment w:val="auto"/>
        <w:rPr>
          <w:lang w:val="ru-RU"/>
        </w:rPr>
      </w:pPr>
      <w:r w:rsidRPr="00E556CD">
        <w:rPr>
          <w:lang w:val="ru-RU"/>
        </w:rPr>
        <w:t xml:space="preserve">Разослепление врача-исследователя и пациента в случае подтверждения эквивалентности препарата </w:t>
      </w:r>
      <w:r>
        <w:t>RPH</w:t>
      </w:r>
      <w:r w:rsidRPr="00E556CD">
        <w:rPr>
          <w:lang w:val="ru-RU"/>
        </w:rPr>
        <w:t xml:space="preserve">-001 препарату Авастин® по результатам основной части исследования. После такого подтверждения предложение пациентам, получавшим Авастин®, продолжить лечение препаратом </w:t>
      </w:r>
      <w:r>
        <w:t>RPH</w:t>
      </w:r>
      <w:r w:rsidRPr="00E556CD">
        <w:rPr>
          <w:lang w:val="ru-RU"/>
        </w:rPr>
        <w:t>-001;</w:t>
      </w:r>
    </w:p>
    <w:p w14:paraId="69CFB584" w14:textId="77777777" w:rsidR="00E556CD" w:rsidRPr="00E556CD" w:rsidRDefault="00E556CD" w:rsidP="007B46F5">
      <w:pPr>
        <w:pStyle w:val="ListParagraph"/>
        <w:numPr>
          <w:ilvl w:val="0"/>
          <w:numId w:val="58"/>
        </w:numPr>
        <w:suppressAutoHyphens w:val="0"/>
        <w:autoSpaceDN/>
        <w:spacing w:line="240" w:lineRule="auto"/>
        <w:contextualSpacing/>
        <w:textAlignment w:val="auto"/>
        <w:rPr>
          <w:lang w:val="ru-RU"/>
        </w:rPr>
      </w:pPr>
      <w:r w:rsidRPr="00E556CD">
        <w:rPr>
          <w:lang w:val="ru-RU"/>
        </w:rPr>
        <w:t>Если допустимо с учетом наличия и выраженности токсичности и при отсутствии прогрессирования заболевания, очередное введение бевацизумаба.</w:t>
      </w:r>
    </w:p>
    <w:p w14:paraId="607378D2" w14:textId="77777777" w:rsidR="00E556CD" w:rsidRPr="00E556CD" w:rsidRDefault="00E556CD" w:rsidP="007B46F5">
      <w:pPr>
        <w:pStyle w:val="ListParagraph"/>
        <w:spacing w:line="240" w:lineRule="auto"/>
        <w:ind w:left="1065"/>
        <w:contextualSpacing/>
        <w:rPr>
          <w:lang w:val="ru-RU"/>
        </w:rPr>
      </w:pPr>
    </w:p>
    <w:p w14:paraId="48EEF165" w14:textId="77777777" w:rsidR="00E556CD" w:rsidRPr="00CB5A63" w:rsidRDefault="00E556CD" w:rsidP="007B46F5">
      <w:pPr>
        <w:contextualSpacing/>
        <w:jc w:val="both"/>
        <w:rPr>
          <w:b/>
        </w:rPr>
      </w:pPr>
      <w:r w:rsidRPr="00CB5A63">
        <w:rPr>
          <w:b/>
        </w:rPr>
        <w:t>Визиты 12 (день 232±4, неделя 34), 15 (день 295±4, неделя 43) и 18 (день 358±4, неделя 52):</w:t>
      </w:r>
    </w:p>
    <w:p w14:paraId="11AF991E" w14:textId="77777777" w:rsidR="00E556CD" w:rsidRDefault="00E556CD" w:rsidP="007B46F5">
      <w:pPr>
        <w:contextualSpacing/>
        <w:jc w:val="both"/>
      </w:pPr>
    </w:p>
    <w:p w14:paraId="1891DD2E" w14:textId="77777777" w:rsidR="00E556CD" w:rsidRDefault="00E556CD" w:rsidP="007B46F5">
      <w:pPr>
        <w:ind w:firstLine="708"/>
        <w:contextualSpacing/>
        <w:jc w:val="both"/>
      </w:pPr>
      <w:r>
        <w:t>Обследование и лечение пациентов в рамках каждого цикла может быть проведено в ходе госпитализации, в формате дневного стационара или амбулаторно (в соответствии с принятой практикой в клиническом центре). Перечень проводимых процедур исследования:</w:t>
      </w:r>
    </w:p>
    <w:p w14:paraId="2EDEF9EA" w14:textId="77777777" w:rsidR="00E556CD" w:rsidRDefault="00E556CD" w:rsidP="007B46F5">
      <w:pPr>
        <w:pStyle w:val="ListParagraph"/>
        <w:numPr>
          <w:ilvl w:val="0"/>
          <w:numId w:val="58"/>
        </w:numPr>
        <w:suppressAutoHyphens w:val="0"/>
        <w:autoSpaceDN/>
        <w:spacing w:line="240" w:lineRule="auto"/>
        <w:contextualSpacing/>
        <w:textAlignment w:val="auto"/>
      </w:pPr>
      <w:r>
        <w:t>Сбор жалоб;</w:t>
      </w:r>
    </w:p>
    <w:p w14:paraId="3B26556F" w14:textId="77777777" w:rsidR="00E556CD" w:rsidRDefault="00E556CD" w:rsidP="007B46F5">
      <w:pPr>
        <w:pStyle w:val="ListParagraph"/>
        <w:numPr>
          <w:ilvl w:val="0"/>
          <w:numId w:val="58"/>
        </w:numPr>
        <w:suppressAutoHyphens w:val="0"/>
        <w:autoSpaceDN/>
        <w:spacing w:line="240" w:lineRule="auto"/>
        <w:contextualSpacing/>
        <w:textAlignment w:val="auto"/>
      </w:pPr>
      <w:r>
        <w:t>Регистрация сопутствующей терапии;</w:t>
      </w:r>
    </w:p>
    <w:p w14:paraId="48A84B7B" w14:textId="77777777" w:rsidR="00E556CD" w:rsidRDefault="00E556CD" w:rsidP="007B46F5">
      <w:pPr>
        <w:pStyle w:val="ListParagraph"/>
        <w:numPr>
          <w:ilvl w:val="0"/>
          <w:numId w:val="58"/>
        </w:numPr>
        <w:suppressAutoHyphens w:val="0"/>
        <w:autoSpaceDN/>
        <w:spacing w:line="240" w:lineRule="auto"/>
        <w:contextualSpacing/>
        <w:textAlignment w:val="auto"/>
      </w:pPr>
      <w:r>
        <w:t>Физикальный осмотр;</w:t>
      </w:r>
    </w:p>
    <w:p w14:paraId="7B648472" w14:textId="77777777" w:rsidR="00E556CD" w:rsidRDefault="00E556CD" w:rsidP="007B46F5">
      <w:pPr>
        <w:pStyle w:val="ListParagraph"/>
        <w:numPr>
          <w:ilvl w:val="0"/>
          <w:numId w:val="58"/>
        </w:numPr>
        <w:suppressAutoHyphens w:val="0"/>
        <w:autoSpaceDN/>
        <w:spacing w:line="240" w:lineRule="auto"/>
        <w:contextualSpacing/>
        <w:textAlignment w:val="auto"/>
      </w:pPr>
      <w:r>
        <w:t>Оценка статуса по ECOG;</w:t>
      </w:r>
    </w:p>
    <w:p w14:paraId="5A3A16A7" w14:textId="77777777" w:rsidR="00E556CD" w:rsidRDefault="00E556CD" w:rsidP="007B46F5">
      <w:pPr>
        <w:pStyle w:val="ListParagraph"/>
        <w:numPr>
          <w:ilvl w:val="0"/>
          <w:numId w:val="58"/>
        </w:numPr>
        <w:suppressAutoHyphens w:val="0"/>
        <w:autoSpaceDN/>
        <w:spacing w:line="240" w:lineRule="auto"/>
        <w:contextualSpacing/>
        <w:textAlignment w:val="auto"/>
      </w:pPr>
      <w:r>
        <w:t>Измерение массы тела;</w:t>
      </w:r>
    </w:p>
    <w:p w14:paraId="0183EDA6" w14:textId="77777777" w:rsidR="00E556CD" w:rsidRPr="00E556CD" w:rsidRDefault="00E556CD" w:rsidP="007B46F5">
      <w:pPr>
        <w:pStyle w:val="ListParagraph"/>
        <w:numPr>
          <w:ilvl w:val="0"/>
          <w:numId w:val="58"/>
        </w:numPr>
        <w:suppressAutoHyphens w:val="0"/>
        <w:autoSpaceDN/>
        <w:spacing w:line="240" w:lineRule="auto"/>
        <w:contextualSpacing/>
        <w:textAlignment w:val="auto"/>
        <w:rPr>
          <w:lang w:val="ru-RU"/>
        </w:rPr>
      </w:pPr>
      <w:r w:rsidRPr="00E556CD">
        <w:rPr>
          <w:lang w:val="ru-RU"/>
        </w:rPr>
        <w:t>Оценка жизненно важных показателей (АД, ЧСС, ЧДД, температура тела);</w:t>
      </w:r>
    </w:p>
    <w:p w14:paraId="3D4098C6" w14:textId="77777777" w:rsidR="00E556CD" w:rsidRDefault="00E556CD" w:rsidP="007B46F5">
      <w:pPr>
        <w:pStyle w:val="ListParagraph"/>
        <w:numPr>
          <w:ilvl w:val="0"/>
          <w:numId w:val="58"/>
        </w:numPr>
        <w:suppressAutoHyphens w:val="0"/>
        <w:autoSpaceDN/>
        <w:spacing w:line="240" w:lineRule="auto"/>
        <w:contextualSpacing/>
        <w:textAlignment w:val="auto"/>
      </w:pPr>
      <w:r>
        <w:t>Клинический анализ крови;</w:t>
      </w:r>
    </w:p>
    <w:p w14:paraId="7231C8DB" w14:textId="77777777" w:rsidR="00E556CD" w:rsidRPr="00E556CD" w:rsidRDefault="00E556CD" w:rsidP="007B46F5">
      <w:pPr>
        <w:pStyle w:val="ListParagraph"/>
        <w:numPr>
          <w:ilvl w:val="0"/>
          <w:numId w:val="58"/>
        </w:numPr>
        <w:suppressAutoHyphens w:val="0"/>
        <w:autoSpaceDN/>
        <w:spacing w:line="240" w:lineRule="auto"/>
        <w:contextualSpacing/>
        <w:textAlignment w:val="auto"/>
        <w:rPr>
          <w:lang w:val="ru-RU"/>
        </w:rPr>
      </w:pPr>
      <w:r w:rsidRPr="00E556CD">
        <w:rPr>
          <w:lang w:val="ru-RU"/>
        </w:rPr>
        <w:t>Биохимический анализ крови (АЛТ, АСТ, билирубин, ЩФ, общий белок, альбумин, глюкоза, мочевина креатинин);</w:t>
      </w:r>
    </w:p>
    <w:p w14:paraId="7AF3788F" w14:textId="77777777" w:rsidR="00E556CD" w:rsidRPr="00E556CD" w:rsidRDefault="00E556CD" w:rsidP="007B46F5">
      <w:pPr>
        <w:pStyle w:val="ListParagraph"/>
        <w:numPr>
          <w:ilvl w:val="0"/>
          <w:numId w:val="59"/>
        </w:numPr>
        <w:suppressAutoHyphens w:val="0"/>
        <w:autoSpaceDN/>
        <w:spacing w:line="240" w:lineRule="auto"/>
        <w:contextualSpacing/>
        <w:textAlignment w:val="auto"/>
        <w:rPr>
          <w:lang w:val="ru-RU"/>
        </w:rPr>
      </w:pPr>
      <w:r w:rsidRPr="00E556CD">
        <w:rPr>
          <w:lang w:val="ru-RU"/>
        </w:rPr>
        <w:t>Коагулограмма (Активированное частичное тромбопластиновое время (АЧТВ), протромбиновое время (ПВ), фибриноген, международное нормализованное отношение (МНО));</w:t>
      </w:r>
    </w:p>
    <w:p w14:paraId="696501A7" w14:textId="77777777" w:rsidR="00E556CD" w:rsidRPr="00E556CD" w:rsidRDefault="00E556CD" w:rsidP="007B46F5">
      <w:pPr>
        <w:pStyle w:val="ListParagraph"/>
        <w:numPr>
          <w:ilvl w:val="0"/>
          <w:numId w:val="59"/>
        </w:numPr>
        <w:suppressAutoHyphens w:val="0"/>
        <w:autoSpaceDN/>
        <w:spacing w:line="240" w:lineRule="auto"/>
        <w:contextualSpacing/>
        <w:textAlignment w:val="auto"/>
        <w:rPr>
          <w:lang w:val="ru-RU"/>
        </w:rPr>
      </w:pPr>
      <w:r w:rsidRPr="00E556CD">
        <w:rPr>
          <w:lang w:val="ru-RU"/>
        </w:rPr>
        <w:t>Оценка СКФ (для оценки возможности выполнения исследования и выбора контрастного препарата, если планируется выполнение КТ или МРТ с контрастированием);</w:t>
      </w:r>
    </w:p>
    <w:p w14:paraId="62FD5FAC" w14:textId="77777777" w:rsidR="00E556CD" w:rsidRDefault="00E556CD" w:rsidP="007B46F5">
      <w:pPr>
        <w:pStyle w:val="ListParagraph"/>
        <w:numPr>
          <w:ilvl w:val="0"/>
          <w:numId w:val="59"/>
        </w:numPr>
        <w:suppressAutoHyphens w:val="0"/>
        <w:autoSpaceDN/>
        <w:spacing w:line="240" w:lineRule="auto"/>
        <w:contextualSpacing/>
        <w:textAlignment w:val="auto"/>
      </w:pPr>
      <w:r>
        <w:t>Общий анализ мочи;</w:t>
      </w:r>
    </w:p>
    <w:p w14:paraId="2D4C3AED" w14:textId="77777777" w:rsidR="00E556CD" w:rsidRPr="00E556CD" w:rsidRDefault="00E556CD" w:rsidP="007B46F5">
      <w:pPr>
        <w:pStyle w:val="ListParagraph"/>
        <w:numPr>
          <w:ilvl w:val="0"/>
          <w:numId w:val="59"/>
        </w:numPr>
        <w:suppressAutoHyphens w:val="0"/>
        <w:autoSpaceDN/>
        <w:spacing w:line="240" w:lineRule="auto"/>
        <w:contextualSpacing/>
        <w:textAlignment w:val="auto"/>
        <w:rPr>
          <w:lang w:val="ru-RU"/>
        </w:rPr>
      </w:pPr>
      <w:r w:rsidRPr="00E556CD">
        <w:rPr>
          <w:lang w:val="ru-RU"/>
        </w:rPr>
        <w:t>Тест на беременность (для женщин детородного возраста с сохраненным репродуктивным потенциалом);</w:t>
      </w:r>
    </w:p>
    <w:p w14:paraId="607D7016" w14:textId="77777777" w:rsidR="00E556CD" w:rsidRPr="00E556CD" w:rsidRDefault="00E556CD" w:rsidP="007B46F5">
      <w:pPr>
        <w:pStyle w:val="ListParagraph"/>
        <w:numPr>
          <w:ilvl w:val="0"/>
          <w:numId w:val="59"/>
        </w:numPr>
        <w:suppressAutoHyphens w:val="0"/>
        <w:autoSpaceDN/>
        <w:spacing w:line="240" w:lineRule="auto"/>
        <w:contextualSpacing/>
        <w:textAlignment w:val="auto"/>
        <w:rPr>
          <w:lang w:val="ru-RU"/>
        </w:rPr>
      </w:pPr>
      <w:r w:rsidRPr="00E556CD">
        <w:rPr>
          <w:lang w:val="ru-RU"/>
        </w:rPr>
        <w:t>Оценка очагов с определением целевых (для количественной оценки) и нецелевых (для качественной оценки) поражений: КТ органов грудной клетки и брюшной полости (с контрастированием) + КТ (с контрастированием) или МРТ (с контрастированием) всех применимых областей с первичной опухолью и ранее выявленными метастазами или при подозрении на метастазы: головы, шеи, органов брюшной полости и малого таза, и т.д. (для оценки очагов должен быть использован тот же метод обследования, что и на скрининге, если только у пациента не возникают противопоказания к использованию соответствующего метода);</w:t>
      </w:r>
    </w:p>
    <w:p w14:paraId="4741DB9A" w14:textId="77777777" w:rsidR="00E556CD" w:rsidRDefault="00E556CD" w:rsidP="007B46F5">
      <w:pPr>
        <w:pStyle w:val="ListParagraph"/>
        <w:numPr>
          <w:ilvl w:val="0"/>
          <w:numId w:val="59"/>
        </w:numPr>
        <w:suppressAutoHyphens w:val="0"/>
        <w:autoSpaceDN/>
        <w:spacing w:line="240" w:lineRule="auto"/>
        <w:contextualSpacing/>
        <w:textAlignment w:val="auto"/>
      </w:pPr>
      <w:r>
        <w:t>Оценка НЯ и СНЯ;</w:t>
      </w:r>
    </w:p>
    <w:p w14:paraId="44927418" w14:textId="77777777" w:rsidR="00E556CD" w:rsidRDefault="00E556CD" w:rsidP="007B46F5">
      <w:pPr>
        <w:pStyle w:val="ListParagraph"/>
        <w:numPr>
          <w:ilvl w:val="0"/>
          <w:numId w:val="59"/>
        </w:numPr>
        <w:suppressAutoHyphens w:val="0"/>
        <w:autoSpaceDN/>
        <w:spacing w:line="240" w:lineRule="auto"/>
        <w:contextualSpacing/>
        <w:textAlignment w:val="auto"/>
      </w:pPr>
      <w:r>
        <w:t>Оценка критериев исключения;</w:t>
      </w:r>
    </w:p>
    <w:p w14:paraId="417C8BB2" w14:textId="77777777" w:rsidR="00E556CD" w:rsidRPr="00E556CD" w:rsidRDefault="00E556CD" w:rsidP="007B46F5">
      <w:pPr>
        <w:pStyle w:val="ListParagraph"/>
        <w:numPr>
          <w:ilvl w:val="0"/>
          <w:numId w:val="59"/>
        </w:numPr>
        <w:suppressAutoHyphens w:val="0"/>
        <w:autoSpaceDN/>
        <w:spacing w:line="240" w:lineRule="auto"/>
        <w:contextualSpacing/>
        <w:textAlignment w:val="auto"/>
        <w:rPr>
          <w:lang w:val="ru-RU"/>
        </w:rPr>
      </w:pPr>
      <w:r w:rsidRPr="00E556CD">
        <w:rPr>
          <w:lang w:val="ru-RU"/>
        </w:rPr>
        <w:t xml:space="preserve">Разослепление врача-исследователя и пациента в случае подтверждения эквивалентности препарата </w:t>
      </w:r>
      <w:r>
        <w:t>RPH</w:t>
      </w:r>
      <w:r w:rsidRPr="00E556CD">
        <w:rPr>
          <w:lang w:val="ru-RU"/>
        </w:rPr>
        <w:t>-001 препарату Авастин</w:t>
      </w:r>
      <w:r w:rsidRPr="00E556CD">
        <w:rPr>
          <w:vertAlign w:val="superscript"/>
          <w:lang w:val="ru-RU"/>
        </w:rPr>
        <w:t>®</w:t>
      </w:r>
      <w:r w:rsidRPr="00E556CD">
        <w:rPr>
          <w:lang w:val="ru-RU"/>
        </w:rPr>
        <w:t xml:space="preserve"> по результатам основной части исследования. После такого подтверждения предложение пациентам, получавшим Авастин</w:t>
      </w:r>
      <w:r w:rsidRPr="00E556CD">
        <w:rPr>
          <w:vertAlign w:val="superscript"/>
          <w:lang w:val="ru-RU"/>
        </w:rPr>
        <w:t>®</w:t>
      </w:r>
      <w:r w:rsidRPr="00E556CD">
        <w:rPr>
          <w:lang w:val="ru-RU"/>
        </w:rPr>
        <w:t xml:space="preserve">, продолжить лечение препаратом </w:t>
      </w:r>
      <w:r>
        <w:t>RPH</w:t>
      </w:r>
      <w:r w:rsidRPr="00E556CD">
        <w:rPr>
          <w:lang w:val="ru-RU"/>
        </w:rPr>
        <w:t>-001;</w:t>
      </w:r>
    </w:p>
    <w:p w14:paraId="6207F05F" w14:textId="77777777" w:rsidR="00E556CD" w:rsidRPr="00E556CD" w:rsidRDefault="00E556CD" w:rsidP="007B46F5">
      <w:pPr>
        <w:pStyle w:val="ListParagraph"/>
        <w:numPr>
          <w:ilvl w:val="0"/>
          <w:numId w:val="59"/>
        </w:numPr>
        <w:suppressAutoHyphens w:val="0"/>
        <w:autoSpaceDN/>
        <w:spacing w:line="240" w:lineRule="auto"/>
        <w:contextualSpacing/>
        <w:textAlignment w:val="auto"/>
        <w:rPr>
          <w:lang w:val="ru-RU"/>
        </w:rPr>
      </w:pPr>
      <w:r w:rsidRPr="00E556CD">
        <w:rPr>
          <w:lang w:val="ru-RU"/>
        </w:rPr>
        <w:t>Если допустимо с учетом наличия и выраженности токсичности и при отсутствии прогрессирования заболевания, очередное введение бевацизумаба;</w:t>
      </w:r>
    </w:p>
    <w:p w14:paraId="659D5C01" w14:textId="77777777" w:rsidR="00E556CD" w:rsidRDefault="00E556CD" w:rsidP="007B46F5">
      <w:pPr>
        <w:contextualSpacing/>
        <w:jc w:val="both"/>
      </w:pPr>
    </w:p>
    <w:p w14:paraId="60DF76FE" w14:textId="77777777" w:rsidR="00E556CD" w:rsidRDefault="00E556CD" w:rsidP="007B46F5">
      <w:pPr>
        <w:ind w:firstLine="708"/>
        <w:contextualSpacing/>
        <w:jc w:val="both"/>
      </w:pPr>
      <w:r>
        <w:t>На Визитах 15 (день 295±4, неделя 43) и 18 (день 358±4, неделя 52) в дополнение к указанным для этих визитов процедурам выполняется анализ крови на уровень антител к бевацизумабу (в случае выявления антител – анализ на уровень нейтрализующих антител), а на Визите 18 также ЭКГ.</w:t>
      </w:r>
    </w:p>
    <w:p w14:paraId="77E4C5F0" w14:textId="77777777" w:rsidR="00E556CD" w:rsidRDefault="00E556CD" w:rsidP="007B46F5">
      <w:pPr>
        <w:contextualSpacing/>
        <w:jc w:val="both"/>
      </w:pPr>
    </w:p>
    <w:p w14:paraId="1E8A75F6" w14:textId="77777777" w:rsidR="00E556CD" w:rsidRDefault="00E556CD" w:rsidP="007B46F5">
      <w:pPr>
        <w:ind w:firstLine="708"/>
        <w:contextualSpacing/>
        <w:jc w:val="both"/>
      </w:pPr>
      <w:r>
        <w:t>После завершения участия пациента в продленной части исследования (т.е. есть после прохождения процедур Визита 18), если пациенту все еще будет показан бевацизумаб, в рамках периода последующего наблюдения и терапии он будет обеспечиваться исследуемым препаратом RPH-001/препаратом сравнения Авастин до тех пор, пока будет сохраняться польза для пациента от такого лечения по мнению лечащего врача.  В периоде последующего наблюдения и терапии продолжаются (в заслепленном режиме) введения бевацизумаба каждые 3 недели (с окном ±4 дня). После получения результатов окончательного анализа эффективности по результатам основной части исследования, в случае доказательства эквивалентности исследуемого препарата RPH-001 препарату сравнения Авастин® на ближайшем визите пациентам в рамках продленной части исследования будет предложено перейти с лечения препаратом сравнения Авастин® на лечение препаратом RPH-001. При отказе пациента от такого перевода пациент прекращает терапию в рамках исследования.</w:t>
      </w:r>
    </w:p>
    <w:p w14:paraId="40DC15E4" w14:textId="77777777" w:rsidR="00E556CD" w:rsidRDefault="00E556CD" w:rsidP="007B46F5">
      <w:pPr>
        <w:ind w:firstLine="708"/>
        <w:contextualSpacing/>
        <w:jc w:val="both"/>
      </w:pPr>
      <w:r>
        <w:t>В случае, если эквивалентность исследуемого препарата препарату сравнения по результатам основной части исследования не будет доказана, пациенты прекращают терапию в рамках исследования. После прекращения терапии для оценки дожития с пациентом будет поддерживаться телефонный контакт каждые 2 месяца (±14 дней) до 12 месяцев от момента рандомизации.</w:t>
      </w:r>
    </w:p>
    <w:p w14:paraId="56409628" w14:textId="77777777" w:rsidR="00E556CD" w:rsidRDefault="00E556CD" w:rsidP="007B46F5">
      <w:pPr>
        <w:contextualSpacing/>
        <w:jc w:val="both"/>
      </w:pPr>
      <w:r>
        <w:t xml:space="preserve">Все обследования и сопутствующая терапия после завершения участия пациента в исследовании будут осуществляться по обеспечению через систему здравоохранения (в рамках рутинной клинической практики). </w:t>
      </w:r>
    </w:p>
    <w:p w14:paraId="06CD5D91" w14:textId="77777777" w:rsidR="00E556CD" w:rsidRDefault="00E556CD" w:rsidP="007B46F5">
      <w:pPr>
        <w:contextualSpacing/>
        <w:jc w:val="both"/>
      </w:pPr>
    </w:p>
    <w:p w14:paraId="0F8B3FC6" w14:textId="77777777" w:rsidR="00E556CD" w:rsidRDefault="00E556CD" w:rsidP="007B46F5">
      <w:pPr>
        <w:contextualSpacing/>
        <w:jc w:val="both"/>
        <w:rPr>
          <w:b/>
        </w:rPr>
      </w:pPr>
      <w:r w:rsidRPr="00CB5A63">
        <w:rPr>
          <w:b/>
        </w:rPr>
        <w:t>Визиты последующего наблюдения и терапии (начиная с цикла 19, неделя 55, день 379±4, каждые 3 недели ±4 дня):</w:t>
      </w:r>
    </w:p>
    <w:p w14:paraId="6C1A35F7" w14:textId="77777777" w:rsidR="00E556CD" w:rsidRPr="00CB5A63" w:rsidRDefault="00E556CD" w:rsidP="007B46F5">
      <w:pPr>
        <w:contextualSpacing/>
        <w:jc w:val="both"/>
        <w:rPr>
          <w:b/>
        </w:rPr>
      </w:pPr>
    </w:p>
    <w:p w14:paraId="449536EC" w14:textId="77777777" w:rsidR="00E556CD" w:rsidRPr="00E556CD" w:rsidRDefault="00E556CD" w:rsidP="007B46F5">
      <w:pPr>
        <w:pStyle w:val="ListParagraph"/>
        <w:numPr>
          <w:ilvl w:val="0"/>
          <w:numId w:val="59"/>
        </w:numPr>
        <w:suppressAutoHyphens w:val="0"/>
        <w:autoSpaceDN/>
        <w:spacing w:line="240" w:lineRule="auto"/>
        <w:contextualSpacing/>
        <w:textAlignment w:val="auto"/>
        <w:rPr>
          <w:lang w:val="ru-RU"/>
        </w:rPr>
      </w:pPr>
      <w:r w:rsidRPr="00E556CD">
        <w:rPr>
          <w:lang w:val="ru-RU"/>
        </w:rPr>
        <w:t xml:space="preserve">Перед введением бевацизумаба выполняются следующие процедуры: </w:t>
      </w:r>
    </w:p>
    <w:p w14:paraId="2B68CEAE" w14:textId="77777777" w:rsidR="00E556CD" w:rsidRDefault="00E556CD" w:rsidP="007B46F5">
      <w:pPr>
        <w:pStyle w:val="ListParagraph"/>
        <w:numPr>
          <w:ilvl w:val="0"/>
          <w:numId w:val="59"/>
        </w:numPr>
        <w:suppressAutoHyphens w:val="0"/>
        <w:autoSpaceDN/>
        <w:spacing w:line="240" w:lineRule="auto"/>
        <w:contextualSpacing/>
        <w:textAlignment w:val="auto"/>
      </w:pPr>
      <w:r>
        <w:t>Сбор жалоб;</w:t>
      </w:r>
    </w:p>
    <w:p w14:paraId="6ECDC5F8" w14:textId="77777777" w:rsidR="00E556CD" w:rsidRDefault="00E556CD" w:rsidP="007B46F5">
      <w:pPr>
        <w:pStyle w:val="ListParagraph"/>
        <w:numPr>
          <w:ilvl w:val="0"/>
          <w:numId w:val="59"/>
        </w:numPr>
        <w:suppressAutoHyphens w:val="0"/>
        <w:autoSpaceDN/>
        <w:spacing w:line="240" w:lineRule="auto"/>
        <w:contextualSpacing/>
        <w:textAlignment w:val="auto"/>
      </w:pPr>
      <w:r>
        <w:t>Измерение массы тела;</w:t>
      </w:r>
    </w:p>
    <w:p w14:paraId="6730B659" w14:textId="77777777" w:rsidR="00E556CD" w:rsidRDefault="00E556CD" w:rsidP="007B46F5">
      <w:pPr>
        <w:pStyle w:val="ListParagraph"/>
        <w:numPr>
          <w:ilvl w:val="0"/>
          <w:numId w:val="59"/>
        </w:numPr>
        <w:suppressAutoHyphens w:val="0"/>
        <w:autoSpaceDN/>
        <w:spacing w:line="240" w:lineRule="auto"/>
        <w:contextualSpacing/>
        <w:textAlignment w:val="auto"/>
      </w:pPr>
      <w:r>
        <w:t>Регистрация сопутствующей терапии;</w:t>
      </w:r>
    </w:p>
    <w:p w14:paraId="52D06CE4" w14:textId="77777777" w:rsidR="00E556CD" w:rsidRDefault="00E556CD" w:rsidP="007B46F5">
      <w:pPr>
        <w:pStyle w:val="ListParagraph"/>
        <w:numPr>
          <w:ilvl w:val="0"/>
          <w:numId w:val="59"/>
        </w:numPr>
        <w:suppressAutoHyphens w:val="0"/>
        <w:autoSpaceDN/>
        <w:spacing w:line="240" w:lineRule="auto"/>
        <w:contextualSpacing/>
        <w:textAlignment w:val="auto"/>
      </w:pPr>
      <w:r>
        <w:t>Физикальный осмотр;</w:t>
      </w:r>
    </w:p>
    <w:p w14:paraId="20EE4AA3" w14:textId="77777777" w:rsidR="00E556CD" w:rsidRPr="00E556CD" w:rsidRDefault="00E556CD" w:rsidP="007B46F5">
      <w:pPr>
        <w:pStyle w:val="ListParagraph"/>
        <w:numPr>
          <w:ilvl w:val="0"/>
          <w:numId w:val="59"/>
        </w:numPr>
        <w:suppressAutoHyphens w:val="0"/>
        <w:autoSpaceDN/>
        <w:spacing w:line="240" w:lineRule="auto"/>
        <w:contextualSpacing/>
        <w:textAlignment w:val="auto"/>
        <w:rPr>
          <w:lang w:val="ru-RU"/>
        </w:rPr>
      </w:pPr>
      <w:r w:rsidRPr="00E556CD">
        <w:rPr>
          <w:lang w:val="ru-RU"/>
        </w:rPr>
        <w:t>Оценка жизненно важных показателей (АД, ЧСС, ЧДД, температура тела);</w:t>
      </w:r>
    </w:p>
    <w:p w14:paraId="70B20097" w14:textId="77777777" w:rsidR="00E556CD" w:rsidRPr="00E556CD" w:rsidRDefault="00E556CD" w:rsidP="007B46F5">
      <w:pPr>
        <w:pStyle w:val="ListParagraph"/>
        <w:numPr>
          <w:ilvl w:val="0"/>
          <w:numId w:val="59"/>
        </w:numPr>
        <w:suppressAutoHyphens w:val="0"/>
        <w:autoSpaceDN/>
        <w:spacing w:line="240" w:lineRule="auto"/>
        <w:contextualSpacing/>
        <w:textAlignment w:val="auto"/>
        <w:rPr>
          <w:lang w:val="ru-RU"/>
        </w:rPr>
      </w:pPr>
      <w:r w:rsidRPr="00E556CD">
        <w:rPr>
          <w:lang w:val="ru-RU"/>
        </w:rPr>
        <w:t xml:space="preserve">Оценка функционального статуса по </w:t>
      </w:r>
      <w:r>
        <w:t>ECOG</w:t>
      </w:r>
      <w:r w:rsidRPr="00E556CD">
        <w:rPr>
          <w:lang w:val="ru-RU"/>
        </w:rPr>
        <w:t>;</w:t>
      </w:r>
    </w:p>
    <w:p w14:paraId="77CD9597" w14:textId="77777777" w:rsidR="00E556CD" w:rsidRPr="00E556CD" w:rsidRDefault="00E556CD" w:rsidP="007B46F5">
      <w:pPr>
        <w:pStyle w:val="ListParagraph"/>
        <w:numPr>
          <w:ilvl w:val="0"/>
          <w:numId w:val="59"/>
        </w:numPr>
        <w:suppressAutoHyphens w:val="0"/>
        <w:autoSpaceDN/>
        <w:spacing w:line="240" w:lineRule="auto"/>
        <w:contextualSpacing/>
        <w:textAlignment w:val="auto"/>
        <w:rPr>
          <w:lang w:val="ru-RU"/>
        </w:rPr>
      </w:pPr>
      <w:r w:rsidRPr="00E556CD">
        <w:rPr>
          <w:lang w:val="ru-RU"/>
        </w:rPr>
        <w:t xml:space="preserve">Разослепление врача-исследователя и пациента в случае подтверждения эквивалентности препарата </w:t>
      </w:r>
      <w:r>
        <w:t>RPH</w:t>
      </w:r>
      <w:r w:rsidRPr="00E556CD">
        <w:rPr>
          <w:lang w:val="ru-RU"/>
        </w:rPr>
        <w:t xml:space="preserve">-001 препарату Авастин® по результатам основной части исследования. После такого подтверждения предложение пациентам, получавшим Авастин®, продолжить лечение препаратом </w:t>
      </w:r>
      <w:r>
        <w:t>RPH</w:t>
      </w:r>
      <w:r w:rsidRPr="00E556CD">
        <w:rPr>
          <w:lang w:val="ru-RU"/>
        </w:rPr>
        <w:t>-001;</w:t>
      </w:r>
    </w:p>
    <w:p w14:paraId="24F0C20F" w14:textId="77777777" w:rsidR="00E556CD" w:rsidRDefault="00E556CD" w:rsidP="007B46F5">
      <w:pPr>
        <w:pStyle w:val="ListParagraph"/>
        <w:numPr>
          <w:ilvl w:val="0"/>
          <w:numId w:val="59"/>
        </w:numPr>
        <w:suppressAutoHyphens w:val="0"/>
        <w:autoSpaceDN/>
        <w:spacing w:line="240" w:lineRule="auto"/>
        <w:contextualSpacing/>
        <w:textAlignment w:val="auto"/>
      </w:pPr>
      <w:r>
        <w:t>Оценка НЯ/СНЯ;</w:t>
      </w:r>
    </w:p>
    <w:p w14:paraId="43518B32" w14:textId="77777777" w:rsidR="00E556CD" w:rsidRDefault="00E556CD" w:rsidP="007B46F5">
      <w:pPr>
        <w:pStyle w:val="ListParagraph"/>
        <w:numPr>
          <w:ilvl w:val="0"/>
          <w:numId w:val="59"/>
        </w:numPr>
        <w:suppressAutoHyphens w:val="0"/>
        <w:autoSpaceDN/>
        <w:spacing w:line="240" w:lineRule="auto"/>
        <w:contextualSpacing/>
        <w:textAlignment w:val="auto"/>
      </w:pPr>
      <w:r>
        <w:t>Оценка критериев исключения.</w:t>
      </w:r>
    </w:p>
    <w:p w14:paraId="2A55DD86" w14:textId="77777777" w:rsidR="00E556CD" w:rsidRDefault="00E556CD" w:rsidP="007B46F5">
      <w:pPr>
        <w:pStyle w:val="ListParagraph"/>
        <w:spacing w:line="240" w:lineRule="auto"/>
        <w:ind w:left="1065"/>
        <w:contextualSpacing/>
      </w:pPr>
    </w:p>
    <w:p w14:paraId="3B2027C9" w14:textId="77777777" w:rsidR="00E556CD" w:rsidRDefault="00E556CD" w:rsidP="007B46F5">
      <w:pPr>
        <w:contextualSpacing/>
        <w:jc w:val="both"/>
      </w:pPr>
      <w:r>
        <w:t>Обследование пациента в рамках периода продленного наблюдения и терапии дополнительно к указанному выше обследованию будет производиться в соответствии со стандартами рутинной практики в исследовательском центре.</w:t>
      </w:r>
    </w:p>
    <w:p w14:paraId="5BA31625" w14:textId="77777777" w:rsidR="00E556CD" w:rsidRDefault="00E556CD" w:rsidP="007B46F5">
      <w:pPr>
        <w:contextualSpacing/>
        <w:jc w:val="both"/>
      </w:pPr>
      <w:r>
        <w:tab/>
      </w:r>
    </w:p>
    <w:p w14:paraId="1A957843" w14:textId="77777777" w:rsidR="00E556CD" w:rsidRPr="00CB5A63" w:rsidRDefault="00E556CD" w:rsidP="007B46F5">
      <w:pPr>
        <w:contextualSpacing/>
        <w:jc w:val="both"/>
        <w:rPr>
          <w:b/>
        </w:rPr>
      </w:pPr>
      <w:r w:rsidRPr="00CB5A63">
        <w:rPr>
          <w:b/>
        </w:rPr>
        <w:t>Контакт оценки дожития</w:t>
      </w:r>
    </w:p>
    <w:p w14:paraId="73336E9D" w14:textId="77777777" w:rsidR="00E556CD" w:rsidRDefault="00E556CD" w:rsidP="007B46F5">
      <w:pPr>
        <w:contextualSpacing/>
        <w:jc w:val="both"/>
      </w:pPr>
    </w:p>
    <w:p w14:paraId="172779CB" w14:textId="77777777" w:rsidR="00E556CD" w:rsidRDefault="00E556CD" w:rsidP="007B46F5">
      <w:pPr>
        <w:ind w:firstLine="708"/>
        <w:contextualSpacing/>
        <w:jc w:val="both"/>
      </w:pPr>
      <w:r>
        <w:t>В случае досрочного выбытия пациента из исследования с пациентом будет поддерживаться телефонный контакт каждые 2 месяца (±14 дней) до 12 месяцев от момента рандомизации.</w:t>
      </w:r>
    </w:p>
    <w:p w14:paraId="607824DB" w14:textId="77777777" w:rsidR="00E556CD" w:rsidRDefault="00E556CD" w:rsidP="007B46F5">
      <w:pPr>
        <w:ind w:firstLine="708"/>
        <w:contextualSpacing/>
        <w:jc w:val="both"/>
      </w:pPr>
    </w:p>
    <w:p w14:paraId="7C2AC3AA" w14:textId="77777777" w:rsidR="00E556CD" w:rsidRDefault="00E556CD" w:rsidP="007B46F5">
      <w:pPr>
        <w:contextualSpacing/>
        <w:jc w:val="both"/>
        <w:rPr>
          <w:b/>
        </w:rPr>
      </w:pPr>
      <w:r w:rsidRPr="00CB5A63">
        <w:rPr>
          <w:b/>
        </w:rPr>
        <w:t>Внеплановый визит</w:t>
      </w:r>
    </w:p>
    <w:p w14:paraId="0FA1565C" w14:textId="77777777" w:rsidR="00E556CD" w:rsidRPr="00CB5A63" w:rsidRDefault="00E556CD" w:rsidP="007B46F5">
      <w:pPr>
        <w:contextualSpacing/>
        <w:jc w:val="both"/>
        <w:rPr>
          <w:b/>
        </w:rPr>
      </w:pPr>
    </w:p>
    <w:p w14:paraId="3B7AB5CE" w14:textId="77777777" w:rsidR="00E556CD" w:rsidRDefault="00E556CD" w:rsidP="007B46F5">
      <w:pPr>
        <w:ind w:firstLine="708"/>
        <w:contextualSpacing/>
        <w:jc w:val="both"/>
      </w:pPr>
      <w:r>
        <w:t>На внеплановых визитах в обязательном порядке выполняются следующие процедуры:</w:t>
      </w:r>
    </w:p>
    <w:p w14:paraId="6D9D6405" w14:textId="77777777" w:rsidR="00E556CD" w:rsidRDefault="00E556CD" w:rsidP="007B46F5">
      <w:pPr>
        <w:pStyle w:val="ListParagraph"/>
        <w:numPr>
          <w:ilvl w:val="0"/>
          <w:numId w:val="59"/>
        </w:numPr>
        <w:suppressAutoHyphens w:val="0"/>
        <w:autoSpaceDN/>
        <w:spacing w:line="240" w:lineRule="auto"/>
        <w:contextualSpacing/>
        <w:textAlignment w:val="auto"/>
      </w:pPr>
      <w:r>
        <w:t>Сбор жалоб;</w:t>
      </w:r>
    </w:p>
    <w:p w14:paraId="4A12F8E5" w14:textId="77777777" w:rsidR="00E556CD" w:rsidRDefault="00E556CD" w:rsidP="007B46F5">
      <w:pPr>
        <w:pStyle w:val="ListParagraph"/>
        <w:numPr>
          <w:ilvl w:val="0"/>
          <w:numId w:val="59"/>
        </w:numPr>
        <w:suppressAutoHyphens w:val="0"/>
        <w:autoSpaceDN/>
        <w:spacing w:line="240" w:lineRule="auto"/>
        <w:contextualSpacing/>
        <w:textAlignment w:val="auto"/>
      </w:pPr>
      <w:r>
        <w:t>Регистрация сопутствующей терапии;</w:t>
      </w:r>
    </w:p>
    <w:p w14:paraId="54E34461" w14:textId="77777777" w:rsidR="00E556CD" w:rsidRDefault="00E556CD" w:rsidP="007B46F5">
      <w:pPr>
        <w:pStyle w:val="ListParagraph"/>
        <w:numPr>
          <w:ilvl w:val="0"/>
          <w:numId w:val="59"/>
        </w:numPr>
        <w:suppressAutoHyphens w:val="0"/>
        <w:autoSpaceDN/>
        <w:spacing w:line="240" w:lineRule="auto"/>
        <w:contextualSpacing/>
        <w:textAlignment w:val="auto"/>
      </w:pPr>
      <w:r>
        <w:t>Физикальный осмотр;</w:t>
      </w:r>
    </w:p>
    <w:p w14:paraId="2DC31940" w14:textId="77777777" w:rsidR="00E556CD" w:rsidRPr="00E556CD" w:rsidRDefault="00E556CD" w:rsidP="007B46F5">
      <w:pPr>
        <w:pStyle w:val="ListParagraph"/>
        <w:numPr>
          <w:ilvl w:val="0"/>
          <w:numId w:val="59"/>
        </w:numPr>
        <w:suppressAutoHyphens w:val="0"/>
        <w:autoSpaceDN/>
        <w:spacing w:line="240" w:lineRule="auto"/>
        <w:contextualSpacing/>
        <w:textAlignment w:val="auto"/>
        <w:rPr>
          <w:lang w:val="ru-RU"/>
        </w:rPr>
      </w:pPr>
      <w:r w:rsidRPr="00E556CD">
        <w:rPr>
          <w:lang w:val="ru-RU"/>
        </w:rPr>
        <w:t>Оценка жизненно важных показателей (АД, ЧСС, ЧДД, температура тела);</w:t>
      </w:r>
    </w:p>
    <w:p w14:paraId="30AC8830" w14:textId="77777777" w:rsidR="00E556CD" w:rsidRDefault="00E556CD" w:rsidP="007B46F5">
      <w:pPr>
        <w:pStyle w:val="ListParagraph"/>
        <w:numPr>
          <w:ilvl w:val="0"/>
          <w:numId w:val="59"/>
        </w:numPr>
        <w:suppressAutoHyphens w:val="0"/>
        <w:autoSpaceDN/>
        <w:spacing w:line="240" w:lineRule="auto"/>
        <w:contextualSpacing/>
        <w:textAlignment w:val="auto"/>
      </w:pPr>
      <w:r>
        <w:t>Оценка НЯ/СНЯ;</w:t>
      </w:r>
    </w:p>
    <w:p w14:paraId="65F16E67" w14:textId="77777777" w:rsidR="00E556CD" w:rsidRDefault="00E556CD" w:rsidP="007B46F5">
      <w:pPr>
        <w:pStyle w:val="ListParagraph"/>
        <w:numPr>
          <w:ilvl w:val="0"/>
          <w:numId w:val="59"/>
        </w:numPr>
        <w:suppressAutoHyphens w:val="0"/>
        <w:autoSpaceDN/>
        <w:spacing w:line="240" w:lineRule="auto"/>
        <w:contextualSpacing/>
        <w:textAlignment w:val="auto"/>
      </w:pPr>
      <w:r>
        <w:t>Оценка критериев исключения.</w:t>
      </w:r>
    </w:p>
    <w:p w14:paraId="7A2564DE" w14:textId="77777777" w:rsidR="00E556CD" w:rsidRDefault="00E556CD" w:rsidP="007B46F5">
      <w:pPr>
        <w:ind w:firstLine="708"/>
        <w:jc w:val="both"/>
      </w:pPr>
      <w:r>
        <w:t>По назначению исследователя при необходимости могут быть выполнены любые предусмотренные протоколом исследования дополнительные процедуры или процедуры согласно рутинной практике учреждения.</w:t>
      </w:r>
    </w:p>
    <w:p w14:paraId="079B97BB" w14:textId="77777777" w:rsidR="00E556CD" w:rsidRDefault="00E556CD" w:rsidP="007B46F5">
      <w:pPr>
        <w:contextualSpacing/>
        <w:jc w:val="both"/>
      </w:pPr>
    </w:p>
    <w:p w14:paraId="771896CE" w14:textId="77777777" w:rsidR="00E556CD" w:rsidRDefault="00E556CD" w:rsidP="007B46F5">
      <w:pPr>
        <w:contextualSpacing/>
        <w:jc w:val="both"/>
        <w:rPr>
          <w:b/>
        </w:rPr>
      </w:pPr>
      <w:r w:rsidRPr="00CB5A63">
        <w:rPr>
          <w:b/>
        </w:rPr>
        <w:t>Визит преждевременного завершения участия в исследовании (Не более 21 дня от момента принятия решения о завершении пациентом исследования)</w:t>
      </w:r>
    </w:p>
    <w:p w14:paraId="055E4DAF" w14:textId="77777777" w:rsidR="00E556CD" w:rsidRPr="00CB5A63" w:rsidRDefault="00E556CD" w:rsidP="007B46F5">
      <w:pPr>
        <w:contextualSpacing/>
        <w:jc w:val="both"/>
        <w:rPr>
          <w:b/>
        </w:rPr>
      </w:pPr>
    </w:p>
    <w:p w14:paraId="0DD6D4F8" w14:textId="77777777" w:rsidR="00E556CD" w:rsidRDefault="00E556CD" w:rsidP="007B46F5">
      <w:pPr>
        <w:pStyle w:val="ListParagraph"/>
        <w:numPr>
          <w:ilvl w:val="0"/>
          <w:numId w:val="60"/>
        </w:numPr>
        <w:suppressAutoHyphens w:val="0"/>
        <w:autoSpaceDN/>
        <w:spacing w:line="240" w:lineRule="auto"/>
        <w:contextualSpacing/>
        <w:textAlignment w:val="auto"/>
      </w:pPr>
      <w:r>
        <w:t>Сбор жалоб;</w:t>
      </w:r>
    </w:p>
    <w:p w14:paraId="05B4EFE2" w14:textId="77777777" w:rsidR="00E556CD" w:rsidRDefault="00E556CD" w:rsidP="007B46F5">
      <w:pPr>
        <w:pStyle w:val="ListParagraph"/>
        <w:numPr>
          <w:ilvl w:val="0"/>
          <w:numId w:val="60"/>
        </w:numPr>
        <w:suppressAutoHyphens w:val="0"/>
        <w:autoSpaceDN/>
        <w:spacing w:line="240" w:lineRule="auto"/>
        <w:contextualSpacing/>
        <w:textAlignment w:val="auto"/>
      </w:pPr>
      <w:r>
        <w:t>Регистрация сопутствующей терапии;</w:t>
      </w:r>
    </w:p>
    <w:p w14:paraId="09637703" w14:textId="77777777" w:rsidR="00E556CD" w:rsidRDefault="00E556CD" w:rsidP="007B46F5">
      <w:pPr>
        <w:pStyle w:val="ListParagraph"/>
        <w:numPr>
          <w:ilvl w:val="0"/>
          <w:numId w:val="60"/>
        </w:numPr>
        <w:suppressAutoHyphens w:val="0"/>
        <w:autoSpaceDN/>
        <w:spacing w:line="240" w:lineRule="auto"/>
        <w:contextualSpacing/>
        <w:textAlignment w:val="auto"/>
      </w:pPr>
      <w:r>
        <w:t>Физикальный осмотр;</w:t>
      </w:r>
    </w:p>
    <w:p w14:paraId="47D973A0" w14:textId="77777777" w:rsidR="00E556CD" w:rsidRDefault="00E556CD" w:rsidP="007B46F5">
      <w:pPr>
        <w:pStyle w:val="ListParagraph"/>
        <w:numPr>
          <w:ilvl w:val="0"/>
          <w:numId w:val="60"/>
        </w:numPr>
        <w:suppressAutoHyphens w:val="0"/>
        <w:autoSpaceDN/>
        <w:spacing w:line="240" w:lineRule="auto"/>
        <w:contextualSpacing/>
        <w:textAlignment w:val="auto"/>
      </w:pPr>
      <w:r>
        <w:t>Оценка статуса по ECOG;</w:t>
      </w:r>
    </w:p>
    <w:p w14:paraId="7C358A2D" w14:textId="77777777" w:rsidR="00E556CD" w:rsidRDefault="00E556CD" w:rsidP="007B46F5">
      <w:pPr>
        <w:pStyle w:val="ListParagraph"/>
        <w:numPr>
          <w:ilvl w:val="0"/>
          <w:numId w:val="60"/>
        </w:numPr>
        <w:suppressAutoHyphens w:val="0"/>
        <w:autoSpaceDN/>
        <w:spacing w:line="240" w:lineRule="auto"/>
        <w:contextualSpacing/>
        <w:textAlignment w:val="auto"/>
      </w:pPr>
      <w:r>
        <w:t>Измерение массы тела;</w:t>
      </w:r>
    </w:p>
    <w:p w14:paraId="2D02E45F" w14:textId="77777777" w:rsidR="00E556CD" w:rsidRPr="00E556CD" w:rsidRDefault="00E556CD" w:rsidP="007B46F5">
      <w:pPr>
        <w:pStyle w:val="ListParagraph"/>
        <w:numPr>
          <w:ilvl w:val="0"/>
          <w:numId w:val="60"/>
        </w:numPr>
        <w:suppressAutoHyphens w:val="0"/>
        <w:autoSpaceDN/>
        <w:spacing w:line="240" w:lineRule="auto"/>
        <w:contextualSpacing/>
        <w:textAlignment w:val="auto"/>
        <w:rPr>
          <w:lang w:val="ru-RU"/>
        </w:rPr>
      </w:pPr>
      <w:r w:rsidRPr="00E556CD">
        <w:rPr>
          <w:lang w:val="ru-RU"/>
        </w:rPr>
        <w:t>Оценка жизненно важных показателей (АД, ЧСС, ЧДД, температура тела);</w:t>
      </w:r>
    </w:p>
    <w:p w14:paraId="62FFEC72" w14:textId="77777777" w:rsidR="00E556CD" w:rsidRDefault="00E556CD" w:rsidP="007B46F5">
      <w:pPr>
        <w:pStyle w:val="ListParagraph"/>
        <w:numPr>
          <w:ilvl w:val="0"/>
          <w:numId w:val="60"/>
        </w:numPr>
        <w:suppressAutoHyphens w:val="0"/>
        <w:autoSpaceDN/>
        <w:spacing w:line="240" w:lineRule="auto"/>
        <w:contextualSpacing/>
        <w:textAlignment w:val="auto"/>
      </w:pPr>
      <w:r>
        <w:t>Клинический анализ крови;</w:t>
      </w:r>
    </w:p>
    <w:p w14:paraId="0F1ECCC0" w14:textId="77777777" w:rsidR="00E556CD" w:rsidRPr="00E556CD" w:rsidRDefault="00E556CD" w:rsidP="007B46F5">
      <w:pPr>
        <w:pStyle w:val="ListParagraph"/>
        <w:numPr>
          <w:ilvl w:val="0"/>
          <w:numId w:val="60"/>
        </w:numPr>
        <w:suppressAutoHyphens w:val="0"/>
        <w:autoSpaceDN/>
        <w:spacing w:line="240" w:lineRule="auto"/>
        <w:contextualSpacing/>
        <w:textAlignment w:val="auto"/>
        <w:rPr>
          <w:lang w:val="ru-RU"/>
        </w:rPr>
      </w:pPr>
      <w:r w:rsidRPr="00E556CD">
        <w:rPr>
          <w:lang w:val="ru-RU"/>
        </w:rPr>
        <w:t>Биохимический анализ крови (АЛТ, АСТ, билирубин, ЩФ, общий белок, альбумин, глюкоза, мочевина креатинин);</w:t>
      </w:r>
    </w:p>
    <w:p w14:paraId="2BA1947A" w14:textId="77777777" w:rsidR="00E556CD" w:rsidRDefault="00E556CD" w:rsidP="007B46F5">
      <w:pPr>
        <w:pStyle w:val="ListParagraph"/>
        <w:numPr>
          <w:ilvl w:val="0"/>
          <w:numId w:val="60"/>
        </w:numPr>
        <w:suppressAutoHyphens w:val="0"/>
        <w:autoSpaceDN/>
        <w:spacing w:line="240" w:lineRule="auto"/>
        <w:contextualSpacing/>
        <w:textAlignment w:val="auto"/>
      </w:pPr>
      <w:r>
        <w:t>Общий анализ мочи;</w:t>
      </w:r>
    </w:p>
    <w:p w14:paraId="70C9E508" w14:textId="77777777" w:rsidR="00E556CD" w:rsidRDefault="00E556CD" w:rsidP="007B46F5">
      <w:pPr>
        <w:pStyle w:val="ListParagraph"/>
        <w:numPr>
          <w:ilvl w:val="0"/>
          <w:numId w:val="60"/>
        </w:numPr>
        <w:suppressAutoHyphens w:val="0"/>
        <w:autoSpaceDN/>
        <w:spacing w:line="240" w:lineRule="auto"/>
        <w:contextualSpacing/>
        <w:textAlignment w:val="auto"/>
      </w:pPr>
      <w:r>
        <w:t>ЭКГ;</w:t>
      </w:r>
    </w:p>
    <w:p w14:paraId="0C646682" w14:textId="77777777" w:rsidR="00E556CD" w:rsidRDefault="00E556CD" w:rsidP="007B46F5">
      <w:pPr>
        <w:pStyle w:val="ListParagraph"/>
        <w:numPr>
          <w:ilvl w:val="0"/>
          <w:numId w:val="60"/>
        </w:numPr>
        <w:suppressAutoHyphens w:val="0"/>
        <w:autoSpaceDN/>
        <w:spacing w:line="240" w:lineRule="auto"/>
        <w:contextualSpacing/>
        <w:textAlignment w:val="auto"/>
      </w:pPr>
      <w:r>
        <w:t>Оценка НЯ и СНЯ;</w:t>
      </w:r>
    </w:p>
    <w:p w14:paraId="02BD53C9" w14:textId="77777777" w:rsidR="00E556CD" w:rsidRDefault="00E556CD" w:rsidP="007B46F5">
      <w:pPr>
        <w:pStyle w:val="ListParagraph"/>
        <w:numPr>
          <w:ilvl w:val="0"/>
          <w:numId w:val="60"/>
        </w:numPr>
        <w:suppressAutoHyphens w:val="0"/>
        <w:autoSpaceDN/>
        <w:spacing w:line="240" w:lineRule="auto"/>
        <w:contextualSpacing/>
        <w:textAlignment w:val="auto"/>
      </w:pPr>
      <w:r>
        <w:t>Оценка критериев исключения.</w:t>
      </w:r>
    </w:p>
    <w:p w14:paraId="3443EF3B" w14:textId="77777777" w:rsidR="00E556CD" w:rsidRDefault="00E556CD" w:rsidP="007B46F5">
      <w:pPr>
        <w:contextualSpacing/>
        <w:jc w:val="both"/>
      </w:pPr>
    </w:p>
    <w:p w14:paraId="2D3D8088" w14:textId="77777777" w:rsidR="00E556CD" w:rsidRDefault="00E556CD" w:rsidP="007B46F5">
      <w:pPr>
        <w:ind w:firstLine="708"/>
        <w:contextualSpacing/>
        <w:jc w:val="both"/>
      </w:pPr>
      <w:r>
        <w:t>На визите преждевременного завершения участия в исследовании могут выполняться также другие процедуры исследования по клиническим показаниям (по решению врача-исследователя), в т.ч. визуализационные методики.</w:t>
      </w:r>
    </w:p>
    <w:p w14:paraId="146103C3" w14:textId="3D6183E5" w:rsidR="00E556CD" w:rsidRDefault="00E556CD" w:rsidP="007B46F5">
      <w:pPr>
        <w:jc w:val="both"/>
        <w:rPr>
          <w:rFonts w:eastAsia="Times New Roman" w:cs="Times New Roman"/>
          <w:lang w:eastAsia="ru-RU"/>
        </w:rPr>
      </w:pPr>
    </w:p>
    <w:p w14:paraId="610DBA50" w14:textId="77777777" w:rsidR="00E556CD" w:rsidRDefault="00E556CD" w:rsidP="007B46F5">
      <w:pPr>
        <w:jc w:val="both"/>
        <w:rPr>
          <w:rFonts w:eastAsia="Times New Roman" w:cs="Times New Roman"/>
          <w:lang w:eastAsia="ru-RU"/>
        </w:rPr>
      </w:pPr>
    </w:p>
    <w:p w14:paraId="70A75C6D" w14:textId="4442B3BC" w:rsidR="00B03DAD" w:rsidRPr="009E6200" w:rsidRDefault="00B03DAD" w:rsidP="007B46F5">
      <w:pPr>
        <w:pStyle w:val="Heading2"/>
      </w:pPr>
      <w:bookmarkStart w:id="149" w:name="_Toc108113548"/>
      <w:bookmarkStart w:id="150" w:name="_Toc108113549"/>
      <w:bookmarkStart w:id="151" w:name="_Toc108113550"/>
      <w:bookmarkStart w:id="152" w:name="_Toc108113551"/>
      <w:bookmarkStart w:id="153" w:name="_Toc108113552"/>
      <w:bookmarkStart w:id="154" w:name="_Toc120865262"/>
      <w:bookmarkEnd w:id="149"/>
      <w:bookmarkEnd w:id="150"/>
      <w:bookmarkEnd w:id="151"/>
      <w:bookmarkEnd w:id="152"/>
      <w:bookmarkEnd w:id="153"/>
      <w:r w:rsidRPr="009E6200">
        <w:t>Меры, направленные на минимизацию субъективности</w:t>
      </w:r>
      <w:bookmarkEnd w:id="154"/>
    </w:p>
    <w:p w14:paraId="3C72DEDE" w14:textId="77777777" w:rsidR="00E556CD" w:rsidRDefault="00E556CD" w:rsidP="007B46F5">
      <w:pPr>
        <w:pStyle w:val="SDText"/>
        <w:jc w:val="both"/>
        <w:rPr>
          <w:lang w:eastAsia="ru-RU"/>
        </w:rPr>
      </w:pPr>
    </w:p>
    <w:p w14:paraId="5F91B98E" w14:textId="67517E9B" w:rsidR="00563E9F" w:rsidRPr="009E6200" w:rsidRDefault="00D05C64" w:rsidP="007B46F5">
      <w:pPr>
        <w:pStyle w:val="SDText"/>
        <w:ind w:firstLine="709"/>
        <w:jc w:val="both"/>
        <w:rPr>
          <w:lang w:eastAsia="ru-RU"/>
        </w:rPr>
      </w:pPr>
      <w:r w:rsidRPr="009E6200">
        <w:rPr>
          <w:lang w:eastAsia="ru-RU"/>
        </w:rPr>
        <w:t xml:space="preserve">Запланировано </w:t>
      </w:r>
      <w:r w:rsidR="00563E9F" w:rsidRPr="009E6200">
        <w:rPr>
          <w:lang w:eastAsia="ru-RU"/>
        </w:rPr>
        <w:t>рандомизированное двойное слепое сравнительное исследование в параллельных группах.</w:t>
      </w:r>
    </w:p>
    <w:p w14:paraId="74887571" w14:textId="460F17B1" w:rsidR="001D6311" w:rsidRDefault="00D05C64" w:rsidP="007B46F5">
      <w:pPr>
        <w:pStyle w:val="SDText"/>
        <w:ind w:firstLine="709"/>
        <w:jc w:val="both"/>
        <w:rPr>
          <w:lang w:eastAsia="ru-RU"/>
        </w:rPr>
      </w:pPr>
      <w:r w:rsidRPr="009E6200">
        <w:rPr>
          <w:lang w:eastAsia="ru-RU"/>
        </w:rPr>
        <w:t xml:space="preserve">Рандомизация (случайное распределение пациентов в группы исследования) будет проводиться </w:t>
      </w:r>
      <w:r w:rsidR="00CD5B0C" w:rsidRPr="009E6200">
        <w:rPr>
          <w:lang w:eastAsia="ru-RU"/>
        </w:rPr>
        <w:t>в соотношении</w:t>
      </w:r>
      <w:r w:rsidR="0065021F" w:rsidRPr="009E6200">
        <w:rPr>
          <w:lang w:eastAsia="ru-RU"/>
        </w:rPr>
        <w:t xml:space="preserve"> </w:t>
      </w:r>
      <w:r w:rsidR="00CD5B0C" w:rsidRPr="009E6200">
        <w:rPr>
          <w:lang w:eastAsia="ru-RU"/>
        </w:rPr>
        <w:t xml:space="preserve">1:1 </w:t>
      </w:r>
      <w:r w:rsidRPr="009E6200">
        <w:rPr>
          <w:lang w:eastAsia="ru-RU"/>
        </w:rPr>
        <w:t>по предварительно сгенерированно</w:t>
      </w:r>
      <w:r w:rsidR="00E11EC9" w:rsidRPr="009E6200">
        <w:rPr>
          <w:lang w:eastAsia="ru-RU"/>
        </w:rPr>
        <w:t>му</w:t>
      </w:r>
      <w:r w:rsidRPr="009E6200">
        <w:rPr>
          <w:lang w:eastAsia="ru-RU"/>
        </w:rPr>
        <w:t xml:space="preserve"> блоковым методом (с переменной величиной блока)</w:t>
      </w:r>
      <w:r w:rsidR="00E11EC9" w:rsidRPr="009E6200">
        <w:rPr>
          <w:lang w:eastAsia="ru-RU"/>
        </w:rPr>
        <w:t xml:space="preserve"> рандомизационному листу с использованием электронной системы рандомизации </w:t>
      </w:r>
      <w:r w:rsidR="00DC0A58" w:rsidRPr="009E6200">
        <w:rPr>
          <w:lang w:eastAsia="ru-RU"/>
        </w:rPr>
        <w:t>со стратификацией по трем параметрам:</w:t>
      </w:r>
      <w:r w:rsidR="00CD5B0C" w:rsidRPr="009E6200">
        <w:rPr>
          <w:lang w:eastAsia="ru-RU"/>
        </w:rPr>
        <w:t xml:space="preserve"> характер заболевания (в</w:t>
      </w:r>
      <w:r w:rsidR="00CD5B0C" w:rsidRPr="009E6200">
        <w:t>первые диагностированный или рецидивирующий неплоскоклеточный НМРЛ), пол (мужской/женский) и курение (</w:t>
      </w:r>
      <w:r w:rsidR="00F6468A" w:rsidRPr="009E6200">
        <w:t>группа высокого риска по курению: стаж курения 20 пачка/лет и более, продолжающие курить пациенты или пациенты, бросившие курить менее чем за 15 лет до визита рандомизации; группа низкого риска по курению: пациенты, которые никогда не курили или бросили курить более чем за 15 лет до визита рандомизации</w:t>
      </w:r>
      <w:r w:rsidR="00CD5B0C" w:rsidRPr="009E6200">
        <w:t>)</w:t>
      </w:r>
      <w:r w:rsidRPr="009E6200">
        <w:rPr>
          <w:lang w:eastAsia="ru-RU"/>
        </w:rPr>
        <w:t>.</w:t>
      </w:r>
    </w:p>
    <w:p w14:paraId="4C0CB179" w14:textId="736E48DE" w:rsidR="00B217D7" w:rsidRPr="009E6200" w:rsidRDefault="00B217D7" w:rsidP="007B46F5">
      <w:pPr>
        <w:pStyle w:val="SDText"/>
        <w:ind w:firstLine="709"/>
        <w:jc w:val="both"/>
        <w:rPr>
          <w:lang w:eastAsia="ru-RU"/>
        </w:rPr>
      </w:pPr>
      <w:r>
        <w:rPr>
          <w:lang w:eastAsia="ru-RU"/>
        </w:rPr>
        <w:t xml:space="preserve">С целью объективизации анализа результатов КТ и МРТ и оценки опухолевого ответа на терапию во </w:t>
      </w:r>
      <w:r w:rsidR="001F358C">
        <w:rPr>
          <w:lang w:eastAsia="ru-RU"/>
        </w:rPr>
        <w:t>всех временных точках,</w:t>
      </w:r>
      <w:r>
        <w:rPr>
          <w:lang w:eastAsia="ru-RU"/>
        </w:rPr>
        <w:t xml:space="preserve"> </w:t>
      </w:r>
      <w:r w:rsidR="001F358C">
        <w:rPr>
          <w:lang w:eastAsia="ru-RU"/>
        </w:rPr>
        <w:t xml:space="preserve">в исследовании будет </w:t>
      </w:r>
      <w:r>
        <w:rPr>
          <w:lang w:eastAsia="ru-RU"/>
        </w:rPr>
        <w:t xml:space="preserve">задействован </w:t>
      </w:r>
      <w:r w:rsidR="00CB567F" w:rsidRPr="00437BFE">
        <w:t xml:space="preserve">Центральный </w:t>
      </w:r>
      <w:r w:rsidR="00CB567F">
        <w:t xml:space="preserve">независимый </w:t>
      </w:r>
      <w:r w:rsidR="00CB567F" w:rsidRPr="00437BFE">
        <w:t>комитет по пересмотру КТ/МРТ изображений</w:t>
      </w:r>
      <w:r>
        <w:rPr>
          <w:lang w:eastAsia="ru-RU"/>
        </w:rPr>
        <w:t>. Данные КТ и МРТ, после соответствующей обработки и удаления персональной информации, будут направляться в Комитет. Комитет предоставит в центры детальное руководство по проведению данной процедуры</w:t>
      </w:r>
      <w:r w:rsidR="001F358C">
        <w:rPr>
          <w:lang w:eastAsia="ru-RU"/>
        </w:rPr>
        <w:t>.</w:t>
      </w:r>
    </w:p>
    <w:p w14:paraId="320E6FBB" w14:textId="77777777" w:rsidR="002351EB" w:rsidRPr="009E6200" w:rsidRDefault="002351EB" w:rsidP="007B46F5">
      <w:pPr>
        <w:pStyle w:val="SDText"/>
        <w:jc w:val="both"/>
        <w:rPr>
          <w:lang w:eastAsia="ru-RU"/>
        </w:rPr>
      </w:pPr>
    </w:p>
    <w:p w14:paraId="6EE12030" w14:textId="7CA6310D" w:rsidR="00B03DAD" w:rsidRDefault="00A37E3E" w:rsidP="007B46F5">
      <w:pPr>
        <w:pStyle w:val="Heading2"/>
      </w:pPr>
      <w:bookmarkStart w:id="155" w:name="_Ref527716316"/>
      <w:bookmarkStart w:id="156" w:name="_Toc120865263"/>
      <w:r w:rsidRPr="009E6200">
        <w:t>Схема применения исследуемых препаратов</w:t>
      </w:r>
      <w:bookmarkEnd w:id="155"/>
      <w:r w:rsidR="00A815B2" w:rsidRPr="009E6200">
        <w:t xml:space="preserve"> и сопутствующих химиотерапевтических препаратов</w:t>
      </w:r>
      <w:bookmarkEnd w:id="156"/>
    </w:p>
    <w:p w14:paraId="0EB4CA58" w14:textId="77777777" w:rsidR="00E556CD" w:rsidRPr="00E556CD" w:rsidRDefault="00E556CD" w:rsidP="007B46F5">
      <w:pPr>
        <w:pStyle w:val="SDText"/>
        <w:rPr>
          <w:lang w:eastAsia="ru-RU"/>
        </w:rPr>
      </w:pPr>
    </w:p>
    <w:p w14:paraId="4D9CC7AD" w14:textId="77777777" w:rsidR="00563E9F" w:rsidRPr="009E6200" w:rsidRDefault="00563E9F" w:rsidP="007B46F5">
      <w:pPr>
        <w:ind w:firstLine="709"/>
        <w:jc w:val="both"/>
        <w:rPr>
          <w:lang w:eastAsia="ru-RU"/>
        </w:rPr>
      </w:pPr>
      <w:r w:rsidRPr="009E6200">
        <w:rPr>
          <w:lang w:eastAsia="ru-RU"/>
        </w:rPr>
        <w:t>Соответствующие критериям включения и не имеющие критериев невключения по данным скринингового обследования пациенты будут рандомизированы в одну из групп терапии:</w:t>
      </w:r>
    </w:p>
    <w:p w14:paraId="12A5039A" w14:textId="77777777" w:rsidR="00563E9F" w:rsidRPr="009E6200" w:rsidRDefault="00563E9F" w:rsidP="007B46F5">
      <w:pPr>
        <w:pStyle w:val="ListParagraph"/>
        <w:numPr>
          <w:ilvl w:val="0"/>
          <w:numId w:val="9"/>
        </w:numPr>
        <w:spacing w:line="240" w:lineRule="auto"/>
        <w:rPr>
          <w:lang w:val="ru-RU" w:eastAsia="ru-RU"/>
        </w:rPr>
      </w:pPr>
      <w:r w:rsidRPr="009E6200">
        <w:rPr>
          <w:lang w:eastAsia="ru-RU"/>
        </w:rPr>
        <w:t>RPH</w:t>
      </w:r>
      <w:r w:rsidRPr="009E6200">
        <w:rPr>
          <w:lang w:val="ru-RU" w:eastAsia="ru-RU"/>
        </w:rPr>
        <w:t>-001 в дозе 15 мг/кг один раз в 3 недели в виде внутривенной инфузии</w:t>
      </w:r>
      <w:r w:rsidR="00E24D5E" w:rsidRPr="009E6200">
        <w:rPr>
          <w:lang w:val="ru-RU" w:eastAsia="ru-RU"/>
        </w:rPr>
        <w:t>;</w:t>
      </w:r>
    </w:p>
    <w:p w14:paraId="5F87F6EC" w14:textId="77777777" w:rsidR="00563E9F" w:rsidRPr="009E6200" w:rsidRDefault="00563E9F" w:rsidP="007B46F5">
      <w:pPr>
        <w:pStyle w:val="ListParagraph"/>
        <w:numPr>
          <w:ilvl w:val="0"/>
          <w:numId w:val="9"/>
        </w:numPr>
        <w:spacing w:line="240" w:lineRule="auto"/>
        <w:rPr>
          <w:lang w:val="ru-RU" w:eastAsia="ru-RU"/>
        </w:rPr>
      </w:pPr>
      <w:r w:rsidRPr="009E6200">
        <w:rPr>
          <w:lang w:val="ru-RU" w:eastAsia="ru-RU"/>
        </w:rPr>
        <w:t>Авастин</w:t>
      </w:r>
      <w:r w:rsidR="00121FA5" w:rsidRPr="009E6200">
        <w:rPr>
          <w:vertAlign w:val="superscript"/>
          <w:lang w:val="ru-RU" w:eastAsia="ru-RU"/>
        </w:rPr>
        <w:t>®</w:t>
      </w:r>
      <w:r w:rsidRPr="009E6200">
        <w:rPr>
          <w:lang w:val="ru-RU" w:eastAsia="ru-RU"/>
        </w:rPr>
        <w:t xml:space="preserve"> в дозе 15 мг/кг один раз в 3 недели в виде внутривенной инфузии.</w:t>
      </w:r>
    </w:p>
    <w:p w14:paraId="7E189C9D" w14:textId="77777777" w:rsidR="006C5D08" w:rsidRPr="009E6200" w:rsidRDefault="006C5D08" w:rsidP="007B46F5">
      <w:pPr>
        <w:pStyle w:val="SDText"/>
        <w:jc w:val="both"/>
        <w:rPr>
          <w:lang w:eastAsia="ru-RU"/>
        </w:rPr>
      </w:pPr>
    </w:p>
    <w:p w14:paraId="4BE6E316" w14:textId="0ABDB6F8" w:rsidR="00D30268" w:rsidRPr="009E6200" w:rsidRDefault="00D30268" w:rsidP="007B46F5">
      <w:pPr>
        <w:pStyle w:val="SDText"/>
        <w:ind w:firstLine="709"/>
        <w:jc w:val="both"/>
        <w:rPr>
          <w:lang w:eastAsia="ru-RU"/>
        </w:rPr>
      </w:pPr>
      <w:r w:rsidRPr="009E6200">
        <w:rPr>
          <w:lang w:eastAsia="ru-RU"/>
        </w:rPr>
        <w:t xml:space="preserve">Продолжительность участия в основной части исследовании каждого пациента – не более 6 месяцев от момента рандомизации. В случае, если пациенту после 6 месяцев лечения все еще показан бевацизумаб, пациент переходит в продленную часть (еще 6 месяцев) и далее в период последующего наблюдения и терапии (визиты 19+) – монотерапии исследуемым препаратом или препаратом сравнения в соответствии с рандомизационным кодом в заслепленном (до получения результатов основной части исследования) режиме до прогрессирования заболевания (в соответствии с критериями </w:t>
      </w:r>
      <w:r w:rsidRPr="009E6200">
        <w:t xml:space="preserve">ответа солидных опухолей  [response evaluation criteria in solid tumors, </w:t>
      </w:r>
      <w:r w:rsidRPr="009E6200">
        <w:rPr>
          <w:lang w:eastAsia="ru-RU"/>
        </w:rPr>
        <w:t xml:space="preserve"> </w:t>
      </w:r>
      <w:r w:rsidRPr="009E6200">
        <w:rPr>
          <w:lang w:val="en-US" w:eastAsia="ru-RU"/>
        </w:rPr>
        <w:t>RECIST</w:t>
      </w:r>
      <w:r w:rsidRPr="009E6200">
        <w:rPr>
          <w:lang w:eastAsia="ru-RU"/>
        </w:rPr>
        <w:t xml:space="preserve"> версии 1.1] и/или развития неприемлемой токсичности и/или решения исследователя о необходимости выведения пациента из исследования в интересах пациента и/или отзыва информированного согласия или смерти пациента, в зависимости от того, что произойдет раньше. В случае доказательства эквивалентности исследуемого препарата препарату сравнения по результатам основной части исследования, в рамках продленной части либо после ее завершения (визиы 19+) исследователь и пациент будут расслеплены, пациентам, получающим препарат сравнения Авастин</w:t>
      </w:r>
      <w:r w:rsidRPr="009E6200">
        <w:rPr>
          <w:rFonts w:cs="Times New Roman"/>
          <w:vertAlign w:val="superscript"/>
          <w:lang w:eastAsia="ru-RU"/>
        </w:rPr>
        <w:t>®</w:t>
      </w:r>
      <w:r w:rsidRPr="009E6200">
        <w:rPr>
          <w:lang w:eastAsia="ru-RU"/>
        </w:rPr>
        <w:t xml:space="preserve">, будет предложено продолжить лечение препаратом RPH-001. В случае отказа от перевода на лечение препаратом RPH-001 пациент </w:t>
      </w:r>
      <w:r w:rsidR="00EF06A8" w:rsidRPr="009E6200">
        <w:rPr>
          <w:lang w:eastAsia="ru-RU"/>
        </w:rPr>
        <w:t xml:space="preserve">прекращает терапию в рамках </w:t>
      </w:r>
      <w:r w:rsidRPr="009E6200">
        <w:rPr>
          <w:lang w:eastAsia="ru-RU"/>
        </w:rPr>
        <w:t xml:space="preserve"> исследования, однако для оценки дожития с пациентом будет поддерживаться телефонный контакт каждые 2 месяца (±14 дней) </w:t>
      </w:r>
      <w:r w:rsidR="00022B18" w:rsidRPr="009E6200">
        <w:rPr>
          <w:lang w:eastAsia="ru-RU"/>
        </w:rPr>
        <w:t>до 12 месяцев от момента рандомизации</w:t>
      </w:r>
      <w:r w:rsidRPr="009E6200">
        <w:rPr>
          <w:lang w:eastAsia="ru-RU"/>
        </w:rPr>
        <w:t>.</w:t>
      </w:r>
    </w:p>
    <w:p w14:paraId="73A29F73" w14:textId="2B210370" w:rsidR="00D30268" w:rsidRPr="009E6200" w:rsidRDefault="00D30268" w:rsidP="007B46F5">
      <w:pPr>
        <w:pStyle w:val="SDText"/>
        <w:ind w:firstLine="709"/>
        <w:jc w:val="both"/>
      </w:pPr>
      <w:r w:rsidRPr="009E6200">
        <w:rPr>
          <w:lang w:eastAsia="ru-RU"/>
        </w:rPr>
        <w:t xml:space="preserve">В случае, если эквивалентность исследуемого препарата препарату сравнения по результатам основной части исследования не будет доказана, а также после исключения пациента из исследования по другим причинам, пациенты будут получать стандартную терапию </w:t>
      </w:r>
      <w:r w:rsidRPr="009E6200">
        <w:t>зарегистрированными препаратами по обеспечению через систему здравоохранения.</w:t>
      </w:r>
    </w:p>
    <w:p w14:paraId="73176603" w14:textId="6EDC31F2" w:rsidR="00563E9F" w:rsidRDefault="00563E9F" w:rsidP="007B46F5">
      <w:pPr>
        <w:ind w:firstLine="709"/>
        <w:jc w:val="both"/>
        <w:rPr>
          <w:lang w:eastAsia="ru-RU"/>
        </w:rPr>
      </w:pPr>
      <w:r w:rsidRPr="009E6200">
        <w:rPr>
          <w:lang w:eastAsia="ru-RU"/>
        </w:rPr>
        <w:t>В обеих группах лечение исследуемым препаратом или препаратом сравнения будет начато параллельно с химиотерапией, включающей:</w:t>
      </w:r>
    </w:p>
    <w:p w14:paraId="19B14F5A" w14:textId="77777777" w:rsidR="00EB33A9" w:rsidRPr="009E6200" w:rsidRDefault="00EB33A9" w:rsidP="007B46F5">
      <w:pPr>
        <w:pStyle w:val="ListParagraph"/>
        <w:numPr>
          <w:ilvl w:val="0"/>
          <w:numId w:val="10"/>
        </w:numPr>
        <w:spacing w:line="240" w:lineRule="auto"/>
        <w:rPr>
          <w:lang w:val="ru-RU" w:eastAsia="ru-RU"/>
        </w:rPr>
      </w:pPr>
      <w:r w:rsidRPr="009E6200">
        <w:rPr>
          <w:lang w:val="ru-RU" w:eastAsia="ru-RU"/>
        </w:rPr>
        <w:t>Паклитаксел в дозе 175 мг/м</w:t>
      </w:r>
      <w:r w:rsidRPr="009E6200">
        <w:rPr>
          <w:vertAlign w:val="superscript"/>
          <w:lang w:val="ru-RU" w:eastAsia="ru-RU"/>
        </w:rPr>
        <w:t>2</w:t>
      </w:r>
      <w:r w:rsidRPr="009E6200">
        <w:rPr>
          <w:lang w:val="ru-RU" w:eastAsia="ru-RU"/>
        </w:rPr>
        <w:t xml:space="preserve"> в виде внутривенной инфузии продолжительностью 3 часа в день 1 каждого 21-дневного цикла (от 4 до 6 циклов). Допускается снижение дозы с учетом выраженности токсических проявлений;</w:t>
      </w:r>
    </w:p>
    <w:p w14:paraId="2789F51B" w14:textId="12271B3F" w:rsidR="005F1973" w:rsidRPr="00004968" w:rsidRDefault="005F1973" w:rsidP="007B46F5">
      <w:pPr>
        <w:pStyle w:val="ListParagraph"/>
        <w:numPr>
          <w:ilvl w:val="0"/>
          <w:numId w:val="10"/>
        </w:numPr>
        <w:spacing w:line="240" w:lineRule="auto"/>
        <w:rPr>
          <w:lang w:val="ru-RU" w:eastAsia="ru-RU"/>
        </w:rPr>
      </w:pPr>
      <w:r w:rsidRPr="009E6200">
        <w:rPr>
          <w:lang w:val="ru-RU" w:eastAsia="ru-RU"/>
        </w:rPr>
        <w:t xml:space="preserve">Карбоплатин </w:t>
      </w:r>
      <w:r w:rsidRPr="009E6200">
        <w:rPr>
          <w:lang w:eastAsia="ru-RU"/>
        </w:rPr>
        <w:t>AUC</w:t>
      </w:r>
      <w:r w:rsidRPr="009E6200">
        <w:rPr>
          <w:lang w:val="ru-RU" w:eastAsia="ru-RU"/>
        </w:rPr>
        <w:t xml:space="preserve"> 6 мг/мл/мин в/в инфузия продолжительностью 15-30 минут сразу после завершения инфузии паклитаксела (от 4 до 6 циклов). Допускается снижение дозы с учетом выраженности токсических проявлений.</w:t>
      </w:r>
    </w:p>
    <w:p w14:paraId="3A72B30B" w14:textId="0003602D" w:rsidR="002342F5" w:rsidRPr="009E6200" w:rsidRDefault="002342F5" w:rsidP="007B46F5">
      <w:pPr>
        <w:pStyle w:val="SDText"/>
        <w:ind w:firstLine="709"/>
        <w:jc w:val="both"/>
        <w:rPr>
          <w:lang w:eastAsia="ru-RU"/>
        </w:rPr>
      </w:pPr>
      <w:r w:rsidRPr="009E6200">
        <w:rPr>
          <w:lang w:eastAsia="ru-RU"/>
        </w:rPr>
        <w:t>Информация о коррекции дозы препаратов при развитии токсических эффектов приведена в Разделе</w:t>
      </w:r>
      <w:r w:rsidR="004F183B" w:rsidRPr="009E6200">
        <w:rPr>
          <w:lang w:eastAsia="ru-RU"/>
        </w:rPr>
        <w:t xml:space="preserve"> </w:t>
      </w:r>
      <w:r w:rsidR="004F183B" w:rsidRPr="009E6200">
        <w:rPr>
          <w:lang w:eastAsia="ru-RU"/>
        </w:rPr>
        <w:fldChar w:fldCharType="begin"/>
      </w:r>
      <w:r w:rsidR="004F183B" w:rsidRPr="009E6200">
        <w:rPr>
          <w:lang w:eastAsia="ru-RU"/>
        </w:rPr>
        <w:instrText xml:space="preserve"> REF _Ref12623652 \n \h </w:instrText>
      </w:r>
      <w:r w:rsidR="009E6200">
        <w:rPr>
          <w:lang w:eastAsia="ru-RU"/>
        </w:rPr>
        <w:instrText xml:space="preserve"> \* MERGEFORMAT </w:instrText>
      </w:r>
      <w:r w:rsidR="004F183B" w:rsidRPr="009E6200">
        <w:rPr>
          <w:lang w:eastAsia="ru-RU"/>
        </w:rPr>
      </w:r>
      <w:r w:rsidR="004F183B" w:rsidRPr="009E6200">
        <w:rPr>
          <w:lang w:eastAsia="ru-RU"/>
        </w:rPr>
        <w:fldChar w:fldCharType="separate"/>
      </w:r>
      <w:r w:rsidR="005A436A">
        <w:rPr>
          <w:lang w:eastAsia="ru-RU"/>
        </w:rPr>
        <w:t>6.2</w:t>
      </w:r>
      <w:r w:rsidR="004F183B" w:rsidRPr="009E6200">
        <w:rPr>
          <w:lang w:eastAsia="ru-RU"/>
        </w:rPr>
        <w:fldChar w:fldCharType="end"/>
      </w:r>
      <w:r w:rsidRPr="009E6200">
        <w:rPr>
          <w:lang w:eastAsia="ru-RU"/>
        </w:rPr>
        <w:t>.</w:t>
      </w:r>
    </w:p>
    <w:p w14:paraId="5D4B75E6" w14:textId="668ABB5A" w:rsidR="00563E9F" w:rsidRDefault="00563E9F" w:rsidP="007B46F5">
      <w:pPr>
        <w:pStyle w:val="SDText"/>
        <w:ind w:firstLine="709"/>
        <w:jc w:val="both"/>
        <w:rPr>
          <w:lang w:eastAsia="ru-RU"/>
        </w:rPr>
      </w:pPr>
      <w:r w:rsidRPr="009E6200">
        <w:rPr>
          <w:lang w:eastAsia="ru-RU"/>
        </w:rPr>
        <w:t xml:space="preserve">В период химиотерапии исследуемый препарат или препарат сравнения будут вводиться в дни введения препаратов химиотерапии. Лечение исследуемым препаратом/препаратом сравнения будет продолжено до прогрессирования заболевания (в соответствии с критериями </w:t>
      </w:r>
      <w:r w:rsidRPr="009E6200">
        <w:rPr>
          <w:lang w:val="en-US" w:eastAsia="ru-RU"/>
        </w:rPr>
        <w:t>RECIST</w:t>
      </w:r>
      <w:r w:rsidRPr="009E6200">
        <w:rPr>
          <w:lang w:eastAsia="ru-RU"/>
        </w:rPr>
        <w:t xml:space="preserve"> версии 1.1)</w:t>
      </w:r>
      <w:r w:rsidR="003B6AC6" w:rsidRPr="009E6200">
        <w:rPr>
          <w:lang w:eastAsia="ru-RU"/>
        </w:rPr>
        <w:t xml:space="preserve"> и/или</w:t>
      </w:r>
      <w:r w:rsidRPr="009E6200">
        <w:rPr>
          <w:lang w:eastAsia="ru-RU"/>
        </w:rPr>
        <w:t xml:space="preserve"> развития неприемлемой токсичности</w:t>
      </w:r>
      <w:r w:rsidR="003B6AC6" w:rsidRPr="009E6200">
        <w:rPr>
          <w:lang w:eastAsia="ru-RU"/>
        </w:rPr>
        <w:t xml:space="preserve"> и/или</w:t>
      </w:r>
      <w:r w:rsidRPr="009E6200">
        <w:rPr>
          <w:lang w:eastAsia="ru-RU"/>
        </w:rPr>
        <w:t xml:space="preserve"> решения исследователя о необходимости выведения пациента из исследования в интересах пациента</w:t>
      </w:r>
      <w:r w:rsidR="003B6AC6" w:rsidRPr="009E6200">
        <w:rPr>
          <w:lang w:eastAsia="ru-RU"/>
        </w:rPr>
        <w:t xml:space="preserve"> и/или</w:t>
      </w:r>
      <w:r w:rsidRPr="009E6200">
        <w:rPr>
          <w:lang w:eastAsia="ru-RU"/>
        </w:rPr>
        <w:t xml:space="preserve"> отзыва информированного согласия или смерти пациента, в зависимости от того, что произойдет раньше.</w:t>
      </w:r>
    </w:p>
    <w:p w14:paraId="7342502C" w14:textId="77777777" w:rsidR="00E556CD" w:rsidRPr="009E6200" w:rsidRDefault="00E556CD" w:rsidP="007B46F5">
      <w:pPr>
        <w:pStyle w:val="SDText"/>
        <w:ind w:firstLine="709"/>
        <w:jc w:val="both"/>
        <w:rPr>
          <w:lang w:eastAsia="ru-RU"/>
        </w:rPr>
      </w:pPr>
    </w:p>
    <w:p w14:paraId="32F6EEA5" w14:textId="1B49162C" w:rsidR="00A37E3E" w:rsidRPr="009E6200" w:rsidRDefault="003475E7" w:rsidP="007B46F5">
      <w:pPr>
        <w:pStyle w:val="Heading2"/>
      </w:pPr>
      <w:bookmarkStart w:id="157" w:name="_Toc120865264"/>
      <w:r w:rsidRPr="009E6200">
        <w:t>Лекарственная форма</w:t>
      </w:r>
      <w:r w:rsidR="00345303" w:rsidRPr="009E6200">
        <w:t>,</w:t>
      </w:r>
      <w:r w:rsidRPr="009E6200">
        <w:t xml:space="preserve"> у</w:t>
      </w:r>
      <w:r w:rsidR="00A37E3E" w:rsidRPr="009E6200">
        <w:t>паковка и маркировка препаратов</w:t>
      </w:r>
      <w:r w:rsidR="00A815B2" w:rsidRPr="009E6200">
        <w:t>, используемых в исследовании</w:t>
      </w:r>
      <w:bookmarkEnd w:id="157"/>
    </w:p>
    <w:p w14:paraId="1FC540DC" w14:textId="77777777" w:rsidR="00E556CD" w:rsidRDefault="00E556CD" w:rsidP="007B46F5">
      <w:pPr>
        <w:jc w:val="both"/>
        <w:rPr>
          <w:lang w:eastAsia="ru-RU"/>
        </w:rPr>
      </w:pPr>
    </w:p>
    <w:p w14:paraId="462DED9B" w14:textId="0042DA81" w:rsidR="000D6D09" w:rsidRPr="009E6200" w:rsidRDefault="000D6D09" w:rsidP="007B46F5">
      <w:pPr>
        <w:ind w:firstLine="709"/>
        <w:jc w:val="both"/>
        <w:rPr>
          <w:lang w:eastAsia="ru-RU"/>
        </w:rPr>
      </w:pPr>
      <w:r w:rsidRPr="009E6200">
        <w:rPr>
          <w:lang w:eastAsia="ru-RU"/>
        </w:rPr>
        <w:t xml:space="preserve">Для целей клинического исследования будут использованы препараты промышленных серий в заводской упаковке. На каждую упаковку дополнительно к заводской этикетке, содержащей информацию о названии, </w:t>
      </w:r>
      <w:r w:rsidR="00754C02" w:rsidRPr="009E6200">
        <w:rPr>
          <w:lang w:eastAsia="ru-RU"/>
        </w:rPr>
        <w:t xml:space="preserve">лекарственной форме, способе введения, </w:t>
      </w:r>
      <w:r w:rsidRPr="009E6200">
        <w:rPr>
          <w:lang w:eastAsia="ru-RU"/>
        </w:rPr>
        <w:t xml:space="preserve">составе, </w:t>
      </w:r>
      <w:r w:rsidR="00754C02" w:rsidRPr="009E6200">
        <w:rPr>
          <w:lang w:eastAsia="ru-RU"/>
        </w:rPr>
        <w:t xml:space="preserve">номере серии, </w:t>
      </w:r>
      <w:r w:rsidRPr="009E6200">
        <w:rPr>
          <w:lang w:eastAsia="ru-RU"/>
        </w:rPr>
        <w:t>сроке годности и производителе лекарственного препарата</w:t>
      </w:r>
      <w:r w:rsidR="00754C02" w:rsidRPr="009E6200">
        <w:rPr>
          <w:lang w:eastAsia="ru-RU"/>
        </w:rPr>
        <w:t xml:space="preserve"> (наименование и контактная информация спонсора исследования)</w:t>
      </w:r>
      <w:r w:rsidRPr="009E6200">
        <w:rPr>
          <w:lang w:eastAsia="ru-RU"/>
        </w:rPr>
        <w:t xml:space="preserve">, будет наклеен стикер с указанием следующей информации: надпись «только для клинических исследований», номер протокола клинического исследования, </w:t>
      </w:r>
      <w:r w:rsidR="00754C02" w:rsidRPr="009E6200">
        <w:rPr>
          <w:lang w:eastAsia="ru-RU"/>
        </w:rPr>
        <w:t>идентификационный код пациента, номер визита, ФИО исследователя, номер исследовательского центра</w:t>
      </w:r>
      <w:r w:rsidRPr="009E6200">
        <w:rPr>
          <w:lang w:eastAsia="ru-RU"/>
        </w:rPr>
        <w:t>.</w:t>
      </w:r>
    </w:p>
    <w:p w14:paraId="6B013FF4" w14:textId="77777777" w:rsidR="00882182" w:rsidRPr="009E6200" w:rsidRDefault="006C13F9" w:rsidP="007B46F5">
      <w:pPr>
        <w:pStyle w:val="SDText"/>
        <w:ind w:firstLine="709"/>
        <w:jc w:val="both"/>
        <w:rPr>
          <w:lang w:eastAsia="ru-RU"/>
        </w:rPr>
      </w:pPr>
      <w:r w:rsidRPr="009E6200">
        <w:rPr>
          <w:lang w:eastAsia="ru-RU"/>
        </w:rPr>
        <w:t>И</w:t>
      </w:r>
      <w:r w:rsidR="00882182" w:rsidRPr="009E6200">
        <w:rPr>
          <w:lang w:eastAsia="ru-RU"/>
        </w:rPr>
        <w:t xml:space="preserve">сследуемый препарат и препарат сравнения будут поставляться в одинаковых </w:t>
      </w:r>
      <w:r w:rsidR="00563E9F" w:rsidRPr="009E6200">
        <w:rPr>
          <w:lang w:eastAsia="ru-RU"/>
        </w:rPr>
        <w:t>картонных упаковках</w:t>
      </w:r>
      <w:r w:rsidR="00882182" w:rsidRPr="009E6200">
        <w:rPr>
          <w:lang w:eastAsia="ru-RU"/>
        </w:rPr>
        <w:t xml:space="preserve">, содержащих по </w:t>
      </w:r>
      <w:r w:rsidR="00563E9F" w:rsidRPr="009E6200">
        <w:rPr>
          <w:lang w:eastAsia="ru-RU"/>
        </w:rPr>
        <w:t>1 флакону с препаратом</w:t>
      </w:r>
      <w:r w:rsidR="00A815B2" w:rsidRPr="009E6200">
        <w:rPr>
          <w:lang w:eastAsia="ru-RU"/>
        </w:rPr>
        <w:t>, а также инструкцию по применению. Сопутствующие химиотерапевтические препараты будут поставляться в заводских картонных упаковках, содержащих по 1 флакону с препаратом, а также инструкцию по применению.</w:t>
      </w:r>
      <w:r w:rsidR="00882182" w:rsidRPr="009E6200">
        <w:rPr>
          <w:lang w:eastAsia="ru-RU"/>
        </w:rPr>
        <w:t xml:space="preserve"> На упаковк</w:t>
      </w:r>
      <w:r w:rsidR="00A815B2" w:rsidRPr="009E6200">
        <w:rPr>
          <w:lang w:eastAsia="ru-RU"/>
        </w:rPr>
        <w:t>ах всех используемых в исследовании препаратов</w:t>
      </w:r>
      <w:r w:rsidR="00882182" w:rsidRPr="009E6200">
        <w:rPr>
          <w:lang w:eastAsia="ru-RU"/>
        </w:rPr>
        <w:t xml:space="preserve"> будет указана следующая информация:</w:t>
      </w:r>
    </w:p>
    <w:p w14:paraId="29FF5C04" w14:textId="77777777" w:rsidR="00882182" w:rsidRPr="009E6200" w:rsidRDefault="00882182" w:rsidP="007B46F5">
      <w:pPr>
        <w:pStyle w:val="SDText"/>
        <w:numPr>
          <w:ilvl w:val="0"/>
          <w:numId w:val="7"/>
        </w:numPr>
        <w:jc w:val="both"/>
        <w:rPr>
          <w:lang w:eastAsia="ru-RU"/>
        </w:rPr>
      </w:pPr>
      <w:r w:rsidRPr="009E6200">
        <w:rPr>
          <w:lang w:eastAsia="ru-RU"/>
        </w:rPr>
        <w:t>наименование и контактные данные спонсора;</w:t>
      </w:r>
    </w:p>
    <w:p w14:paraId="4479E057" w14:textId="77777777" w:rsidR="00882182" w:rsidRPr="009E6200" w:rsidRDefault="00882182" w:rsidP="007B46F5">
      <w:pPr>
        <w:pStyle w:val="SDText"/>
        <w:numPr>
          <w:ilvl w:val="0"/>
          <w:numId w:val="7"/>
        </w:numPr>
        <w:jc w:val="both"/>
        <w:rPr>
          <w:lang w:eastAsia="ru-RU"/>
        </w:rPr>
      </w:pPr>
      <w:r w:rsidRPr="009E6200">
        <w:rPr>
          <w:lang w:eastAsia="ru-RU"/>
        </w:rPr>
        <w:t>лекарственная форма, способ введения;</w:t>
      </w:r>
    </w:p>
    <w:p w14:paraId="12A0501C" w14:textId="77777777" w:rsidR="00882182" w:rsidRPr="009E6200" w:rsidRDefault="00882182" w:rsidP="007B46F5">
      <w:pPr>
        <w:pStyle w:val="SDText"/>
        <w:numPr>
          <w:ilvl w:val="0"/>
          <w:numId w:val="7"/>
        </w:numPr>
        <w:jc w:val="both"/>
        <w:rPr>
          <w:lang w:eastAsia="ru-RU"/>
        </w:rPr>
      </w:pPr>
      <w:r w:rsidRPr="009E6200">
        <w:rPr>
          <w:lang w:eastAsia="ru-RU"/>
        </w:rPr>
        <w:t>номер серии и/или код, позволяющие идентифицировать содержимое по упаковке;</w:t>
      </w:r>
    </w:p>
    <w:p w14:paraId="2B2E083B" w14:textId="77777777" w:rsidR="00882182" w:rsidRPr="009E6200" w:rsidRDefault="00882182" w:rsidP="007B46F5">
      <w:pPr>
        <w:pStyle w:val="SDText"/>
        <w:numPr>
          <w:ilvl w:val="0"/>
          <w:numId w:val="7"/>
        </w:numPr>
        <w:jc w:val="both"/>
        <w:rPr>
          <w:lang w:eastAsia="ru-RU"/>
        </w:rPr>
      </w:pPr>
      <w:r w:rsidRPr="009E6200">
        <w:rPr>
          <w:lang w:eastAsia="ru-RU"/>
        </w:rPr>
        <w:t>идентификационный (рандомизационный) номер испытуемого лица;</w:t>
      </w:r>
    </w:p>
    <w:p w14:paraId="1FFE92E8" w14:textId="77777777" w:rsidR="00882182" w:rsidRPr="009E6200" w:rsidRDefault="00882182" w:rsidP="007B46F5">
      <w:pPr>
        <w:pStyle w:val="SDText"/>
        <w:numPr>
          <w:ilvl w:val="0"/>
          <w:numId w:val="7"/>
        </w:numPr>
        <w:jc w:val="both"/>
        <w:rPr>
          <w:lang w:eastAsia="ru-RU"/>
        </w:rPr>
      </w:pPr>
      <w:r w:rsidRPr="009E6200">
        <w:rPr>
          <w:lang w:eastAsia="ru-RU"/>
        </w:rPr>
        <w:t>указания по применению;</w:t>
      </w:r>
    </w:p>
    <w:p w14:paraId="04568F19" w14:textId="77777777" w:rsidR="00882182" w:rsidRPr="009E6200" w:rsidRDefault="00882182" w:rsidP="007B46F5">
      <w:pPr>
        <w:pStyle w:val="SDText"/>
        <w:numPr>
          <w:ilvl w:val="0"/>
          <w:numId w:val="7"/>
        </w:numPr>
        <w:jc w:val="both"/>
        <w:rPr>
          <w:lang w:eastAsia="ru-RU"/>
        </w:rPr>
      </w:pPr>
      <w:r w:rsidRPr="009E6200">
        <w:rPr>
          <w:lang w:eastAsia="ru-RU"/>
        </w:rPr>
        <w:t>надпись: "Только для клинических исследований";</w:t>
      </w:r>
    </w:p>
    <w:p w14:paraId="07BC6A22" w14:textId="77777777" w:rsidR="00882182" w:rsidRPr="009E6200" w:rsidRDefault="00882182" w:rsidP="007B46F5">
      <w:pPr>
        <w:pStyle w:val="SDText"/>
        <w:numPr>
          <w:ilvl w:val="0"/>
          <w:numId w:val="7"/>
        </w:numPr>
        <w:jc w:val="both"/>
        <w:rPr>
          <w:lang w:eastAsia="ru-RU"/>
        </w:rPr>
      </w:pPr>
      <w:r w:rsidRPr="009E6200">
        <w:rPr>
          <w:lang w:eastAsia="ru-RU"/>
        </w:rPr>
        <w:t>фамилия и инициалы исследователя;</w:t>
      </w:r>
    </w:p>
    <w:p w14:paraId="624048BB" w14:textId="77777777" w:rsidR="00882182" w:rsidRPr="009E6200" w:rsidRDefault="00882182" w:rsidP="007B46F5">
      <w:pPr>
        <w:pStyle w:val="SDText"/>
        <w:numPr>
          <w:ilvl w:val="0"/>
          <w:numId w:val="7"/>
        </w:numPr>
        <w:jc w:val="both"/>
        <w:rPr>
          <w:lang w:eastAsia="ru-RU"/>
        </w:rPr>
      </w:pPr>
      <w:r w:rsidRPr="009E6200">
        <w:rPr>
          <w:lang w:eastAsia="ru-RU"/>
        </w:rPr>
        <w:t>код клинического исследования;</w:t>
      </w:r>
    </w:p>
    <w:p w14:paraId="5733187B" w14:textId="77777777" w:rsidR="00882182" w:rsidRPr="009E6200" w:rsidRDefault="00882182" w:rsidP="007B46F5">
      <w:pPr>
        <w:pStyle w:val="SDText"/>
        <w:numPr>
          <w:ilvl w:val="0"/>
          <w:numId w:val="7"/>
        </w:numPr>
        <w:jc w:val="both"/>
        <w:rPr>
          <w:lang w:eastAsia="ru-RU"/>
        </w:rPr>
      </w:pPr>
      <w:r w:rsidRPr="009E6200">
        <w:rPr>
          <w:lang w:eastAsia="ru-RU"/>
        </w:rPr>
        <w:t>условия хранения;</w:t>
      </w:r>
    </w:p>
    <w:p w14:paraId="5E3F0BC3" w14:textId="77777777" w:rsidR="00882182" w:rsidRPr="009E6200" w:rsidRDefault="00882182" w:rsidP="007B46F5">
      <w:pPr>
        <w:pStyle w:val="SDText"/>
        <w:numPr>
          <w:ilvl w:val="0"/>
          <w:numId w:val="7"/>
        </w:numPr>
        <w:jc w:val="both"/>
        <w:rPr>
          <w:lang w:eastAsia="ru-RU"/>
        </w:rPr>
      </w:pPr>
      <w:r w:rsidRPr="009E6200">
        <w:rPr>
          <w:lang w:eastAsia="ru-RU"/>
        </w:rPr>
        <w:t>срок использования в месяцах/годах (дата истечения срока годности, срок годности или дата повторного контроля при необходимости);</w:t>
      </w:r>
    </w:p>
    <w:p w14:paraId="33B312F4" w14:textId="77777777" w:rsidR="00A05E19" w:rsidRPr="009E6200" w:rsidRDefault="00A05E19" w:rsidP="007B46F5">
      <w:pPr>
        <w:pStyle w:val="SDText"/>
        <w:numPr>
          <w:ilvl w:val="0"/>
          <w:numId w:val="7"/>
        </w:numPr>
        <w:jc w:val="both"/>
        <w:rPr>
          <w:lang w:eastAsia="ru-RU"/>
        </w:rPr>
      </w:pPr>
      <w:r w:rsidRPr="009E6200">
        <w:rPr>
          <w:lang w:eastAsia="ru-RU"/>
        </w:rPr>
        <w:t>номер пациента;</w:t>
      </w:r>
    </w:p>
    <w:p w14:paraId="77EAEFAE" w14:textId="5D7E3DDF" w:rsidR="00A05E19" w:rsidRDefault="00A05E19" w:rsidP="007B46F5">
      <w:pPr>
        <w:pStyle w:val="SDText"/>
        <w:numPr>
          <w:ilvl w:val="0"/>
          <w:numId w:val="7"/>
        </w:numPr>
        <w:jc w:val="both"/>
        <w:rPr>
          <w:lang w:eastAsia="ru-RU"/>
        </w:rPr>
      </w:pPr>
      <w:r w:rsidRPr="009E6200">
        <w:rPr>
          <w:lang w:eastAsia="ru-RU"/>
        </w:rPr>
        <w:t>дата и номер визита.</w:t>
      </w:r>
    </w:p>
    <w:p w14:paraId="4F1880BB" w14:textId="77777777" w:rsidR="00E556CD" w:rsidRPr="009E6200" w:rsidRDefault="00E556CD" w:rsidP="007B46F5">
      <w:pPr>
        <w:pStyle w:val="SDText"/>
        <w:ind w:left="720"/>
        <w:jc w:val="both"/>
        <w:rPr>
          <w:lang w:eastAsia="ru-RU"/>
        </w:rPr>
      </w:pPr>
    </w:p>
    <w:p w14:paraId="0AF9ECA3" w14:textId="3E4EB8DA" w:rsidR="00A37E3E" w:rsidRDefault="003475E7" w:rsidP="007B46F5">
      <w:pPr>
        <w:pStyle w:val="Heading2"/>
      </w:pPr>
      <w:bookmarkStart w:id="158" w:name="_Toc120865265"/>
      <w:r w:rsidRPr="009E6200">
        <w:t>Продолжительность участия пациентов в исследовании</w:t>
      </w:r>
      <w:bookmarkEnd w:id="158"/>
    </w:p>
    <w:p w14:paraId="6D16516B" w14:textId="77777777" w:rsidR="00E556CD" w:rsidRPr="00E556CD" w:rsidRDefault="00E556CD" w:rsidP="007B46F5">
      <w:pPr>
        <w:pStyle w:val="SDText"/>
        <w:rPr>
          <w:lang w:eastAsia="ru-RU"/>
        </w:rPr>
      </w:pPr>
    </w:p>
    <w:p w14:paraId="29946E36" w14:textId="3835FDE0" w:rsidR="00B53660" w:rsidRPr="009E6200" w:rsidRDefault="00B53660" w:rsidP="007B46F5">
      <w:pPr>
        <w:pStyle w:val="SDText"/>
        <w:ind w:firstLine="709"/>
        <w:jc w:val="both"/>
        <w:rPr>
          <w:lang w:eastAsia="ru-RU"/>
        </w:rPr>
      </w:pPr>
      <w:r w:rsidRPr="009E6200">
        <w:rPr>
          <w:lang w:eastAsia="ru-RU"/>
        </w:rPr>
        <w:t xml:space="preserve">Продолжительность участия в основной части исследовании каждого пациента – не более 6 месяцев от момента рандомизации. В случае, если пациенту после 6 месяцев лечения все еще показан бевацизумаб, пациент переходит в продленную часть (еще 6 месяцев) и далее в период последующего наблюдения и терапии (визиты 19+) – монотерапии исследуемым препаратом или препаратом сравнения в соответствии с рандомизационным кодом в заслепленном (до получения результатов основной части исследования) режиме до прогрессирования заболевания (в соответствии с критериями </w:t>
      </w:r>
      <w:r w:rsidRPr="009E6200">
        <w:t xml:space="preserve">ответа солидных опухолей  [response evaluation criteria in solid tumors, </w:t>
      </w:r>
      <w:r w:rsidRPr="009E6200">
        <w:rPr>
          <w:lang w:eastAsia="ru-RU"/>
        </w:rPr>
        <w:t xml:space="preserve"> </w:t>
      </w:r>
      <w:r w:rsidRPr="009E6200">
        <w:rPr>
          <w:lang w:val="en-US" w:eastAsia="ru-RU"/>
        </w:rPr>
        <w:t>RECIST</w:t>
      </w:r>
      <w:r w:rsidRPr="009E6200">
        <w:rPr>
          <w:lang w:eastAsia="ru-RU"/>
        </w:rPr>
        <w:t xml:space="preserve"> версии 1.1] и/или развития неприемлемой токсичности и/или решения исследователя о необходимости выведения пациента из исследования в интересах пациента и/или отзыва информированного согласия или смерти пациента, в зависимости от того, что произойдет раньше. В случае доказательства эквивалентности исследуемого препарата препарату сравнения по результатам основной части исследования, в рамках продленной части либо после ее завершения (визиы 19+) исследователь и пациент будут расслеплены, пациентам, получающим препарат сравнения Авастин</w:t>
      </w:r>
      <w:r w:rsidRPr="009E6200">
        <w:rPr>
          <w:rFonts w:cs="Times New Roman"/>
          <w:vertAlign w:val="superscript"/>
          <w:lang w:eastAsia="ru-RU"/>
        </w:rPr>
        <w:t>®</w:t>
      </w:r>
      <w:r w:rsidRPr="009E6200">
        <w:rPr>
          <w:lang w:eastAsia="ru-RU"/>
        </w:rPr>
        <w:t xml:space="preserve">, будет предложено продолжить лечение препаратом RPH-001. В случае отказа от перевода на лечение препаратом RPH-001 пациент </w:t>
      </w:r>
      <w:r w:rsidR="00EF06A8" w:rsidRPr="009E6200">
        <w:rPr>
          <w:lang w:eastAsia="ru-RU"/>
        </w:rPr>
        <w:t xml:space="preserve">прекращает терапию в рамках </w:t>
      </w:r>
      <w:r w:rsidRPr="009E6200">
        <w:rPr>
          <w:lang w:eastAsia="ru-RU"/>
        </w:rPr>
        <w:t xml:space="preserve">исследования, однако для оценки дожития с пациентом будет поддерживаться телефонный контакт каждые 2 месяца (±14 дней) </w:t>
      </w:r>
      <w:r w:rsidR="00022B18" w:rsidRPr="009E6200">
        <w:rPr>
          <w:lang w:eastAsia="ru-RU"/>
        </w:rPr>
        <w:t>до 12 месяцев от момента рандомизации</w:t>
      </w:r>
      <w:r w:rsidRPr="009E6200">
        <w:rPr>
          <w:lang w:eastAsia="ru-RU"/>
        </w:rPr>
        <w:t>.</w:t>
      </w:r>
    </w:p>
    <w:p w14:paraId="3E54D46D" w14:textId="77777777" w:rsidR="00B53660" w:rsidRPr="009E6200" w:rsidRDefault="00B53660" w:rsidP="007B46F5">
      <w:pPr>
        <w:pStyle w:val="SDText"/>
        <w:ind w:firstLine="709"/>
        <w:jc w:val="both"/>
      </w:pPr>
      <w:r w:rsidRPr="009E6200">
        <w:rPr>
          <w:lang w:eastAsia="ru-RU"/>
        </w:rPr>
        <w:t xml:space="preserve">В случае, если эквивалентность исследуемого препарата препарату сравнения по результатам основной части исследования не будет доказана, а также после исключения пациента из исследования по другим причинам, пациенты будут получать стандартную терапию </w:t>
      </w:r>
      <w:r w:rsidRPr="009E6200">
        <w:t>зарегистрированными препаратами по обеспечению через систему здравоохранения.</w:t>
      </w:r>
    </w:p>
    <w:p w14:paraId="30F7D799" w14:textId="3A7C0578" w:rsidR="001F6468" w:rsidRPr="009E6200" w:rsidRDefault="00511216" w:rsidP="007B46F5">
      <w:pPr>
        <w:pStyle w:val="SDText"/>
        <w:jc w:val="both"/>
        <w:rPr>
          <w:lang w:eastAsia="ru-RU"/>
        </w:rPr>
      </w:pPr>
      <w:r w:rsidRPr="009E6200">
        <w:rPr>
          <w:lang w:eastAsia="ru-RU"/>
        </w:rPr>
        <w:t>.</w:t>
      </w:r>
    </w:p>
    <w:p w14:paraId="2F16CCC5" w14:textId="4D37A9BC" w:rsidR="00F174FE" w:rsidRDefault="00F174FE" w:rsidP="007B46F5">
      <w:pPr>
        <w:pStyle w:val="Heading2"/>
      </w:pPr>
      <w:bookmarkStart w:id="159" w:name="_Ref524080754"/>
      <w:bookmarkStart w:id="160" w:name="_Toc120865266"/>
      <w:r w:rsidRPr="009E6200">
        <w:t>Правил</w:t>
      </w:r>
      <w:r w:rsidR="00E71B06" w:rsidRPr="009E6200">
        <w:t>а</w:t>
      </w:r>
      <w:r w:rsidRPr="009E6200">
        <w:t xml:space="preserve"> остановки частей клинического исследования и (или) клинического исследования в целом</w:t>
      </w:r>
      <w:bookmarkEnd w:id="159"/>
      <w:bookmarkEnd w:id="160"/>
    </w:p>
    <w:p w14:paraId="6B77721A" w14:textId="77777777" w:rsidR="00E556CD" w:rsidRPr="00E556CD" w:rsidRDefault="00E556CD" w:rsidP="007B46F5">
      <w:pPr>
        <w:pStyle w:val="SDText"/>
        <w:rPr>
          <w:lang w:eastAsia="ru-RU"/>
        </w:rPr>
      </w:pPr>
    </w:p>
    <w:p w14:paraId="18BA6049" w14:textId="77777777" w:rsidR="008D2ABE" w:rsidRPr="009E6200" w:rsidRDefault="008D2ABE" w:rsidP="007B46F5">
      <w:pPr>
        <w:pStyle w:val="SDText"/>
        <w:ind w:firstLine="709"/>
        <w:jc w:val="both"/>
        <w:rPr>
          <w:lang w:eastAsia="ru-RU"/>
        </w:rPr>
      </w:pPr>
      <w:r w:rsidRPr="009E6200">
        <w:rPr>
          <w:lang w:eastAsia="ru-RU"/>
        </w:rPr>
        <w:t>Исследование может быть остановлено по следующим основаниям:</w:t>
      </w:r>
    </w:p>
    <w:p w14:paraId="410C8545" w14:textId="77777777" w:rsidR="008D2ABE" w:rsidRPr="009E6200" w:rsidRDefault="008D2ABE" w:rsidP="007B46F5">
      <w:pPr>
        <w:pStyle w:val="SDText"/>
        <w:numPr>
          <w:ilvl w:val="0"/>
          <w:numId w:val="5"/>
        </w:numPr>
        <w:jc w:val="both"/>
        <w:rPr>
          <w:lang w:eastAsia="ru-RU"/>
        </w:rPr>
      </w:pPr>
      <w:r w:rsidRPr="009E6200">
        <w:rPr>
          <w:lang w:eastAsia="ru-RU"/>
        </w:rPr>
        <w:t xml:space="preserve">По инициативе спонсора: </w:t>
      </w:r>
    </w:p>
    <w:p w14:paraId="18617D1D" w14:textId="77777777" w:rsidR="008D2ABE" w:rsidRPr="009E6200" w:rsidRDefault="008D2ABE" w:rsidP="007B46F5">
      <w:pPr>
        <w:pStyle w:val="SDText"/>
        <w:numPr>
          <w:ilvl w:val="0"/>
          <w:numId w:val="6"/>
        </w:numPr>
        <w:jc w:val="both"/>
        <w:rPr>
          <w:lang w:eastAsia="ru-RU"/>
        </w:rPr>
      </w:pPr>
      <w:r w:rsidRPr="009E6200">
        <w:rPr>
          <w:lang w:eastAsia="ru-RU"/>
        </w:rPr>
        <w:t>получение новых токсикологических или фармакологических данных, или данных о СНЯ, которые заставляют пересмотреть ранее проведенную оценку пользы/риска участия в исследовании;</w:t>
      </w:r>
    </w:p>
    <w:p w14:paraId="6F097B3A" w14:textId="388E5D98" w:rsidR="008D2ABE" w:rsidRPr="009E6200" w:rsidRDefault="008D2ABE" w:rsidP="007B46F5">
      <w:pPr>
        <w:pStyle w:val="SDText"/>
        <w:numPr>
          <w:ilvl w:val="0"/>
          <w:numId w:val="6"/>
        </w:numPr>
        <w:jc w:val="both"/>
        <w:rPr>
          <w:lang w:eastAsia="ru-RU"/>
        </w:rPr>
      </w:pPr>
      <w:r w:rsidRPr="009E6200">
        <w:rPr>
          <w:lang w:eastAsia="ru-RU"/>
        </w:rPr>
        <w:t>частота НЯ и/или их тяжесть не позволяют продолжать исследование;</w:t>
      </w:r>
    </w:p>
    <w:p w14:paraId="48A95587" w14:textId="52EF16FD" w:rsidR="00EE3DFF" w:rsidRPr="009E6200" w:rsidRDefault="00EE3DFF" w:rsidP="007B46F5">
      <w:pPr>
        <w:pStyle w:val="SDText"/>
        <w:numPr>
          <w:ilvl w:val="0"/>
          <w:numId w:val="6"/>
        </w:numPr>
        <w:jc w:val="both"/>
        <w:rPr>
          <w:lang w:eastAsia="ru-RU"/>
        </w:rPr>
      </w:pPr>
      <w:r w:rsidRPr="009E6200">
        <w:rPr>
          <w:lang w:eastAsia="ru-RU"/>
        </w:rPr>
        <w:t>В продленной части исследования и в периоде последующего наблюдения и терапии – недоказательство эквивалентности исследуемого препарата и препарата сравнения по результатам основной части;</w:t>
      </w:r>
    </w:p>
    <w:p w14:paraId="59C95B07" w14:textId="77777777" w:rsidR="008D2ABE" w:rsidRPr="009E6200" w:rsidRDefault="008D2ABE" w:rsidP="007B46F5">
      <w:pPr>
        <w:pStyle w:val="SDText"/>
        <w:numPr>
          <w:ilvl w:val="0"/>
          <w:numId w:val="6"/>
        </w:numPr>
        <w:jc w:val="both"/>
        <w:rPr>
          <w:lang w:eastAsia="ru-RU"/>
        </w:rPr>
      </w:pPr>
      <w:r w:rsidRPr="009E6200">
        <w:rPr>
          <w:lang w:eastAsia="ru-RU"/>
        </w:rPr>
        <w:t>иные причины, включая административные.</w:t>
      </w:r>
    </w:p>
    <w:p w14:paraId="1CB5F83B" w14:textId="77777777" w:rsidR="008D2ABE" w:rsidRPr="009E6200" w:rsidRDefault="008D2ABE" w:rsidP="007B46F5">
      <w:pPr>
        <w:pStyle w:val="SDText"/>
        <w:numPr>
          <w:ilvl w:val="0"/>
          <w:numId w:val="5"/>
        </w:numPr>
        <w:jc w:val="both"/>
        <w:rPr>
          <w:lang w:eastAsia="ru-RU"/>
        </w:rPr>
      </w:pPr>
      <w:r w:rsidRPr="009E6200">
        <w:rPr>
          <w:lang w:eastAsia="ru-RU"/>
        </w:rPr>
        <w:t xml:space="preserve">По инициативе исследователя: частота НЯ и/или их тяжесть недопустимо повышает риск от участия </w:t>
      </w:r>
      <w:r w:rsidR="00584423" w:rsidRPr="009E6200">
        <w:rPr>
          <w:lang w:eastAsia="ru-RU"/>
        </w:rPr>
        <w:t>пациентов</w:t>
      </w:r>
      <w:r w:rsidRPr="009E6200">
        <w:rPr>
          <w:lang w:eastAsia="ru-RU"/>
        </w:rPr>
        <w:t xml:space="preserve"> в исследовании.</w:t>
      </w:r>
    </w:p>
    <w:p w14:paraId="0C00BD5D" w14:textId="77777777" w:rsidR="008D2ABE" w:rsidRPr="009E6200" w:rsidRDefault="008D2ABE" w:rsidP="007B46F5">
      <w:pPr>
        <w:pStyle w:val="SDText"/>
        <w:numPr>
          <w:ilvl w:val="0"/>
          <w:numId w:val="5"/>
        </w:numPr>
        <w:jc w:val="both"/>
        <w:rPr>
          <w:lang w:eastAsia="ru-RU"/>
        </w:rPr>
      </w:pPr>
      <w:r w:rsidRPr="009E6200">
        <w:rPr>
          <w:lang w:eastAsia="ru-RU"/>
        </w:rPr>
        <w:t>По решению регуляторных органов.</w:t>
      </w:r>
    </w:p>
    <w:p w14:paraId="136D48AB" w14:textId="77777777" w:rsidR="008D2ABE" w:rsidRPr="009E6200" w:rsidRDefault="008D2ABE" w:rsidP="007B46F5">
      <w:pPr>
        <w:ind w:firstLine="709"/>
        <w:jc w:val="both"/>
        <w:rPr>
          <w:lang w:eastAsia="ru-RU"/>
        </w:rPr>
      </w:pPr>
      <w:r w:rsidRPr="009E6200">
        <w:rPr>
          <w:lang w:eastAsia="ru-RU"/>
        </w:rPr>
        <w:t>При преждевременной остановке исследования спонсор обязан уведомить об этом персонал исследовательских центров, а также регуляторные органы, с указанием причины преждевременного прекращения исследования.</w:t>
      </w:r>
    </w:p>
    <w:p w14:paraId="62897E38" w14:textId="0C594EC1" w:rsidR="008D2ABE" w:rsidRDefault="008D2ABE" w:rsidP="007B46F5">
      <w:pPr>
        <w:ind w:firstLine="709"/>
        <w:jc w:val="both"/>
        <w:rPr>
          <w:lang w:eastAsia="ru-RU"/>
        </w:rPr>
      </w:pPr>
      <w:r w:rsidRPr="009E6200">
        <w:rPr>
          <w:lang w:eastAsia="ru-RU"/>
        </w:rPr>
        <w:t xml:space="preserve">Правила остановки исследования для каждого участника исследования перечислены в </w:t>
      </w:r>
      <w:r w:rsidR="00FA38F3" w:rsidRPr="009E6200">
        <w:rPr>
          <w:lang w:eastAsia="ru-RU"/>
        </w:rPr>
        <w:t>Р</w:t>
      </w:r>
      <w:r w:rsidRPr="009E6200">
        <w:rPr>
          <w:lang w:eastAsia="ru-RU"/>
        </w:rPr>
        <w:t xml:space="preserve">азделе </w:t>
      </w:r>
      <w:r w:rsidRPr="009E6200">
        <w:rPr>
          <w:lang w:eastAsia="ru-RU"/>
        </w:rPr>
        <w:fldChar w:fldCharType="begin"/>
      </w:r>
      <w:r w:rsidRPr="009E6200">
        <w:rPr>
          <w:lang w:eastAsia="ru-RU"/>
        </w:rPr>
        <w:instrText xml:space="preserve"> REF _Ref466175729 \r \h </w:instrText>
      </w:r>
      <w:r w:rsidR="00070269" w:rsidRPr="009E6200">
        <w:rPr>
          <w:lang w:eastAsia="ru-RU"/>
        </w:rPr>
        <w:instrText xml:space="preserve"> \* MERGEFORMAT </w:instrText>
      </w:r>
      <w:r w:rsidRPr="009E6200">
        <w:rPr>
          <w:lang w:eastAsia="ru-RU"/>
        </w:rPr>
      </w:r>
      <w:r w:rsidRPr="009E6200">
        <w:rPr>
          <w:lang w:eastAsia="ru-RU"/>
        </w:rPr>
        <w:fldChar w:fldCharType="separate"/>
      </w:r>
      <w:r w:rsidR="005A436A">
        <w:rPr>
          <w:lang w:eastAsia="ru-RU"/>
        </w:rPr>
        <w:t>5.3</w:t>
      </w:r>
      <w:r w:rsidRPr="009E6200">
        <w:rPr>
          <w:lang w:eastAsia="ru-RU"/>
        </w:rPr>
        <w:fldChar w:fldCharType="end"/>
      </w:r>
      <w:r w:rsidRPr="009E6200">
        <w:rPr>
          <w:lang w:eastAsia="ru-RU"/>
        </w:rPr>
        <w:t>.</w:t>
      </w:r>
    </w:p>
    <w:p w14:paraId="592EF12B" w14:textId="77777777" w:rsidR="00E556CD" w:rsidRPr="009E6200" w:rsidRDefault="00E556CD" w:rsidP="007B46F5">
      <w:pPr>
        <w:ind w:firstLine="709"/>
        <w:jc w:val="both"/>
        <w:rPr>
          <w:lang w:eastAsia="ru-RU"/>
        </w:rPr>
      </w:pPr>
    </w:p>
    <w:p w14:paraId="4FBC09BA" w14:textId="020D5589" w:rsidR="00F174FE" w:rsidRDefault="009A1B4A" w:rsidP="007B46F5">
      <w:pPr>
        <w:pStyle w:val="Heading2"/>
      </w:pPr>
      <w:bookmarkStart w:id="161" w:name="_Toc120865267"/>
      <w:r w:rsidRPr="009E6200">
        <w:t>Процедуры учета исследуемых лекарственных препаратов</w:t>
      </w:r>
      <w:bookmarkEnd w:id="161"/>
    </w:p>
    <w:p w14:paraId="54971773" w14:textId="77777777" w:rsidR="00E556CD" w:rsidRPr="00E556CD" w:rsidRDefault="00E556CD" w:rsidP="007B46F5">
      <w:pPr>
        <w:pStyle w:val="SDText"/>
        <w:rPr>
          <w:lang w:eastAsia="ru-RU"/>
        </w:rPr>
      </w:pPr>
    </w:p>
    <w:p w14:paraId="7BCE072C" w14:textId="77777777" w:rsidR="00963960" w:rsidRPr="009E6200" w:rsidRDefault="00963960" w:rsidP="007B46F5">
      <w:pPr>
        <w:pStyle w:val="SDText"/>
        <w:ind w:firstLine="709"/>
        <w:jc w:val="both"/>
        <w:rPr>
          <w:lang w:eastAsia="ru-RU"/>
        </w:rPr>
      </w:pPr>
      <w:r w:rsidRPr="009E6200">
        <w:rPr>
          <w:lang w:eastAsia="ru-RU"/>
        </w:rPr>
        <w:t>В исследовательские центры будет поставлено количество препаратов исследования (</w:t>
      </w:r>
      <w:r w:rsidR="008D32FC" w:rsidRPr="009E6200">
        <w:rPr>
          <w:lang w:eastAsia="ru-RU"/>
        </w:rPr>
        <w:t>RPH-001</w:t>
      </w:r>
      <w:r w:rsidRPr="009E6200">
        <w:rPr>
          <w:lang w:eastAsia="ru-RU"/>
        </w:rPr>
        <w:t xml:space="preserve">, </w:t>
      </w:r>
      <w:r w:rsidR="008D32FC" w:rsidRPr="009E6200">
        <w:rPr>
          <w:lang w:eastAsia="ru-RU"/>
        </w:rPr>
        <w:t>Авастин</w:t>
      </w:r>
      <w:r w:rsidR="00121FA5" w:rsidRPr="009E6200">
        <w:rPr>
          <w:vertAlign w:val="superscript"/>
          <w:lang w:eastAsia="ru-RU"/>
        </w:rPr>
        <w:t>®</w:t>
      </w:r>
      <w:r w:rsidRPr="009E6200">
        <w:rPr>
          <w:lang w:eastAsia="ru-RU"/>
        </w:rPr>
        <w:t xml:space="preserve">), </w:t>
      </w:r>
      <w:r w:rsidR="00891C41" w:rsidRPr="009E6200">
        <w:rPr>
          <w:lang w:eastAsia="ru-RU"/>
        </w:rPr>
        <w:t xml:space="preserve">а также препаратов химиотерапии (карбоплатина и паклитаксела), </w:t>
      </w:r>
      <w:r w:rsidRPr="009E6200">
        <w:rPr>
          <w:lang w:eastAsia="ru-RU"/>
        </w:rPr>
        <w:t xml:space="preserve">достаточное для проведения исследования с учетом запланированного для </w:t>
      </w:r>
      <w:r w:rsidR="00A05E19" w:rsidRPr="009E6200">
        <w:rPr>
          <w:lang w:eastAsia="ru-RU"/>
        </w:rPr>
        <w:t>рандомизации</w:t>
      </w:r>
      <w:r w:rsidRPr="009E6200">
        <w:rPr>
          <w:lang w:eastAsia="ru-RU"/>
        </w:rPr>
        <w:t xml:space="preserve"> количества пациентов.</w:t>
      </w:r>
    </w:p>
    <w:p w14:paraId="29F624B0" w14:textId="77777777" w:rsidR="00963960" w:rsidRPr="009E6200" w:rsidRDefault="00963960" w:rsidP="007B46F5">
      <w:pPr>
        <w:pStyle w:val="SDText"/>
        <w:ind w:firstLine="709"/>
        <w:jc w:val="both"/>
        <w:rPr>
          <w:lang w:eastAsia="ru-RU"/>
        </w:rPr>
      </w:pPr>
      <w:r w:rsidRPr="009E6200">
        <w:rPr>
          <w:lang w:eastAsia="ru-RU"/>
        </w:rPr>
        <w:t>Ответственный сотрудник исследовательского центра ведет журнал учета препаратов исследования, в котором отмечается поступление препаратов в центр, выдача препаратов участникам исследования, возврат неиспользованного препарата. Также отмечаются условия хранения. Препараты исследования могут использоваться только в целях данного клинического исследования.</w:t>
      </w:r>
    </w:p>
    <w:p w14:paraId="62EA3799" w14:textId="1E6C5E43" w:rsidR="008D2ABE" w:rsidRDefault="00963960" w:rsidP="007B46F5">
      <w:pPr>
        <w:pStyle w:val="SDText"/>
        <w:ind w:firstLine="709"/>
        <w:jc w:val="both"/>
        <w:rPr>
          <w:lang w:eastAsia="ru-RU"/>
        </w:rPr>
      </w:pPr>
      <w:r w:rsidRPr="009E6200">
        <w:rPr>
          <w:lang w:eastAsia="ru-RU"/>
        </w:rPr>
        <w:t>Сотрудники спонсора или регуляторных органов при мониторинге/аудите исследовательского центра могут проверить журнал учета препаратов, а также наличие препаратов. Препараты должны храниться с соблюдением условий хранения в комнате, доступ в которую есть только у сотрудников исследовательского центра, ответственных за распределение препарата.</w:t>
      </w:r>
    </w:p>
    <w:p w14:paraId="3E68ECCF" w14:textId="77777777" w:rsidR="00E556CD" w:rsidRPr="009E6200" w:rsidRDefault="00E556CD" w:rsidP="007B46F5">
      <w:pPr>
        <w:pStyle w:val="SDText"/>
        <w:ind w:firstLine="709"/>
        <w:jc w:val="both"/>
        <w:rPr>
          <w:lang w:eastAsia="ru-RU"/>
        </w:rPr>
      </w:pPr>
    </w:p>
    <w:p w14:paraId="4E63C33F" w14:textId="3CEA6B4A" w:rsidR="00FD7F93" w:rsidRDefault="00FD7F93" w:rsidP="007B46F5">
      <w:pPr>
        <w:pStyle w:val="Heading2"/>
      </w:pPr>
      <w:bookmarkStart w:id="162" w:name="_Toc120865268"/>
      <w:r w:rsidRPr="009E6200">
        <w:t>Хранени</w:t>
      </w:r>
      <w:r w:rsidR="00E71B06" w:rsidRPr="009E6200">
        <w:t>е</w:t>
      </w:r>
      <w:r w:rsidRPr="009E6200">
        <w:t xml:space="preserve"> рандомизационных кодов и процедуры их раскрытия</w:t>
      </w:r>
      <w:bookmarkEnd w:id="162"/>
    </w:p>
    <w:p w14:paraId="0822D665" w14:textId="77777777" w:rsidR="00E556CD" w:rsidRPr="00E556CD" w:rsidRDefault="00E556CD" w:rsidP="007B46F5">
      <w:pPr>
        <w:pStyle w:val="SDText"/>
        <w:rPr>
          <w:lang w:eastAsia="ru-RU"/>
        </w:rPr>
      </w:pPr>
    </w:p>
    <w:p w14:paraId="6446197B" w14:textId="77777777" w:rsidR="00F31249" w:rsidRPr="009E6200" w:rsidRDefault="00963960" w:rsidP="007B46F5">
      <w:pPr>
        <w:pStyle w:val="SDText"/>
        <w:ind w:firstLine="709"/>
        <w:jc w:val="both"/>
        <w:rPr>
          <w:lang w:eastAsia="ru-RU"/>
        </w:rPr>
      </w:pPr>
      <w:r w:rsidRPr="009E6200">
        <w:rPr>
          <w:lang w:eastAsia="ru-RU"/>
        </w:rPr>
        <w:t xml:space="preserve">Рандомизационный </w:t>
      </w:r>
      <w:r w:rsidR="001004E8" w:rsidRPr="009E6200">
        <w:rPr>
          <w:lang w:eastAsia="ru-RU"/>
        </w:rPr>
        <w:t xml:space="preserve">код </w:t>
      </w:r>
      <w:r w:rsidRPr="009E6200">
        <w:rPr>
          <w:lang w:eastAsia="ru-RU"/>
        </w:rPr>
        <w:t xml:space="preserve">пациента </w:t>
      </w:r>
      <w:r w:rsidR="00293EAB" w:rsidRPr="009E6200">
        <w:rPr>
          <w:lang w:eastAsia="ru-RU"/>
        </w:rPr>
        <w:t xml:space="preserve">будет приведен в </w:t>
      </w:r>
      <w:r w:rsidR="00027254" w:rsidRPr="009E6200">
        <w:rPr>
          <w:lang w:eastAsia="ru-RU"/>
        </w:rPr>
        <w:t>рассле</w:t>
      </w:r>
      <w:r w:rsidR="00293EAB" w:rsidRPr="009E6200">
        <w:rPr>
          <w:lang w:eastAsia="ru-RU"/>
        </w:rPr>
        <w:t xml:space="preserve">пленном листе рандомизации (доступном только для </w:t>
      </w:r>
      <w:r w:rsidR="00027254" w:rsidRPr="009E6200">
        <w:rPr>
          <w:lang w:eastAsia="ru-RU"/>
        </w:rPr>
        <w:t>рассле</w:t>
      </w:r>
      <w:r w:rsidR="00293EAB" w:rsidRPr="009E6200">
        <w:rPr>
          <w:lang w:eastAsia="ru-RU"/>
        </w:rPr>
        <w:t xml:space="preserve">пленных сотрудников Спонсора/КИО) и </w:t>
      </w:r>
      <w:r w:rsidR="00F31249" w:rsidRPr="009E6200">
        <w:rPr>
          <w:lang w:eastAsia="ru-RU"/>
        </w:rPr>
        <w:t xml:space="preserve">может </w:t>
      </w:r>
      <w:r w:rsidRPr="009E6200">
        <w:rPr>
          <w:lang w:eastAsia="ru-RU"/>
        </w:rPr>
        <w:t>указыват</w:t>
      </w:r>
      <w:r w:rsidR="00F31249" w:rsidRPr="009E6200">
        <w:rPr>
          <w:lang w:eastAsia="ru-RU"/>
        </w:rPr>
        <w:t>ь</w:t>
      </w:r>
      <w:r w:rsidRPr="009E6200">
        <w:rPr>
          <w:lang w:eastAsia="ru-RU"/>
        </w:rPr>
        <w:t xml:space="preserve">ся в </w:t>
      </w:r>
      <w:r w:rsidR="00027254" w:rsidRPr="009E6200">
        <w:rPr>
          <w:lang w:eastAsia="ru-RU"/>
        </w:rPr>
        <w:t>рассле</w:t>
      </w:r>
      <w:r w:rsidR="00F31249" w:rsidRPr="009E6200">
        <w:rPr>
          <w:lang w:eastAsia="ru-RU"/>
        </w:rPr>
        <w:t xml:space="preserve">пленных </w:t>
      </w:r>
      <w:r w:rsidRPr="009E6200">
        <w:rPr>
          <w:lang w:eastAsia="ru-RU"/>
        </w:rPr>
        <w:t>документах, предназначенных для использования вне исследовательского центра (</w:t>
      </w:r>
      <w:r w:rsidR="00F31249" w:rsidRPr="009E6200">
        <w:rPr>
          <w:lang w:eastAsia="ru-RU"/>
        </w:rPr>
        <w:t xml:space="preserve">например, </w:t>
      </w:r>
      <w:r w:rsidR="00027254" w:rsidRPr="009E6200">
        <w:rPr>
          <w:lang w:eastAsia="ru-RU"/>
        </w:rPr>
        <w:t>рассле</w:t>
      </w:r>
      <w:r w:rsidR="00F31249" w:rsidRPr="009E6200">
        <w:rPr>
          <w:lang w:eastAsia="ru-RU"/>
        </w:rPr>
        <w:t xml:space="preserve">пленное </w:t>
      </w:r>
      <w:r w:rsidRPr="009E6200">
        <w:rPr>
          <w:lang w:eastAsia="ru-RU"/>
        </w:rPr>
        <w:t>сообщени</w:t>
      </w:r>
      <w:r w:rsidR="00F31249" w:rsidRPr="009E6200">
        <w:rPr>
          <w:lang w:eastAsia="ru-RU"/>
        </w:rPr>
        <w:t>е</w:t>
      </w:r>
      <w:r w:rsidRPr="009E6200">
        <w:rPr>
          <w:lang w:eastAsia="ru-RU"/>
        </w:rPr>
        <w:t xml:space="preserve"> о СНЯ </w:t>
      </w:r>
      <w:r w:rsidR="00F31249" w:rsidRPr="009E6200">
        <w:rPr>
          <w:lang w:eastAsia="ru-RU"/>
        </w:rPr>
        <w:t>для регуляторных органов</w:t>
      </w:r>
      <w:r w:rsidRPr="009E6200">
        <w:rPr>
          <w:lang w:eastAsia="ru-RU"/>
        </w:rPr>
        <w:t xml:space="preserve">). </w:t>
      </w:r>
    </w:p>
    <w:p w14:paraId="704C7C77" w14:textId="77777777" w:rsidR="00963960" w:rsidRPr="009E6200" w:rsidRDefault="00DC7C8C" w:rsidP="007B46F5">
      <w:pPr>
        <w:pStyle w:val="SDText"/>
        <w:ind w:firstLine="709"/>
        <w:jc w:val="both"/>
        <w:rPr>
          <w:lang w:eastAsia="ru-RU"/>
        </w:rPr>
      </w:pPr>
      <w:r w:rsidRPr="009E6200">
        <w:rPr>
          <w:lang w:eastAsia="ru-RU"/>
        </w:rPr>
        <w:t xml:space="preserve">В центре будет использоваться заслепленный рандомизационный номер, который не содержит в себе указания на </w:t>
      </w:r>
      <w:r w:rsidR="00885C9F" w:rsidRPr="009E6200">
        <w:rPr>
          <w:lang w:eastAsia="ru-RU"/>
        </w:rPr>
        <w:t xml:space="preserve">группу лечебного назначения. </w:t>
      </w:r>
      <w:r w:rsidR="00963960" w:rsidRPr="009E6200">
        <w:rPr>
          <w:lang w:eastAsia="ru-RU"/>
        </w:rPr>
        <w:t xml:space="preserve">Присвоенный рандомизационный </w:t>
      </w:r>
      <w:r w:rsidR="00885C9F" w:rsidRPr="009E6200">
        <w:rPr>
          <w:lang w:eastAsia="ru-RU"/>
        </w:rPr>
        <w:t xml:space="preserve">номер </w:t>
      </w:r>
      <w:r w:rsidR="00584423" w:rsidRPr="009E6200">
        <w:rPr>
          <w:lang w:eastAsia="ru-RU"/>
        </w:rPr>
        <w:t>пациента</w:t>
      </w:r>
      <w:r w:rsidR="00963960" w:rsidRPr="009E6200">
        <w:rPr>
          <w:lang w:eastAsia="ru-RU"/>
        </w:rPr>
        <w:t xml:space="preserve"> вносится в </w:t>
      </w:r>
      <w:r w:rsidR="001C186C" w:rsidRPr="009E6200">
        <w:rPr>
          <w:lang w:eastAsia="ru-RU"/>
        </w:rPr>
        <w:t>эИРК</w:t>
      </w:r>
      <w:r w:rsidR="00963960" w:rsidRPr="009E6200">
        <w:rPr>
          <w:lang w:eastAsia="ru-RU"/>
        </w:rPr>
        <w:t xml:space="preserve"> и соответствующие формы</w:t>
      </w:r>
      <w:r w:rsidR="00885C9F" w:rsidRPr="009E6200">
        <w:rPr>
          <w:lang w:eastAsia="ru-RU"/>
        </w:rPr>
        <w:t xml:space="preserve"> в центре и используется, наряду со скрининговым номером, для заслепленной идентификации пациента</w:t>
      </w:r>
      <w:r w:rsidR="00963960" w:rsidRPr="009E6200">
        <w:rPr>
          <w:lang w:eastAsia="ru-RU"/>
        </w:rPr>
        <w:t xml:space="preserve">. Рандомизационный </w:t>
      </w:r>
      <w:r w:rsidR="00885C9F" w:rsidRPr="009E6200">
        <w:rPr>
          <w:lang w:eastAsia="ru-RU"/>
        </w:rPr>
        <w:t xml:space="preserve">номер </w:t>
      </w:r>
      <w:r w:rsidR="00584423" w:rsidRPr="009E6200">
        <w:rPr>
          <w:lang w:eastAsia="ru-RU"/>
        </w:rPr>
        <w:t>пациента</w:t>
      </w:r>
      <w:r w:rsidR="00963960" w:rsidRPr="009E6200">
        <w:rPr>
          <w:lang w:eastAsia="ru-RU"/>
        </w:rPr>
        <w:t xml:space="preserve"> в ходе исследования не меняется.</w:t>
      </w:r>
    </w:p>
    <w:p w14:paraId="414FD9F1" w14:textId="77777777" w:rsidR="00D35FFD" w:rsidRPr="009E6200" w:rsidRDefault="00963960" w:rsidP="007B46F5">
      <w:pPr>
        <w:pStyle w:val="SDText"/>
        <w:ind w:firstLine="709"/>
        <w:jc w:val="both"/>
        <w:rPr>
          <w:lang w:eastAsia="ru-RU"/>
        </w:rPr>
      </w:pPr>
      <w:r w:rsidRPr="009E6200">
        <w:rPr>
          <w:lang w:eastAsia="ru-RU"/>
        </w:rPr>
        <w:t xml:space="preserve">План </w:t>
      </w:r>
      <w:r w:rsidR="00E36209" w:rsidRPr="009E6200">
        <w:rPr>
          <w:lang w:eastAsia="ru-RU"/>
        </w:rPr>
        <w:t xml:space="preserve">и лист </w:t>
      </w:r>
      <w:r w:rsidRPr="009E6200">
        <w:rPr>
          <w:lang w:eastAsia="ru-RU"/>
        </w:rPr>
        <w:t>рандомизации</w:t>
      </w:r>
      <w:r w:rsidR="00E36209" w:rsidRPr="009E6200">
        <w:rPr>
          <w:lang w:eastAsia="ru-RU"/>
        </w:rPr>
        <w:t xml:space="preserve"> будут храниться у </w:t>
      </w:r>
      <w:r w:rsidR="00027254" w:rsidRPr="009E6200">
        <w:rPr>
          <w:lang w:eastAsia="ru-RU"/>
        </w:rPr>
        <w:t>рассле</w:t>
      </w:r>
      <w:r w:rsidR="00E36209" w:rsidRPr="009E6200">
        <w:rPr>
          <w:lang w:eastAsia="ru-RU"/>
        </w:rPr>
        <w:t>пленного представителя Спонсора/КИО</w:t>
      </w:r>
      <w:r w:rsidR="00282943" w:rsidRPr="009E6200">
        <w:rPr>
          <w:lang w:eastAsia="ru-RU"/>
        </w:rPr>
        <w:t xml:space="preserve">, при этом всеми уполномоченными </w:t>
      </w:r>
      <w:r w:rsidR="00027254" w:rsidRPr="009E6200">
        <w:rPr>
          <w:lang w:eastAsia="ru-RU"/>
        </w:rPr>
        <w:t>рассле</w:t>
      </w:r>
      <w:r w:rsidR="00282943" w:rsidRPr="009E6200">
        <w:rPr>
          <w:lang w:eastAsia="ru-RU"/>
        </w:rPr>
        <w:t xml:space="preserve">пленными сотрудниками будут применяться адекватные меры безопасности, направленные на предотвращение случайного </w:t>
      </w:r>
      <w:r w:rsidR="00027254" w:rsidRPr="009E6200">
        <w:rPr>
          <w:lang w:eastAsia="ru-RU"/>
        </w:rPr>
        <w:t>рассле</w:t>
      </w:r>
      <w:r w:rsidR="00282943" w:rsidRPr="009E6200">
        <w:rPr>
          <w:lang w:eastAsia="ru-RU"/>
        </w:rPr>
        <w:t>пления</w:t>
      </w:r>
      <w:r w:rsidR="00656E6B" w:rsidRPr="009E6200">
        <w:rPr>
          <w:lang w:eastAsia="ru-RU"/>
        </w:rPr>
        <w:t xml:space="preserve"> (описанные в стандартных процедурах спонсора/КИО).</w:t>
      </w:r>
    </w:p>
    <w:p w14:paraId="2F68BE01" w14:textId="3F86DBEB" w:rsidR="00656E6B" w:rsidRPr="009E6200" w:rsidRDefault="00656E6B" w:rsidP="007B46F5">
      <w:pPr>
        <w:pStyle w:val="SDText"/>
        <w:ind w:firstLine="709"/>
        <w:jc w:val="both"/>
        <w:rPr>
          <w:lang w:eastAsia="ru-RU"/>
        </w:rPr>
      </w:pPr>
      <w:r w:rsidRPr="009E6200">
        <w:rPr>
          <w:lang w:eastAsia="ru-RU"/>
        </w:rPr>
        <w:t xml:space="preserve">В системе </w:t>
      </w:r>
      <w:r w:rsidRPr="009E6200">
        <w:rPr>
          <w:lang w:val="en-US" w:eastAsia="ru-RU"/>
        </w:rPr>
        <w:t>IWRS</w:t>
      </w:r>
      <w:r w:rsidRPr="009E6200">
        <w:rPr>
          <w:lang w:eastAsia="ru-RU"/>
        </w:rPr>
        <w:t xml:space="preserve"> будет предусмотрена возможность экстренного </w:t>
      </w:r>
      <w:r w:rsidR="00027254" w:rsidRPr="009E6200">
        <w:rPr>
          <w:lang w:eastAsia="ru-RU"/>
        </w:rPr>
        <w:t>рассле</w:t>
      </w:r>
      <w:r w:rsidRPr="009E6200">
        <w:rPr>
          <w:lang w:eastAsia="ru-RU"/>
        </w:rPr>
        <w:t xml:space="preserve">пления </w:t>
      </w:r>
      <w:r w:rsidR="008304BC" w:rsidRPr="009E6200">
        <w:rPr>
          <w:lang w:eastAsia="ru-RU"/>
        </w:rPr>
        <w:t xml:space="preserve">рандомизационного кода уполномоченным представителем центра, при этом порядок и пути информирования о произошедшем экстренном </w:t>
      </w:r>
      <w:r w:rsidR="00027254" w:rsidRPr="009E6200">
        <w:rPr>
          <w:lang w:eastAsia="ru-RU"/>
        </w:rPr>
        <w:t>рассле</w:t>
      </w:r>
      <w:r w:rsidR="008304BC" w:rsidRPr="009E6200">
        <w:rPr>
          <w:lang w:eastAsia="ru-RU"/>
        </w:rPr>
        <w:t xml:space="preserve">плении </w:t>
      </w:r>
      <w:r w:rsidR="00CF2906" w:rsidRPr="009E6200">
        <w:rPr>
          <w:lang w:eastAsia="ru-RU"/>
        </w:rPr>
        <w:t xml:space="preserve">будут описаны в руководстве по работе с системой </w:t>
      </w:r>
      <w:r w:rsidR="00CF2906" w:rsidRPr="009E6200">
        <w:rPr>
          <w:lang w:val="en-US" w:eastAsia="ru-RU"/>
        </w:rPr>
        <w:t>IWRS</w:t>
      </w:r>
      <w:r w:rsidR="00CF2906" w:rsidRPr="009E6200">
        <w:rPr>
          <w:lang w:eastAsia="ru-RU"/>
        </w:rPr>
        <w:t xml:space="preserve">. В случае недоступности системы </w:t>
      </w:r>
      <w:r w:rsidR="00CF2906" w:rsidRPr="009E6200">
        <w:rPr>
          <w:lang w:val="en-US" w:eastAsia="ru-RU"/>
        </w:rPr>
        <w:t>IWRS</w:t>
      </w:r>
      <w:r w:rsidR="00CF2906" w:rsidRPr="009E6200">
        <w:rPr>
          <w:lang w:eastAsia="ru-RU"/>
        </w:rPr>
        <w:t xml:space="preserve"> и необходимости экстренного </w:t>
      </w:r>
      <w:r w:rsidR="00027254" w:rsidRPr="009E6200">
        <w:rPr>
          <w:lang w:eastAsia="ru-RU"/>
        </w:rPr>
        <w:t>рассле</w:t>
      </w:r>
      <w:r w:rsidR="00CF2906" w:rsidRPr="009E6200">
        <w:rPr>
          <w:lang w:eastAsia="ru-RU"/>
        </w:rPr>
        <w:t xml:space="preserve">пления рандомизационного кода пациента с целью обеспечения его безопасности </w:t>
      </w:r>
      <w:r w:rsidR="00B74C19" w:rsidRPr="009E6200">
        <w:rPr>
          <w:lang w:eastAsia="ru-RU"/>
        </w:rPr>
        <w:t xml:space="preserve">/ предотвращения угрозы его жизни в руководстве будет предусмотрен прямой контакт </w:t>
      </w:r>
      <w:r w:rsidR="00027254" w:rsidRPr="009E6200">
        <w:rPr>
          <w:lang w:eastAsia="ru-RU"/>
        </w:rPr>
        <w:t>рассле</w:t>
      </w:r>
      <w:r w:rsidR="00B74C19" w:rsidRPr="009E6200">
        <w:rPr>
          <w:lang w:eastAsia="ru-RU"/>
        </w:rPr>
        <w:t xml:space="preserve">пленного сотрудника Спонсора/КИО, отвечающего за экстренное </w:t>
      </w:r>
      <w:r w:rsidR="00082F94" w:rsidRPr="009E6200">
        <w:rPr>
          <w:lang w:eastAsia="ru-RU"/>
        </w:rPr>
        <w:t>Разослепление</w:t>
      </w:r>
      <w:r w:rsidR="00B74C19" w:rsidRPr="009E6200">
        <w:rPr>
          <w:lang w:eastAsia="ru-RU"/>
        </w:rPr>
        <w:t xml:space="preserve"> путем прямого доступа к листу рандомизации.</w:t>
      </w:r>
    </w:p>
    <w:p w14:paraId="604E02D4" w14:textId="35B6926B" w:rsidR="00A63D3A" w:rsidRDefault="00027254" w:rsidP="007B46F5">
      <w:pPr>
        <w:pStyle w:val="SDText"/>
        <w:ind w:firstLine="709"/>
        <w:jc w:val="both"/>
        <w:rPr>
          <w:lang w:eastAsia="ru-RU"/>
        </w:rPr>
      </w:pPr>
      <w:r w:rsidRPr="009E6200">
        <w:rPr>
          <w:lang w:eastAsia="ru-RU"/>
        </w:rPr>
        <w:t>Рассле</w:t>
      </w:r>
      <w:r w:rsidR="004D7416" w:rsidRPr="009E6200">
        <w:rPr>
          <w:lang w:eastAsia="ru-RU"/>
        </w:rPr>
        <w:t xml:space="preserve">пленный сотрудник исследовательского центра, проводящий инфузии исследуемого препарата / препарата сравнения, ни при каких обстоятельствах </w:t>
      </w:r>
      <w:r w:rsidR="00E42732" w:rsidRPr="009E6200">
        <w:rPr>
          <w:lang w:eastAsia="ru-RU"/>
        </w:rPr>
        <w:t xml:space="preserve">(включая экстренное </w:t>
      </w:r>
      <w:r w:rsidR="00082F94" w:rsidRPr="009E6200">
        <w:rPr>
          <w:lang w:eastAsia="ru-RU"/>
        </w:rPr>
        <w:t>Разослепление</w:t>
      </w:r>
      <w:r w:rsidR="00E42732" w:rsidRPr="009E6200">
        <w:rPr>
          <w:lang w:eastAsia="ru-RU"/>
        </w:rPr>
        <w:t xml:space="preserve">) </w:t>
      </w:r>
      <w:r w:rsidR="004D7416" w:rsidRPr="009E6200">
        <w:rPr>
          <w:lang w:eastAsia="ru-RU"/>
        </w:rPr>
        <w:t>не должен сообщать остальным (заслепленным) сотрудникам исследовательского центра информацию о рандомизационном коде</w:t>
      </w:r>
      <w:r w:rsidR="00E42732" w:rsidRPr="009E6200">
        <w:rPr>
          <w:lang w:eastAsia="ru-RU"/>
        </w:rPr>
        <w:t xml:space="preserve">. Раскрытие рандомизационного кода во всех случаях должно следовать описанной выше процедуре, то есть проводиться либо через </w:t>
      </w:r>
      <w:r w:rsidR="00413DE0" w:rsidRPr="009E6200">
        <w:rPr>
          <w:lang w:eastAsia="ru-RU"/>
        </w:rPr>
        <w:t xml:space="preserve">систему </w:t>
      </w:r>
      <w:r w:rsidR="00413DE0" w:rsidRPr="009E6200">
        <w:rPr>
          <w:lang w:val="en-US" w:eastAsia="ru-RU"/>
        </w:rPr>
        <w:t>IWRS</w:t>
      </w:r>
      <w:r w:rsidR="00413DE0" w:rsidRPr="009E6200">
        <w:rPr>
          <w:lang w:eastAsia="ru-RU"/>
        </w:rPr>
        <w:t xml:space="preserve">, либо через уполномоченного </w:t>
      </w:r>
      <w:r w:rsidRPr="009E6200">
        <w:rPr>
          <w:lang w:eastAsia="ru-RU"/>
        </w:rPr>
        <w:t>рассле</w:t>
      </w:r>
      <w:r w:rsidR="00413DE0" w:rsidRPr="009E6200">
        <w:rPr>
          <w:lang w:eastAsia="ru-RU"/>
        </w:rPr>
        <w:t xml:space="preserve">пленного </w:t>
      </w:r>
      <w:r w:rsidR="00E42732" w:rsidRPr="009E6200">
        <w:rPr>
          <w:lang w:eastAsia="ru-RU"/>
        </w:rPr>
        <w:t xml:space="preserve">сотрудника </w:t>
      </w:r>
      <w:r w:rsidR="00413DE0" w:rsidRPr="009E6200">
        <w:rPr>
          <w:lang w:eastAsia="ru-RU"/>
        </w:rPr>
        <w:t>Спонсора/КИО.</w:t>
      </w:r>
    </w:p>
    <w:p w14:paraId="381BE4B2" w14:textId="77777777" w:rsidR="00E27DD9" w:rsidRPr="009E6200" w:rsidRDefault="00E27DD9" w:rsidP="007B46F5">
      <w:pPr>
        <w:pStyle w:val="SDText"/>
        <w:ind w:firstLine="709"/>
        <w:jc w:val="both"/>
        <w:rPr>
          <w:lang w:eastAsia="ru-RU"/>
        </w:rPr>
      </w:pPr>
    </w:p>
    <w:p w14:paraId="2BCF7062" w14:textId="1760A828" w:rsidR="00FD7F93" w:rsidRDefault="00FD7F93" w:rsidP="007B46F5">
      <w:pPr>
        <w:pStyle w:val="Heading2"/>
      </w:pPr>
      <w:bookmarkStart w:id="163" w:name="_Toc120865269"/>
      <w:r w:rsidRPr="009E6200">
        <w:t>Перечень данных, регистрируемых в индивидуальной регистрационной карте (без предварительной записи в письменном или электронном виде) и рассматриваемых в качестве первичных данных</w:t>
      </w:r>
      <w:bookmarkEnd w:id="163"/>
    </w:p>
    <w:p w14:paraId="721FD7D3" w14:textId="77777777" w:rsidR="00E27DD9" w:rsidRPr="00E27DD9" w:rsidRDefault="00E27DD9" w:rsidP="007B46F5">
      <w:pPr>
        <w:pStyle w:val="SDText"/>
        <w:rPr>
          <w:lang w:eastAsia="ru-RU"/>
        </w:rPr>
      </w:pPr>
    </w:p>
    <w:p w14:paraId="64A12CE8" w14:textId="24963F8E" w:rsidR="00992857" w:rsidRDefault="00963960" w:rsidP="00992857">
      <w:pPr>
        <w:pStyle w:val="SDText"/>
        <w:ind w:firstLine="709"/>
        <w:jc w:val="both"/>
        <w:rPr>
          <w:lang w:eastAsia="ru-RU"/>
        </w:rPr>
      </w:pPr>
      <w:r w:rsidRPr="009E6200">
        <w:rPr>
          <w:lang w:eastAsia="ru-RU"/>
        </w:rPr>
        <w:t xml:space="preserve">Все данные, получаемые в рамках настоящего клинического исследования, будут </w:t>
      </w:r>
      <w:r w:rsidR="00540286" w:rsidRPr="009E6200">
        <w:rPr>
          <w:lang w:eastAsia="ru-RU"/>
        </w:rPr>
        <w:t>предварительно регистрироваться в письменном и/или электронном виде (</w:t>
      </w:r>
      <w:r w:rsidR="006801E8" w:rsidRPr="009E6200">
        <w:rPr>
          <w:lang w:eastAsia="ru-RU"/>
        </w:rPr>
        <w:t xml:space="preserve">в зависимости от того, </w:t>
      </w:r>
      <w:r w:rsidR="00540286" w:rsidRPr="009E6200">
        <w:rPr>
          <w:lang w:eastAsia="ru-RU"/>
        </w:rPr>
        <w:t>что применимо в конкретной медицинской организации) в первичной медицинской документации, с последующим внесением данных в эИРК. Никакие данные не будут регистрироваться непосредственно в эИРК без предварительной регистрации в первичной документации.</w:t>
      </w:r>
    </w:p>
    <w:p w14:paraId="3310F165" w14:textId="77777777" w:rsidR="00992857" w:rsidRDefault="00992857" w:rsidP="00992857">
      <w:pPr>
        <w:pStyle w:val="SDText"/>
        <w:ind w:firstLine="709"/>
        <w:jc w:val="both"/>
        <w:rPr>
          <w:lang w:eastAsia="ru-RU"/>
        </w:rPr>
      </w:pPr>
    </w:p>
    <w:p w14:paraId="44C6D1B4" w14:textId="77777777" w:rsidR="00992857" w:rsidRDefault="00992857" w:rsidP="00992857">
      <w:pPr>
        <w:pStyle w:val="Heading1"/>
        <w:spacing w:before="0" w:after="0" w:line="240" w:lineRule="auto"/>
        <w:jc w:val="both"/>
        <w:rPr>
          <w:color w:val="auto"/>
          <w:sz w:val="28"/>
          <w:szCs w:val="28"/>
        </w:rPr>
        <w:sectPr w:rsidR="00992857" w:rsidSect="00992857">
          <w:type w:val="continuous"/>
          <w:pgSz w:w="11906" w:h="16838"/>
          <w:pgMar w:top="1134" w:right="850" w:bottom="1134" w:left="1701" w:header="708" w:footer="708" w:gutter="0"/>
          <w:cols w:space="708"/>
          <w:docGrid w:linePitch="360"/>
        </w:sectPr>
      </w:pPr>
    </w:p>
    <w:p w14:paraId="0384205C" w14:textId="24394989" w:rsidR="00B03DAD" w:rsidRDefault="006F6CA8" w:rsidP="00992857">
      <w:pPr>
        <w:pStyle w:val="Heading1"/>
        <w:spacing w:before="0" w:after="0" w:line="240" w:lineRule="auto"/>
        <w:jc w:val="both"/>
        <w:rPr>
          <w:color w:val="auto"/>
          <w:sz w:val="24"/>
        </w:rPr>
      </w:pPr>
      <w:bookmarkStart w:id="164" w:name="_Toc120865270"/>
      <w:r w:rsidRPr="00992857">
        <w:rPr>
          <w:color w:val="auto"/>
          <w:sz w:val="28"/>
          <w:szCs w:val="28"/>
        </w:rPr>
        <w:t>Критерии включения</w:t>
      </w:r>
      <w:r w:rsidR="00782240" w:rsidRPr="00992857">
        <w:rPr>
          <w:color w:val="auto"/>
          <w:sz w:val="28"/>
          <w:szCs w:val="28"/>
        </w:rPr>
        <w:t>, невключения и исключения</w:t>
      </w:r>
      <w:r w:rsidRPr="00992857">
        <w:rPr>
          <w:color w:val="auto"/>
          <w:sz w:val="28"/>
          <w:szCs w:val="28"/>
        </w:rPr>
        <w:t xml:space="preserve"> участников</w:t>
      </w:r>
      <w:bookmarkEnd w:id="164"/>
    </w:p>
    <w:p w14:paraId="7541662C" w14:textId="77777777" w:rsidR="00E27DD9" w:rsidRPr="00E27DD9" w:rsidRDefault="00E27DD9" w:rsidP="007B46F5"/>
    <w:p w14:paraId="7EDA1C5F" w14:textId="175478D3" w:rsidR="006F6CA8" w:rsidRPr="009E6200" w:rsidRDefault="00782240" w:rsidP="007B46F5">
      <w:pPr>
        <w:pStyle w:val="Heading2"/>
      </w:pPr>
      <w:bookmarkStart w:id="165" w:name="_Ref12190822"/>
      <w:bookmarkStart w:id="166" w:name="_Toc120865271"/>
      <w:r w:rsidRPr="009E6200">
        <w:t>Критерии включения</w:t>
      </w:r>
      <w:bookmarkEnd w:id="165"/>
      <w:bookmarkEnd w:id="166"/>
    </w:p>
    <w:p w14:paraId="7AF53A4C" w14:textId="77777777" w:rsidR="005A436A" w:rsidRDefault="001F6468" w:rsidP="007B46F5">
      <w:pPr>
        <w:pStyle w:val="SDText"/>
        <w:jc w:val="both"/>
        <w:rPr>
          <w:lang w:eastAsia="ru-RU"/>
        </w:rPr>
      </w:pPr>
      <w:r w:rsidRPr="009E6200">
        <w:rPr>
          <w:lang w:eastAsia="ru-RU"/>
        </w:rPr>
        <w:fldChar w:fldCharType="begin"/>
      </w:r>
      <w:r w:rsidRPr="009E6200">
        <w:rPr>
          <w:lang w:eastAsia="ru-RU"/>
        </w:rPr>
        <w:instrText xml:space="preserve"> REF OLE_LINK_Inclusion_criteria \h </w:instrText>
      </w:r>
      <w:r w:rsidR="009E6200">
        <w:rPr>
          <w:lang w:eastAsia="ru-RU"/>
        </w:rPr>
        <w:instrText xml:space="preserve"> \* MERGEFORMAT </w:instrText>
      </w:r>
      <w:r w:rsidRPr="009E6200">
        <w:rPr>
          <w:lang w:eastAsia="ru-RU"/>
        </w:rPr>
      </w:r>
      <w:r w:rsidRPr="009E6200">
        <w:rPr>
          <w:lang w:eastAsia="ru-RU"/>
        </w:rPr>
        <w:fldChar w:fldCharType="separate"/>
      </w:r>
    </w:p>
    <w:sdt>
      <w:sdtPr>
        <w:rPr>
          <w:lang w:eastAsia="ru-RU"/>
        </w:rPr>
        <w:alias w:val="Критерии включения"/>
        <w:tag w:val="Критерии включения"/>
        <w:id w:val="-664532"/>
        <w:placeholder>
          <w:docPart w:val="71A18B80EC234F13B1B00DA73A3C9504"/>
        </w:placeholder>
      </w:sdtPr>
      <w:sdtEndPr/>
      <w:sdtContent>
        <w:sdt>
          <w:sdtPr>
            <w:rPr>
              <w:lang w:eastAsia="ru-RU"/>
            </w:rPr>
            <w:alias w:val="Критерии включения"/>
            <w:tag w:val="Критерии включения"/>
            <w:id w:val="-321040615"/>
            <w:placeholder>
              <w:docPart w:val="6B39A45DADE2429B9F49F0EF785AAF79"/>
            </w:placeholder>
          </w:sdtPr>
          <w:sdtEndPr/>
          <w:sdtContent>
            <w:p w14:paraId="6AF3053A" w14:textId="4411D3C0" w:rsidR="005A436A" w:rsidRPr="009E6200" w:rsidRDefault="005A436A" w:rsidP="007B46F5">
              <w:pPr>
                <w:pStyle w:val="SDText"/>
                <w:jc w:val="both"/>
                <w:rPr>
                  <w:lang w:eastAsia="ru-RU"/>
                </w:rPr>
              </w:pPr>
              <w:r w:rsidRPr="009E6200">
                <w:rPr>
                  <w:lang w:eastAsia="ru-RU"/>
                </w:rPr>
                <w:t xml:space="preserve">Пациенты должны соответствовать следующим критериям </w:t>
              </w:r>
              <w:r w:rsidRPr="009E6200">
                <w:t>включения</w:t>
              </w:r>
              <w:r w:rsidRPr="009E6200">
                <w:rPr>
                  <w:lang w:eastAsia="ru-RU"/>
                </w:rPr>
                <w:t>:</w:t>
              </w:r>
            </w:p>
            <w:p w14:paraId="081C6A86" w14:textId="77777777" w:rsidR="005A436A" w:rsidRPr="009E6200" w:rsidRDefault="005A436A" w:rsidP="007B46F5">
              <w:pPr>
                <w:pStyle w:val="SDText"/>
                <w:ind w:left="426" w:hanging="426"/>
                <w:jc w:val="both"/>
              </w:pPr>
              <w:r w:rsidRPr="005A436A">
                <w:rPr>
                  <w:noProof/>
                </w:rPr>
                <w:t>1</w:t>
              </w:r>
              <w:r w:rsidRPr="009E6200">
                <w:rPr>
                  <w:noProof/>
                </w:rPr>
                <w:t>.</w:t>
              </w:r>
              <w:r w:rsidRPr="009E6200">
                <w:tab/>
              </w:r>
              <w:r w:rsidRPr="009E6200">
                <w:rPr>
                  <w:lang w:eastAsia="ru-RU"/>
                </w:rPr>
                <w:t>Добровольно</w:t>
              </w:r>
              <w:r w:rsidRPr="009E6200">
                <w:t xml:space="preserve"> подписанное информированное согласие на участие в исследовании;</w:t>
              </w:r>
            </w:p>
            <w:p w14:paraId="452F523F" w14:textId="77777777" w:rsidR="005A436A" w:rsidRPr="009E6200" w:rsidRDefault="005A436A" w:rsidP="007B46F5">
              <w:pPr>
                <w:pStyle w:val="SDText"/>
                <w:ind w:left="426" w:hanging="426"/>
                <w:jc w:val="both"/>
              </w:pPr>
              <w:r w:rsidRPr="005A436A">
                <w:rPr>
                  <w:noProof/>
                </w:rPr>
                <w:t>2</w:t>
              </w:r>
              <w:r w:rsidRPr="009E6200">
                <w:rPr>
                  <w:noProof/>
                </w:rPr>
                <w:t>.</w:t>
              </w:r>
              <w:r w:rsidRPr="009E6200">
                <w:tab/>
                <w:t>Мужчины и женщины в возрасте 18 лет и старше на момент скрининга;</w:t>
              </w:r>
            </w:p>
            <w:p w14:paraId="4373243C" w14:textId="77777777" w:rsidR="005A436A" w:rsidRPr="009E6200" w:rsidRDefault="005A436A" w:rsidP="007B46F5">
              <w:pPr>
                <w:pStyle w:val="SDText"/>
                <w:ind w:left="426" w:hanging="426"/>
                <w:jc w:val="both"/>
              </w:pPr>
              <w:r w:rsidRPr="005A436A">
                <w:rPr>
                  <w:noProof/>
                </w:rPr>
                <w:t>3</w:t>
              </w:r>
              <w:r w:rsidRPr="009E6200">
                <w:rPr>
                  <w:noProof/>
                </w:rPr>
                <w:t>.</w:t>
              </w:r>
              <w:r w:rsidRPr="009E6200">
                <w:tab/>
                <w:t>Способность и желание понять и соблюдать требования протокола;</w:t>
              </w:r>
            </w:p>
            <w:p w14:paraId="3341FA79" w14:textId="77777777" w:rsidR="005A436A" w:rsidRPr="009E6200" w:rsidRDefault="005A436A" w:rsidP="007B46F5">
              <w:pPr>
                <w:pStyle w:val="SDText"/>
                <w:ind w:left="426" w:hanging="426"/>
                <w:jc w:val="both"/>
              </w:pPr>
              <w:r w:rsidRPr="005A436A">
                <w:rPr>
                  <w:noProof/>
                </w:rPr>
                <w:t>4</w:t>
              </w:r>
              <w:r w:rsidRPr="009E6200">
                <w:rPr>
                  <w:noProof/>
                </w:rPr>
                <w:t>.</w:t>
              </w:r>
              <w:r w:rsidRPr="009E6200">
                <w:tab/>
                <w:t>Впервые диагностированный или рецидивирующий неплоскоклеточный НМРЛ, подтвержденный гистологически или цитологически;</w:t>
              </w:r>
            </w:p>
            <w:p w14:paraId="0532C449" w14:textId="77777777" w:rsidR="005A436A" w:rsidRPr="009E6200" w:rsidRDefault="005A436A" w:rsidP="007B46F5">
              <w:pPr>
                <w:pStyle w:val="SDText"/>
                <w:ind w:left="426" w:hanging="426"/>
                <w:jc w:val="both"/>
              </w:pPr>
              <w:r w:rsidRPr="005A436A">
                <w:rPr>
                  <w:noProof/>
                </w:rPr>
                <w:t>5</w:t>
              </w:r>
              <w:r w:rsidRPr="009E6200">
                <w:rPr>
                  <w:noProof/>
                </w:rPr>
                <w:t>.</w:t>
              </w:r>
              <w:r w:rsidRPr="009E6200">
                <w:tab/>
                <w:t>Для больных с рецидивирующим неплоскоклеточным НМРЛ – оперативное лечение основного заболевания в анамнезе и давность адъювантной или неоадъювантной химиотерапии не менее 6 мес.</w:t>
              </w:r>
              <w:r w:rsidRPr="009E6200">
                <w:tab/>
                <w:t>на момент включения в скрининговый период;</w:t>
              </w:r>
            </w:p>
            <w:p w14:paraId="07A0CD36" w14:textId="77777777" w:rsidR="005A436A" w:rsidRPr="009E6200" w:rsidRDefault="005A436A" w:rsidP="007B46F5">
              <w:pPr>
                <w:pStyle w:val="SDText"/>
                <w:ind w:left="426" w:hanging="426"/>
                <w:jc w:val="both"/>
              </w:pPr>
              <w:r w:rsidRPr="005A436A">
                <w:rPr>
                  <w:noProof/>
                </w:rPr>
                <w:t>6</w:t>
              </w:r>
              <w:r w:rsidRPr="009E6200">
                <w:rPr>
                  <w:noProof/>
                </w:rPr>
                <w:t>.</w:t>
              </w:r>
              <w:r w:rsidRPr="009E6200">
                <w:tab/>
                <w:t xml:space="preserve">Стадия рака легкого IIIB или IV (версия 7 международной классификации стадий злокачественных новообразований (tumor, nodus и metastasis, TNM, приложение 1, Раздел </w:t>
              </w:r>
              <w:r>
                <w:t>15.1</w:t>
              </w:r>
              <w:r w:rsidRPr="009E6200">
                <w:t>);</w:t>
              </w:r>
            </w:p>
            <w:p w14:paraId="3EED35EF" w14:textId="77777777" w:rsidR="005A436A" w:rsidRPr="009E6200" w:rsidRDefault="005A436A" w:rsidP="007B46F5">
              <w:pPr>
                <w:pStyle w:val="SDText"/>
                <w:ind w:left="426" w:hanging="426"/>
                <w:jc w:val="both"/>
              </w:pPr>
              <w:r w:rsidRPr="005A436A">
                <w:rPr>
                  <w:noProof/>
                </w:rPr>
                <w:t>7</w:t>
              </w:r>
              <w:r w:rsidRPr="009E6200">
                <w:rPr>
                  <w:noProof/>
                </w:rPr>
                <w:t>.</w:t>
              </w:r>
              <w:r w:rsidRPr="009E6200">
                <w:tab/>
                <w:t>Статус по шкале оценки общего состояния онкологического больного (Eastern Cooperative Oncology Group, ECOG) 0–I;</w:t>
              </w:r>
            </w:p>
            <w:p w14:paraId="2D3AD6D6" w14:textId="77777777" w:rsidR="005A436A" w:rsidRPr="009E6200" w:rsidRDefault="005A436A" w:rsidP="007B46F5">
              <w:pPr>
                <w:pStyle w:val="SDText"/>
                <w:ind w:left="426" w:hanging="426"/>
                <w:jc w:val="both"/>
              </w:pPr>
              <w:r w:rsidRPr="005A436A">
                <w:rPr>
                  <w:noProof/>
                </w:rPr>
                <w:t>8</w:t>
              </w:r>
              <w:r w:rsidRPr="009E6200">
                <w:rPr>
                  <w:noProof/>
                </w:rPr>
                <w:t>.</w:t>
              </w:r>
              <w:r w:rsidRPr="009E6200">
                <w:tab/>
                <w:t>Ожидаемая продолжительность жизни на момент рандомизации 6 мес. и более;</w:t>
              </w:r>
            </w:p>
            <w:p w14:paraId="45508E62" w14:textId="77777777" w:rsidR="005A436A" w:rsidRPr="009E6200" w:rsidRDefault="005A436A" w:rsidP="007B46F5">
              <w:pPr>
                <w:pStyle w:val="SDText"/>
                <w:ind w:left="426" w:hanging="426"/>
                <w:jc w:val="both"/>
              </w:pPr>
              <w:r w:rsidRPr="005A436A">
                <w:rPr>
                  <w:noProof/>
                </w:rPr>
                <w:t>9</w:t>
              </w:r>
              <w:r w:rsidRPr="009E6200">
                <w:rPr>
                  <w:noProof/>
                </w:rPr>
                <w:t>.</w:t>
              </w:r>
              <w:r w:rsidRPr="009E6200">
                <w:tab/>
                <w:t>Наличие, как минимум, одного измеримого очага опухоли в соответствии с критериями RECIST версии 1.1;</w:t>
              </w:r>
            </w:p>
            <w:p w14:paraId="3E7319BF" w14:textId="77777777" w:rsidR="005A436A" w:rsidRPr="009E6200" w:rsidRDefault="005A436A" w:rsidP="007B46F5">
              <w:pPr>
                <w:pStyle w:val="SDText"/>
                <w:ind w:left="426" w:hanging="426"/>
                <w:jc w:val="both"/>
              </w:pPr>
              <w:r w:rsidRPr="005A436A">
                <w:rPr>
                  <w:noProof/>
                </w:rPr>
                <w:t>10</w:t>
              </w:r>
              <w:r w:rsidRPr="009E6200">
                <w:rPr>
                  <w:noProof/>
                </w:rPr>
                <w:t>.</w:t>
              </w:r>
              <w:r w:rsidRPr="009E6200">
                <w:tab/>
                <w:t>У женщин, способных к деторождению, на скрининге должен быть получен отрицательный результат теста на беременность (кроме женщин после хирургической стерилизации или с длительностью периода менопаузы более 2 лет);</w:t>
              </w:r>
            </w:p>
            <w:p w14:paraId="5309799B" w14:textId="77777777" w:rsidR="005A436A" w:rsidRDefault="005A436A" w:rsidP="007B46F5">
              <w:pPr>
                <w:pStyle w:val="SDText"/>
                <w:ind w:left="426" w:hanging="426"/>
                <w:jc w:val="both"/>
                <w:rPr>
                  <w:lang w:eastAsia="ru-RU"/>
                </w:rPr>
              </w:pPr>
              <w:r w:rsidRPr="005A436A">
                <w:rPr>
                  <w:noProof/>
                </w:rPr>
                <w:t>11</w:t>
              </w:r>
              <w:r w:rsidRPr="009E6200">
                <w:rPr>
                  <w:noProof/>
                </w:rPr>
                <w:t>.</w:t>
              </w:r>
              <w:r w:rsidRPr="009E6200">
                <w:tab/>
                <w:t>Для женщин, способных к деторождению и для мужчин – согласие</w:t>
              </w:r>
              <w:r w:rsidRPr="009E6200">
                <w:rPr>
                  <w:lang w:eastAsia="ru-RU"/>
                </w:rPr>
                <w:t xml:space="preserve"> на соблюдение эффективной контрацепции (в соответствии с Разделом 6.4 протокола исследования) на всем протяжении исследования, начиная </w:t>
              </w:r>
              <w:r>
                <w:rPr>
                  <w:lang w:eastAsia="ru-RU"/>
                </w:rPr>
                <w:t>с</w:t>
              </w:r>
              <w:r w:rsidRPr="009E6200">
                <w:rPr>
                  <w:lang w:eastAsia="ru-RU"/>
                </w:rPr>
                <w:t xml:space="preserve"> даты подписания согласия до введения первой дозы препарата и, как минимум, в течение 6 мес.</w:t>
              </w:r>
              <w:r w:rsidRPr="009E6200">
                <w:rPr>
                  <w:lang w:eastAsia="ru-RU"/>
                </w:rPr>
                <w:tab/>
                <w:t>после введения последней дозы исследуемого препарата/препарата сравнения.</w:t>
              </w:r>
            </w:p>
          </w:sdtContent>
        </w:sdt>
      </w:sdtContent>
    </w:sdt>
    <w:p w14:paraId="5D7D71F5" w14:textId="706AFA19" w:rsidR="007A30C9" w:rsidRPr="009E6200" w:rsidRDefault="001F6468" w:rsidP="007B46F5">
      <w:pPr>
        <w:pStyle w:val="SDText"/>
        <w:jc w:val="both"/>
        <w:rPr>
          <w:lang w:eastAsia="ru-RU"/>
        </w:rPr>
      </w:pPr>
      <w:r w:rsidRPr="009E6200">
        <w:rPr>
          <w:lang w:eastAsia="ru-RU"/>
        </w:rPr>
        <w:fldChar w:fldCharType="end"/>
      </w:r>
    </w:p>
    <w:p w14:paraId="2EC6279C" w14:textId="1EABF824" w:rsidR="00EA32BD" w:rsidRPr="009E6200" w:rsidRDefault="006F6CA8" w:rsidP="007B46F5">
      <w:pPr>
        <w:pStyle w:val="Heading2"/>
      </w:pPr>
      <w:bookmarkStart w:id="167" w:name="_Ref12190829"/>
      <w:bookmarkStart w:id="168" w:name="_Ref16256942"/>
      <w:bookmarkStart w:id="169" w:name="_Toc120865272"/>
      <w:r w:rsidRPr="009E6200">
        <w:t>Критерии невключения участников</w:t>
      </w:r>
      <w:bookmarkEnd w:id="167"/>
      <w:bookmarkEnd w:id="168"/>
      <w:bookmarkEnd w:id="169"/>
    </w:p>
    <w:p w14:paraId="497CBFC8" w14:textId="77777777" w:rsidR="005A436A" w:rsidRDefault="00EA32BD" w:rsidP="007B46F5">
      <w:pPr>
        <w:pStyle w:val="SDText"/>
        <w:jc w:val="both"/>
      </w:pPr>
      <w:r w:rsidRPr="009E6200">
        <w:fldChar w:fldCharType="begin"/>
      </w:r>
      <w:r w:rsidRPr="009E6200">
        <w:instrText xml:space="preserve"> REF  OLE_LINK_Noninclusion_criteria \h </w:instrText>
      </w:r>
      <w:r w:rsidR="009E6200">
        <w:instrText xml:space="preserve"> \* MERGEFORMAT </w:instrText>
      </w:r>
      <w:r w:rsidRPr="009E6200">
        <w:fldChar w:fldCharType="separate"/>
      </w:r>
    </w:p>
    <w:sdt>
      <w:sdtPr>
        <w:rPr>
          <w:lang w:eastAsia="ru-RU"/>
        </w:rPr>
        <w:alias w:val="Критерии невключения"/>
        <w:tag w:val="Критерии невключения"/>
        <w:id w:val="-1430572943"/>
        <w:placeholder>
          <w:docPart w:val="061A5370EF20464686AEE5C3CF11C6B9"/>
        </w:placeholder>
      </w:sdtPr>
      <w:sdtEndPr>
        <w:rPr>
          <w:rFonts w:cs="Times New Roman"/>
          <w:szCs w:val="24"/>
          <w:lang w:eastAsia="en-US"/>
        </w:rPr>
      </w:sdtEndPr>
      <w:sdtContent>
        <w:sdt>
          <w:sdtPr>
            <w:rPr>
              <w:lang w:eastAsia="ru-RU"/>
            </w:rPr>
            <w:alias w:val="Критерии невключения"/>
            <w:tag w:val="Критерии невключения"/>
            <w:id w:val="-1655376188"/>
            <w:placeholder>
              <w:docPart w:val="A0D7861DBC9041868180A15E5D6F9EEF"/>
            </w:placeholder>
          </w:sdtPr>
          <w:sdtEndPr>
            <w:rPr>
              <w:rFonts w:cs="Times New Roman"/>
              <w:szCs w:val="24"/>
              <w:lang w:eastAsia="en-US"/>
            </w:rPr>
          </w:sdtEndPr>
          <w:sdtContent>
            <w:p w14:paraId="1AC219AF" w14:textId="1BEC0B5D" w:rsidR="005A436A" w:rsidRPr="009E6200" w:rsidRDefault="005A436A" w:rsidP="007B46F5">
              <w:pPr>
                <w:pStyle w:val="SDText"/>
                <w:jc w:val="both"/>
                <w:rPr>
                  <w:lang w:eastAsia="ru-RU"/>
                </w:rPr>
              </w:pPr>
              <w:r w:rsidRPr="009E6200">
                <w:rPr>
                  <w:lang w:eastAsia="ru-RU"/>
                </w:rPr>
                <w:t xml:space="preserve">Пациенты не могут </w:t>
              </w:r>
              <w:r w:rsidRPr="009E6200">
                <w:t>быть</w:t>
              </w:r>
              <w:r w:rsidRPr="009E6200">
                <w:rPr>
                  <w:lang w:eastAsia="ru-RU"/>
                </w:rPr>
                <w:t xml:space="preserve"> включены в исследование при наличии хотя бы одного из следующих критериев невключения:</w:t>
              </w:r>
            </w:p>
            <w:p w14:paraId="23602139" w14:textId="77777777" w:rsidR="005A436A" w:rsidRPr="009E6200" w:rsidRDefault="005A436A" w:rsidP="007B46F5">
              <w:pPr>
                <w:pStyle w:val="SDText"/>
                <w:ind w:left="444" w:hanging="444"/>
                <w:jc w:val="both"/>
              </w:pPr>
              <w:r>
                <w:rPr>
                  <w:noProof/>
                </w:rPr>
                <w:t>1</w:t>
              </w:r>
              <w:r w:rsidRPr="009E6200">
                <w:rPr>
                  <w:noProof/>
                </w:rPr>
                <w:t>.</w:t>
              </w:r>
              <w:r w:rsidRPr="009E6200">
                <w:tab/>
                <w:t>Беременные женщины;</w:t>
              </w:r>
            </w:p>
            <w:p w14:paraId="39E74898" w14:textId="77777777" w:rsidR="005A436A" w:rsidRPr="009E6200" w:rsidRDefault="005A436A" w:rsidP="007B46F5">
              <w:pPr>
                <w:pStyle w:val="SDText"/>
                <w:ind w:left="444" w:hanging="444"/>
                <w:jc w:val="both"/>
              </w:pPr>
              <w:r>
                <w:rPr>
                  <w:noProof/>
                </w:rPr>
                <w:t>2</w:t>
              </w:r>
              <w:r w:rsidRPr="009E6200">
                <w:rPr>
                  <w:noProof/>
                </w:rPr>
                <w:t>.</w:t>
              </w:r>
              <w:r w:rsidRPr="009E6200">
                <w:tab/>
                <w:t>Женщины в период кормления грудью;</w:t>
              </w:r>
            </w:p>
            <w:p w14:paraId="78D8D498" w14:textId="77777777" w:rsidR="005A436A" w:rsidRPr="009E6200" w:rsidRDefault="005A436A" w:rsidP="007B46F5">
              <w:pPr>
                <w:pStyle w:val="SDText"/>
                <w:ind w:left="444" w:hanging="444"/>
                <w:jc w:val="both"/>
              </w:pPr>
              <w:r>
                <w:rPr>
                  <w:noProof/>
                </w:rPr>
                <w:t>3</w:t>
              </w:r>
              <w:r w:rsidRPr="009E6200">
                <w:rPr>
                  <w:noProof/>
                </w:rPr>
                <w:t>.</w:t>
              </w:r>
              <w:r w:rsidRPr="009E6200">
                <w:tab/>
                <w:t>Ранее проводившаяся терапия бевацизумабом или другими антиангиогенными препаратами;</w:t>
              </w:r>
            </w:p>
            <w:p w14:paraId="3160C235" w14:textId="77777777" w:rsidR="005A436A" w:rsidRPr="009E6200" w:rsidRDefault="005A436A" w:rsidP="007B46F5">
              <w:pPr>
                <w:pStyle w:val="SDText"/>
                <w:ind w:left="444" w:hanging="444"/>
                <w:jc w:val="both"/>
              </w:pPr>
              <w:r>
                <w:rPr>
                  <w:noProof/>
                </w:rPr>
                <w:t>4</w:t>
              </w:r>
              <w:r w:rsidRPr="009E6200">
                <w:rPr>
                  <w:noProof/>
                </w:rPr>
                <w:t>.</w:t>
              </w:r>
              <w:r w:rsidRPr="009E6200">
                <w:tab/>
                <w:t>Повышенная чувствительность к препаратам на основе клеток яичников китайского хомячка или к другим рекомбинантным человеческим или приближенным к человеческим антителам;</w:t>
              </w:r>
            </w:p>
            <w:p w14:paraId="68072FD0" w14:textId="77777777" w:rsidR="005A436A" w:rsidRPr="009E6200" w:rsidRDefault="005A436A" w:rsidP="007B46F5">
              <w:pPr>
                <w:pStyle w:val="SDText"/>
                <w:ind w:left="444" w:hanging="444"/>
                <w:jc w:val="both"/>
              </w:pPr>
              <w:r>
                <w:rPr>
                  <w:noProof/>
                </w:rPr>
                <w:t>5</w:t>
              </w:r>
              <w:r w:rsidRPr="009E6200">
                <w:rPr>
                  <w:noProof/>
                </w:rPr>
                <w:t>.</w:t>
              </w:r>
              <w:r w:rsidRPr="009E6200">
                <w:tab/>
                <w:t>Гиперчувствительность к таксанам, препаратам платины, рентген-контрастным веществам, препаратам, используемым для премедикации в рамках протокола (дексаметазон, дифенгидрамин, ранитидин) или вспомогательным веществам используемых в исследовании лекарственных препаратов;</w:t>
              </w:r>
            </w:p>
            <w:p w14:paraId="76C2201E" w14:textId="77777777" w:rsidR="005A436A" w:rsidRPr="009E6200" w:rsidRDefault="005A436A" w:rsidP="007B46F5">
              <w:pPr>
                <w:pStyle w:val="SDText"/>
                <w:ind w:left="444" w:hanging="444"/>
                <w:jc w:val="both"/>
              </w:pPr>
              <w:r>
                <w:rPr>
                  <w:noProof/>
                </w:rPr>
                <w:t>6</w:t>
              </w:r>
              <w:r w:rsidRPr="009E6200">
                <w:rPr>
                  <w:noProof/>
                </w:rPr>
                <w:t>.</w:t>
              </w:r>
              <w:r w:rsidRPr="009E6200">
                <w:tab/>
                <w:t>Плоскоклеточный НМРЛ, мелкоклеточный рак легкого или иные отличные от неплоскоклеточного НМРЛ варианты рака легкого, в т.ч. смешанные варианты опухоли;</w:t>
              </w:r>
            </w:p>
            <w:p w14:paraId="10570BC6" w14:textId="77777777" w:rsidR="005A436A" w:rsidRPr="009E6200" w:rsidRDefault="005A436A" w:rsidP="007B46F5">
              <w:pPr>
                <w:pStyle w:val="SDText"/>
                <w:ind w:left="444" w:hanging="444"/>
                <w:jc w:val="both"/>
              </w:pPr>
              <w:r>
                <w:rPr>
                  <w:noProof/>
                </w:rPr>
                <w:t>7</w:t>
              </w:r>
              <w:r w:rsidRPr="009E6200">
                <w:rPr>
                  <w:noProof/>
                </w:rPr>
                <w:t>.</w:t>
              </w:r>
              <w:r w:rsidRPr="009E6200">
                <w:tab/>
                <w:t>Компрессия опухолью крупных кровеносных сосудов или прорастание в сосуды, или распад опухоли;</w:t>
              </w:r>
            </w:p>
            <w:p w14:paraId="766B5B8E" w14:textId="77777777" w:rsidR="005A436A" w:rsidRPr="009E6200" w:rsidRDefault="005A436A" w:rsidP="007B46F5">
              <w:pPr>
                <w:pStyle w:val="SDText"/>
                <w:ind w:left="444" w:hanging="444"/>
                <w:jc w:val="both"/>
              </w:pPr>
              <w:r>
                <w:t>8</w:t>
              </w:r>
              <w:r w:rsidRPr="009E6200">
                <w:t>.</w:t>
              </w:r>
              <w:r w:rsidRPr="009E6200">
                <w:tab/>
                <w:t xml:space="preserve">Наличие в опухоли мутаций, определяющих чувствительность опухоли к таргетной терапии </w:t>
              </w:r>
              <w:r w:rsidRPr="005A436A">
                <w:rPr>
                  <w:rFonts w:cs="Times New Roman"/>
                  <w:szCs w:val="24"/>
                </w:rPr>
                <w:t>(определение</w:t>
              </w:r>
              <w:r w:rsidRPr="009E6200">
                <w:t xml:space="preserve"> мутаций осуществляется по назначению врача-исследователя);</w:t>
              </w:r>
            </w:p>
            <w:p w14:paraId="0FA4525F" w14:textId="77777777" w:rsidR="005A436A" w:rsidRPr="009E6200" w:rsidRDefault="005A436A" w:rsidP="007B46F5">
              <w:pPr>
                <w:pStyle w:val="SDText"/>
                <w:ind w:left="444" w:hanging="444"/>
                <w:jc w:val="both"/>
              </w:pPr>
              <w:r>
                <w:rPr>
                  <w:noProof/>
                </w:rPr>
                <w:t>9</w:t>
              </w:r>
              <w:r w:rsidRPr="009E6200">
                <w:rPr>
                  <w:noProof/>
                </w:rPr>
                <w:t>.</w:t>
              </w:r>
              <w:r w:rsidRPr="009E6200">
                <w:tab/>
                <w:t>Любое другое онкологическое заболевание в течение 5 лет до скрининга, кроме следующих излеченных видов рака: протокового рака in situ, рака шейки матки in situ, базальноклеточного или плоскоклеточного рака кожи;</w:t>
              </w:r>
            </w:p>
            <w:p w14:paraId="2DF8BCB0" w14:textId="77777777" w:rsidR="005A436A" w:rsidRPr="009E6200" w:rsidRDefault="005A436A" w:rsidP="007B46F5">
              <w:pPr>
                <w:pStyle w:val="SDText"/>
                <w:ind w:left="444" w:hanging="444"/>
                <w:jc w:val="both"/>
              </w:pPr>
              <w:r>
                <w:rPr>
                  <w:noProof/>
                </w:rPr>
                <w:t>10</w:t>
              </w:r>
              <w:r w:rsidRPr="009E6200">
                <w:rPr>
                  <w:noProof/>
                </w:rPr>
                <w:t>.</w:t>
              </w:r>
              <w:r w:rsidRPr="009E6200">
                <w:tab/>
                <w:t>Единственное визуализируемое опухолевое поражение в виде метастатического асцита, выпота в плевральную полость или полость перикарда, остеобластических костных метастазов, ракового лимфангита легких;</w:t>
              </w:r>
            </w:p>
            <w:p w14:paraId="3A6B6BED" w14:textId="77777777" w:rsidR="005A436A" w:rsidRPr="009E6200" w:rsidRDefault="005A436A" w:rsidP="007B46F5">
              <w:pPr>
                <w:pStyle w:val="SDText"/>
                <w:ind w:left="444" w:hanging="444"/>
                <w:jc w:val="both"/>
              </w:pPr>
              <w:r>
                <w:t>11</w:t>
              </w:r>
              <w:r w:rsidRPr="009E6200">
                <w:t>.</w:t>
              </w:r>
              <w:r w:rsidRPr="009E6200">
                <w:tab/>
                <w:t>Метастазы в центральную нервную систему, в т.ч.</w:t>
              </w:r>
              <w:r w:rsidRPr="009E6200">
                <w:tab/>
                <w:t>в анамнезе;</w:t>
              </w:r>
            </w:p>
            <w:p w14:paraId="46184195" w14:textId="77777777" w:rsidR="005A436A" w:rsidRPr="009E6200" w:rsidRDefault="005A436A" w:rsidP="007B46F5">
              <w:pPr>
                <w:pStyle w:val="SDText"/>
                <w:ind w:left="444" w:hanging="444"/>
                <w:jc w:val="both"/>
              </w:pPr>
              <w:r>
                <w:rPr>
                  <w:noProof/>
                </w:rPr>
                <w:t>12</w:t>
              </w:r>
              <w:r w:rsidRPr="009E6200">
                <w:rPr>
                  <w:noProof/>
                </w:rPr>
                <w:t>.</w:t>
              </w:r>
              <w:r w:rsidRPr="009E6200">
                <w:tab/>
                <w:t>Подтвержденная врожденная или приобретенная коагулопатия;</w:t>
              </w:r>
            </w:p>
            <w:p w14:paraId="2B98CCD8" w14:textId="77777777" w:rsidR="005A436A" w:rsidRDefault="005A436A" w:rsidP="007B46F5">
              <w:pPr>
                <w:pStyle w:val="SDText"/>
                <w:ind w:left="444" w:hanging="444"/>
                <w:jc w:val="both"/>
              </w:pPr>
              <w:r>
                <w:t>13</w:t>
              </w:r>
              <w:r w:rsidRPr="009E6200">
                <w:t>.</w:t>
              </w:r>
              <w:r w:rsidRPr="009E6200">
                <w:tab/>
              </w:r>
              <w:r w:rsidRPr="005A436A">
                <w:t xml:space="preserve">Прием антикоагулянтов, ацетилсалициловой кислоты, антиагрегантов, противоопухолевых средств или лечение этими препаратами менее 1 мес. </w:t>
              </w:r>
              <w:r w:rsidRPr="00141ADB">
                <w:rPr>
                  <w:rFonts w:cs="Times New Roman"/>
                  <w:noProof/>
                  <w:szCs w:val="24"/>
                </w:rPr>
                <w:t>до рандомизации, а также применение лучевой терапии или других методов лечения основного заболевания менее 1 мес. до рандомизации</w:t>
              </w:r>
              <w:r w:rsidRPr="009E6200">
                <w:t>;</w:t>
              </w:r>
            </w:p>
            <w:p w14:paraId="1FF73A89" w14:textId="77777777" w:rsidR="005A436A" w:rsidRPr="009E6200" w:rsidRDefault="005A436A" w:rsidP="007B46F5">
              <w:pPr>
                <w:pStyle w:val="SDText"/>
                <w:ind w:left="444" w:hanging="444"/>
                <w:jc w:val="both"/>
              </w:pPr>
              <w:r>
                <w:rPr>
                  <w:noProof/>
                </w:rPr>
                <w:t>15.</w:t>
              </w:r>
              <w:r>
                <w:t xml:space="preserve">  </w:t>
              </w:r>
              <w:r w:rsidRPr="009E6200">
                <w:t>Гормональная терапия в течение 21 дня до рандомизации;</w:t>
              </w:r>
            </w:p>
            <w:p w14:paraId="6A8D58DB" w14:textId="77777777" w:rsidR="005A436A" w:rsidRPr="009E6200" w:rsidRDefault="005A436A" w:rsidP="007B46F5">
              <w:pPr>
                <w:pStyle w:val="SDText"/>
                <w:ind w:left="444" w:hanging="444"/>
                <w:jc w:val="both"/>
              </w:pPr>
              <w:r>
                <w:t>16</w:t>
              </w:r>
              <w:r w:rsidRPr="009E6200">
                <w:t>.</w:t>
              </w:r>
              <w:r w:rsidRPr="009E6200">
                <w:tab/>
                <w:t>Клинически значимые кровотечения в анамнезе, включая кровохарканье и длительные носовые кровотечения</w:t>
              </w:r>
              <w:r>
                <w:t xml:space="preserve"> </w:t>
              </w:r>
              <w:r w:rsidRPr="004B4AB6">
                <w:rPr>
                  <w:rFonts w:cs="Times New Roman"/>
                  <w:szCs w:val="24"/>
                </w:rPr>
                <w:t>(в анамнезе более, чем 2,5 мл крови на событие за последние 3 мес. или коагуляционные нарушения (МНО &gt; 1,5 и АЧТВ выше верхних границ нормы)</w:t>
              </w:r>
              <w:r w:rsidRPr="009E6200">
                <w:t>;</w:t>
              </w:r>
            </w:p>
            <w:p w14:paraId="4B96C783" w14:textId="77777777" w:rsidR="005A436A" w:rsidRPr="009E6200" w:rsidRDefault="005A436A" w:rsidP="007B46F5">
              <w:pPr>
                <w:pStyle w:val="SDText"/>
                <w:ind w:left="444" w:hanging="444"/>
                <w:jc w:val="both"/>
              </w:pPr>
              <w:r>
                <w:rPr>
                  <w:noProof/>
                </w:rPr>
                <w:t>17</w:t>
              </w:r>
              <w:r w:rsidRPr="009E6200">
                <w:rPr>
                  <w:noProof/>
                </w:rPr>
                <w:t>.</w:t>
              </w:r>
              <w:r w:rsidRPr="009E6200">
                <w:tab/>
                <w:t>Большие хирургические вмешательства в течение 28 дней до рандомизации;</w:t>
              </w:r>
            </w:p>
            <w:p w14:paraId="7270D364" w14:textId="77777777" w:rsidR="005A436A" w:rsidRPr="009E6200" w:rsidRDefault="005A436A" w:rsidP="007B46F5">
              <w:pPr>
                <w:pStyle w:val="SDText"/>
                <w:ind w:left="444" w:hanging="444"/>
                <w:jc w:val="both"/>
              </w:pPr>
              <w:r>
                <w:rPr>
                  <w:noProof/>
                </w:rPr>
                <w:t>18</w:t>
              </w:r>
              <w:r w:rsidRPr="009E6200">
                <w:rPr>
                  <w:noProof/>
                </w:rPr>
                <w:t>.</w:t>
              </w:r>
              <w:r w:rsidRPr="009E6200">
                <w:tab/>
                <w:t>Абсолютное содержание нейтрофилов &lt; 1,5*10</w:t>
              </w:r>
              <w:r w:rsidRPr="005A436A">
                <w:t>9</w:t>
              </w:r>
              <w:r w:rsidRPr="009E6200">
                <w:t>/л;</w:t>
              </w:r>
            </w:p>
            <w:p w14:paraId="6D6A8542" w14:textId="77777777" w:rsidR="005A436A" w:rsidRPr="009E6200" w:rsidRDefault="005A436A" w:rsidP="007B46F5">
              <w:pPr>
                <w:pStyle w:val="SDText"/>
                <w:ind w:left="444" w:hanging="444"/>
                <w:jc w:val="both"/>
              </w:pPr>
              <w:r>
                <w:t>19</w:t>
              </w:r>
              <w:r w:rsidRPr="009E6200">
                <w:t>.</w:t>
              </w:r>
              <w:r w:rsidRPr="009E6200">
                <w:tab/>
                <w:t>Количество тромбоцитов &lt; 100*10</w:t>
              </w:r>
              <w:r w:rsidRPr="005A436A">
                <w:t>9</w:t>
              </w:r>
              <w:r w:rsidRPr="009E6200">
                <w:t>/л;</w:t>
              </w:r>
            </w:p>
            <w:p w14:paraId="2A871E67" w14:textId="77777777" w:rsidR="005A436A" w:rsidRPr="009E6200" w:rsidRDefault="005A436A" w:rsidP="007B46F5">
              <w:pPr>
                <w:pStyle w:val="SDText"/>
                <w:ind w:left="444" w:hanging="444"/>
                <w:jc w:val="both"/>
              </w:pPr>
              <w:r>
                <w:t>20</w:t>
              </w:r>
              <w:r w:rsidRPr="009E6200">
                <w:t>.</w:t>
              </w:r>
              <w:r w:rsidRPr="009E6200">
                <w:tab/>
                <w:t>Уровень гемоглобина &lt; 90 г/л;</w:t>
              </w:r>
            </w:p>
            <w:p w14:paraId="1CA61EC6" w14:textId="77777777" w:rsidR="005A436A" w:rsidRPr="009E6200" w:rsidRDefault="005A436A" w:rsidP="007B46F5">
              <w:pPr>
                <w:pStyle w:val="SDText"/>
                <w:ind w:left="444" w:hanging="444"/>
                <w:jc w:val="both"/>
              </w:pPr>
              <w:r>
                <w:t>21</w:t>
              </w:r>
              <w:r w:rsidRPr="009E6200">
                <w:t>.</w:t>
              </w:r>
              <w:r w:rsidRPr="009E6200">
                <w:tab/>
                <w:t xml:space="preserve">Уровень креатинина ≥ </w:t>
              </w:r>
              <w:r w:rsidRPr="005A436A">
                <w:t>1,5 верхних границ нормы</w:t>
              </w:r>
              <w:r w:rsidRPr="009E6200">
                <w:t>;</w:t>
              </w:r>
            </w:p>
            <w:p w14:paraId="2BF7651A" w14:textId="77777777" w:rsidR="005A436A" w:rsidRPr="009E6200" w:rsidRDefault="005A436A" w:rsidP="007B46F5">
              <w:pPr>
                <w:pStyle w:val="SDText"/>
                <w:ind w:left="444" w:hanging="444"/>
                <w:jc w:val="both"/>
              </w:pPr>
              <w:r>
                <w:t>22</w:t>
              </w:r>
              <w:r w:rsidRPr="009E6200">
                <w:t>.</w:t>
              </w:r>
              <w:r w:rsidRPr="009E6200">
                <w:tab/>
                <w:t>Уровень билирубина ≥ 1,5 верхних границ нормы;</w:t>
              </w:r>
            </w:p>
            <w:p w14:paraId="4CEE61BF" w14:textId="77777777" w:rsidR="005A436A" w:rsidRPr="005A436A" w:rsidRDefault="005A436A" w:rsidP="007B46F5">
              <w:pPr>
                <w:pStyle w:val="SDText"/>
                <w:ind w:left="444" w:hanging="444"/>
                <w:jc w:val="both"/>
                <w:rPr>
                  <w:rFonts w:cs="Times New Roman"/>
                  <w:noProof/>
                  <w:szCs w:val="24"/>
                </w:rPr>
              </w:pPr>
              <w:r>
                <w:t>23</w:t>
              </w:r>
              <w:r w:rsidRPr="009E6200">
                <w:t>.</w:t>
              </w:r>
              <w:r w:rsidRPr="009E6200">
                <w:tab/>
                <w:t xml:space="preserve">Уровень АЛТ </w:t>
              </w:r>
              <w:r w:rsidRPr="005A436A">
                <w:rPr>
                  <w:rFonts w:cs="Times New Roman"/>
                  <w:noProof/>
                  <w:szCs w:val="24"/>
                </w:rPr>
                <w:t>или АСТ ≥ 2,5 верхних границ нормы (≥ 5 для больных с метастазами в печень);</w:t>
              </w:r>
            </w:p>
            <w:p w14:paraId="7028CB47" w14:textId="77777777" w:rsidR="005A436A" w:rsidRPr="009E6200" w:rsidRDefault="005A436A" w:rsidP="007B46F5">
              <w:pPr>
                <w:pStyle w:val="SDText"/>
                <w:ind w:left="444" w:hanging="444"/>
                <w:jc w:val="both"/>
              </w:pPr>
              <w:r w:rsidRPr="005A436A">
                <w:rPr>
                  <w:rFonts w:cs="Times New Roman"/>
                  <w:noProof/>
                  <w:szCs w:val="24"/>
                </w:rPr>
                <w:t>24.</w:t>
              </w:r>
              <w:r w:rsidRPr="005A436A">
                <w:rPr>
                  <w:rFonts w:cs="Times New Roman"/>
                  <w:noProof/>
                  <w:szCs w:val="24"/>
                </w:rPr>
                <w:tab/>
                <w:t>Уровень ЩФ ≥ 5 верхних границ</w:t>
              </w:r>
              <w:r w:rsidRPr="009E6200">
                <w:t xml:space="preserve"> нормы;</w:t>
              </w:r>
            </w:p>
            <w:p w14:paraId="680B5C66" w14:textId="77777777" w:rsidR="005A436A" w:rsidRPr="009E6200" w:rsidRDefault="005A436A" w:rsidP="007B46F5">
              <w:pPr>
                <w:pStyle w:val="SDText"/>
                <w:ind w:left="444" w:hanging="444"/>
                <w:jc w:val="both"/>
              </w:pPr>
              <w:r>
                <w:rPr>
                  <w:noProof/>
                </w:rPr>
                <w:t>25</w:t>
              </w:r>
              <w:r w:rsidRPr="009E6200">
                <w:rPr>
                  <w:noProof/>
                </w:rPr>
                <w:t>.</w:t>
              </w:r>
              <w:r w:rsidRPr="009E6200">
                <w:tab/>
                <w:t>Печеночная недостаточность</w:t>
              </w:r>
              <w:r>
                <w:t xml:space="preserve"> </w:t>
              </w:r>
              <w:r w:rsidRPr="005A436A">
                <w:t xml:space="preserve">(цирроз печени, хроническая алкогольная интоксикация, </w:t>
              </w:r>
              <w:r w:rsidRPr="004B4AB6">
                <w:rPr>
                  <w:rFonts w:cs="Times New Roman"/>
                  <w:szCs w:val="24"/>
                </w:rPr>
                <w:t>интоксикация лекарственными препаратами, поражения вирусными гепатитами)</w:t>
              </w:r>
              <w:r w:rsidRPr="009E6200">
                <w:t>;</w:t>
              </w:r>
            </w:p>
            <w:p w14:paraId="16E4ADC4" w14:textId="77777777" w:rsidR="005A436A" w:rsidRDefault="005A436A" w:rsidP="007B46F5">
              <w:pPr>
                <w:pStyle w:val="SDText"/>
                <w:ind w:left="444" w:hanging="444"/>
                <w:jc w:val="both"/>
              </w:pPr>
              <w:r>
                <w:rPr>
                  <w:noProof/>
                </w:rPr>
                <w:t>26</w:t>
              </w:r>
              <w:r w:rsidRPr="009E6200">
                <w:rPr>
                  <w:noProof/>
                </w:rPr>
                <w:t>.</w:t>
              </w:r>
              <w:r w:rsidRPr="009E6200">
                <w:tab/>
              </w:r>
              <w:r w:rsidRPr="004B4AB6">
                <w:rPr>
                  <w:rFonts w:cs="Times New Roman"/>
                  <w:szCs w:val="24"/>
                </w:rPr>
                <w:t>Протеинурия по анализу тест-полоски ≥ 2+ (приемлемый уровень - 0, либо следы, либо 1+), если по тест-полоске &gt;1+, собирается суточный анализ мочи для определения уровня белка. Уровень белка в моче должен быть не более 0,3 г/л</w:t>
              </w:r>
              <w:r w:rsidRPr="009E6200">
                <w:t>;</w:t>
              </w:r>
            </w:p>
            <w:p w14:paraId="5DEB0394" w14:textId="77777777" w:rsidR="005A436A" w:rsidRPr="009E6200" w:rsidRDefault="005A436A" w:rsidP="007B46F5">
              <w:pPr>
                <w:pStyle w:val="SDText"/>
                <w:ind w:left="444" w:hanging="444"/>
                <w:jc w:val="both"/>
              </w:pPr>
              <w:r>
                <w:rPr>
                  <w:noProof/>
                </w:rPr>
                <w:t>27</w:t>
              </w:r>
              <w:r w:rsidRPr="009E6200">
                <w:rPr>
                  <w:noProof/>
                </w:rPr>
                <w:t>.</w:t>
              </w:r>
              <w:r w:rsidRPr="009E6200">
                <w:tab/>
                <w:t>Артериальные тромбозы и тромбоэмболии в анамнезе;</w:t>
              </w:r>
            </w:p>
            <w:p w14:paraId="1BF53AA1" w14:textId="77777777" w:rsidR="005A436A" w:rsidRPr="009E6200" w:rsidRDefault="005A436A" w:rsidP="007B46F5">
              <w:pPr>
                <w:pStyle w:val="SDText"/>
                <w:ind w:left="444" w:hanging="444"/>
                <w:jc w:val="both"/>
              </w:pPr>
              <w:r>
                <w:t>28</w:t>
              </w:r>
              <w:r w:rsidRPr="009E6200">
                <w:t>.</w:t>
              </w:r>
              <w:r w:rsidRPr="009E6200">
                <w:tab/>
                <w:t>Венозные тромбозы и тромбоэмболии в анамнезе;</w:t>
              </w:r>
            </w:p>
            <w:p w14:paraId="29D7019D" w14:textId="77777777" w:rsidR="005A436A" w:rsidRPr="009E6200" w:rsidRDefault="005A436A" w:rsidP="007B46F5">
              <w:pPr>
                <w:pStyle w:val="SDText"/>
                <w:ind w:left="444" w:hanging="444"/>
                <w:jc w:val="both"/>
              </w:pPr>
              <w:r>
                <w:rPr>
                  <w:noProof/>
                </w:rPr>
                <w:t>29</w:t>
              </w:r>
              <w:r w:rsidRPr="009E6200">
                <w:rPr>
                  <w:noProof/>
                </w:rPr>
                <w:t>.</w:t>
              </w:r>
              <w:r w:rsidRPr="009E6200">
                <w:tab/>
                <w:t>Декомпенсированный сахарный диабет;</w:t>
              </w:r>
            </w:p>
            <w:p w14:paraId="3865B6AF" w14:textId="77777777" w:rsidR="005A436A" w:rsidRPr="009E6200" w:rsidRDefault="005A436A" w:rsidP="007B46F5">
              <w:pPr>
                <w:pStyle w:val="SDText"/>
                <w:ind w:left="444" w:hanging="444"/>
                <w:jc w:val="both"/>
              </w:pPr>
              <w:r>
                <w:t>30</w:t>
              </w:r>
              <w:r w:rsidRPr="009E6200">
                <w:t>.</w:t>
              </w:r>
              <w:r w:rsidRPr="009E6200">
                <w:tab/>
                <w:t>Клинически значимые сердечно-сосудистые заболевания (ишемическая болезнь сердца или хроническая сердечная недостаточность II-IV классов по классификации сердечной недостаточности Нью-Йоркской Ассоциации Кардиологов (New York Heart Association, NYHA);</w:t>
              </w:r>
            </w:p>
            <w:p w14:paraId="311E1877" w14:textId="77777777" w:rsidR="005A436A" w:rsidRPr="009E6200" w:rsidRDefault="005A436A" w:rsidP="007B46F5">
              <w:pPr>
                <w:pStyle w:val="SDText"/>
                <w:ind w:left="444" w:hanging="444"/>
                <w:jc w:val="both"/>
              </w:pPr>
              <w:r>
                <w:rPr>
                  <w:noProof/>
                </w:rPr>
                <w:t>31</w:t>
              </w:r>
              <w:r w:rsidRPr="009E6200">
                <w:rPr>
                  <w:noProof/>
                </w:rPr>
                <w:t>.</w:t>
              </w:r>
              <w:r w:rsidRPr="009E6200">
                <w:tab/>
                <w:t>Наличие незаживающих ран кожи или слизистых;</w:t>
              </w:r>
            </w:p>
            <w:p w14:paraId="6A9D4C3E" w14:textId="77777777" w:rsidR="005A436A" w:rsidRPr="009E6200" w:rsidRDefault="005A436A" w:rsidP="007B46F5">
              <w:pPr>
                <w:pStyle w:val="SDText"/>
                <w:ind w:left="444" w:hanging="444"/>
                <w:jc w:val="both"/>
              </w:pPr>
              <w:r>
                <w:rPr>
                  <w:noProof/>
                </w:rPr>
                <w:t>32</w:t>
              </w:r>
              <w:r w:rsidRPr="009E6200">
                <w:rPr>
                  <w:noProof/>
                </w:rPr>
                <w:t>.</w:t>
              </w:r>
              <w:r w:rsidRPr="009E6200">
                <w:tab/>
                <w:t>Активные эрозивно-язвенные поражения ЖКТ;</w:t>
              </w:r>
            </w:p>
            <w:p w14:paraId="2F82DD83" w14:textId="77777777" w:rsidR="005A436A" w:rsidRPr="009E6200" w:rsidRDefault="005A436A" w:rsidP="007B46F5">
              <w:pPr>
                <w:pStyle w:val="SDText"/>
                <w:ind w:left="444" w:hanging="444"/>
                <w:jc w:val="both"/>
              </w:pPr>
              <w:r>
                <w:t>33</w:t>
              </w:r>
              <w:r w:rsidRPr="009E6200">
                <w:t>.</w:t>
              </w:r>
              <w:r w:rsidRPr="009E6200">
                <w:tab/>
              </w:r>
              <w:r w:rsidRPr="005A436A">
                <w:t>Неконтролируемая</w:t>
              </w:r>
              <w:r w:rsidRPr="004B4AB6">
                <w:rPr>
                  <w:rFonts w:cs="Times New Roman"/>
                  <w:szCs w:val="24"/>
                </w:rPr>
                <w:t xml:space="preserve"> артериальная гипертензия (или систолическое АД выше 150 мм.рт.ст. или диастолическое АД выше 100 мм.рт.ст);</w:t>
              </w:r>
            </w:p>
            <w:p w14:paraId="4A78AF26" w14:textId="77777777" w:rsidR="005A436A" w:rsidRPr="009E6200" w:rsidRDefault="005A436A" w:rsidP="007B46F5">
              <w:pPr>
                <w:pStyle w:val="SDText"/>
                <w:ind w:left="444" w:hanging="444"/>
                <w:jc w:val="both"/>
              </w:pPr>
              <w:r>
                <w:rPr>
                  <w:noProof/>
                </w:rPr>
                <w:t>34</w:t>
              </w:r>
              <w:r w:rsidRPr="009E6200">
                <w:rPr>
                  <w:noProof/>
                </w:rPr>
                <w:t>.</w:t>
              </w:r>
              <w:r w:rsidRPr="009E6200">
                <w:tab/>
                <w:t>Перфорации стенки желудка или кишечника в анамнезе;</w:t>
              </w:r>
            </w:p>
            <w:p w14:paraId="12E4265D" w14:textId="77777777" w:rsidR="005A436A" w:rsidRPr="009E6200" w:rsidRDefault="005A436A" w:rsidP="007B46F5">
              <w:pPr>
                <w:pStyle w:val="SDText"/>
                <w:ind w:left="444" w:hanging="444"/>
                <w:jc w:val="both"/>
              </w:pPr>
              <w:r>
                <w:rPr>
                  <w:noProof/>
                </w:rPr>
                <w:t>35</w:t>
              </w:r>
              <w:r w:rsidRPr="009E6200">
                <w:rPr>
                  <w:noProof/>
                </w:rPr>
                <w:t>.</w:t>
              </w:r>
              <w:r w:rsidRPr="009E6200">
                <w:tab/>
                <w:t>Синдром задней обратимой энцефалопатии (СЗОЭ);</w:t>
              </w:r>
            </w:p>
            <w:p w14:paraId="55A0844B" w14:textId="77777777" w:rsidR="005A436A" w:rsidRPr="009E6200" w:rsidRDefault="005A436A" w:rsidP="007B46F5">
              <w:pPr>
                <w:pStyle w:val="SDText"/>
                <w:ind w:left="444" w:hanging="444"/>
                <w:jc w:val="both"/>
              </w:pPr>
              <w:r>
                <w:t>36</w:t>
              </w:r>
              <w:r w:rsidRPr="009E6200">
                <w:t>.</w:t>
              </w:r>
              <w:r w:rsidRPr="009E6200">
                <w:tab/>
                <w:t>Участие пациента в любом другом клиническом исследовании в течение 90 дней до включения в исследование;</w:t>
              </w:r>
            </w:p>
            <w:p w14:paraId="0A00082B" w14:textId="77777777" w:rsidR="005A436A" w:rsidRPr="009E6200" w:rsidRDefault="005A436A" w:rsidP="007B46F5">
              <w:pPr>
                <w:pStyle w:val="SDText"/>
                <w:ind w:left="444" w:hanging="444"/>
                <w:jc w:val="both"/>
              </w:pPr>
              <w:r>
                <w:rPr>
                  <w:noProof/>
                </w:rPr>
                <w:t>37</w:t>
              </w:r>
              <w:r w:rsidRPr="009E6200">
                <w:rPr>
                  <w:noProof/>
                </w:rPr>
                <w:t>.</w:t>
              </w:r>
              <w:r w:rsidRPr="009E6200">
                <w:tab/>
                <w:t>Состояния, препятствующие соблюдению пациентом правил участия в исследовании (деменция, неврологические или психические заболевания, наркомания, алкоголизм и др.);</w:t>
              </w:r>
            </w:p>
            <w:p w14:paraId="3E4601B5" w14:textId="77777777" w:rsidR="005A436A" w:rsidRPr="009E6200" w:rsidRDefault="005A436A" w:rsidP="007B46F5">
              <w:pPr>
                <w:pStyle w:val="SDText"/>
                <w:ind w:left="444" w:hanging="444"/>
                <w:jc w:val="both"/>
              </w:pPr>
              <w:r>
                <w:rPr>
                  <w:noProof/>
                </w:rPr>
                <w:t>38</w:t>
              </w:r>
              <w:r w:rsidRPr="009E6200">
                <w:rPr>
                  <w:noProof/>
                </w:rPr>
                <w:t>.</w:t>
              </w:r>
              <w:r w:rsidRPr="009E6200">
                <w:tab/>
                <w:t>Нейропатия II–IV стадий по общей терминологии критериев нежелательных явлений (Common Terminology Criteria for Adverse Events, CTCAE, версия 5.0);</w:t>
              </w:r>
            </w:p>
            <w:p w14:paraId="1EBC5D6A" w14:textId="77777777" w:rsidR="005A436A" w:rsidRPr="005A436A" w:rsidRDefault="005A436A" w:rsidP="007B46F5">
              <w:pPr>
                <w:pStyle w:val="SDText"/>
                <w:ind w:left="444" w:hanging="444"/>
                <w:jc w:val="both"/>
                <w:rPr>
                  <w:rFonts w:cs="Times New Roman"/>
                  <w:szCs w:val="24"/>
                </w:rPr>
              </w:pPr>
              <w:r>
                <w:rPr>
                  <w:noProof/>
                </w:rPr>
                <w:t>39</w:t>
              </w:r>
              <w:r w:rsidRPr="009E6200">
                <w:rPr>
                  <w:noProof/>
                </w:rPr>
                <w:t>.</w:t>
              </w:r>
              <w:r w:rsidRPr="009E6200">
                <w:tab/>
                <w:t>Острые инфекционные заболевания</w:t>
              </w:r>
              <w:r w:rsidRPr="005A436A">
                <w:rPr>
                  <w:rFonts w:cs="Times New Roman"/>
                  <w:szCs w:val="24"/>
                </w:rPr>
                <w:t>, требующие активного химиотерапевтического или хирургического вмешательства на момент включения;</w:t>
              </w:r>
            </w:p>
            <w:p w14:paraId="3B586B1F" w14:textId="77777777" w:rsidR="005A436A" w:rsidRPr="009E6200" w:rsidRDefault="005A436A" w:rsidP="007B46F5">
              <w:pPr>
                <w:pStyle w:val="SDText"/>
                <w:ind w:left="444" w:hanging="444"/>
                <w:jc w:val="both"/>
              </w:pPr>
              <w:r w:rsidRPr="005A436A">
                <w:rPr>
                  <w:rFonts w:cs="Times New Roman"/>
                  <w:szCs w:val="24"/>
                </w:rPr>
                <w:t>40.</w:t>
              </w:r>
              <w:r w:rsidRPr="005A436A">
                <w:rPr>
                  <w:rFonts w:cs="Times New Roman"/>
                  <w:szCs w:val="24"/>
                </w:rPr>
                <w:tab/>
              </w:r>
              <w:r w:rsidRPr="00F015F1">
                <w:rPr>
                  <w:rFonts w:cs="Times New Roman"/>
                  <w:szCs w:val="24"/>
                </w:rPr>
                <w:t>Очаги</w:t>
              </w:r>
              <w:r w:rsidRPr="005A436A">
                <w:t xml:space="preserve"> хронической</w:t>
              </w:r>
              <w:r w:rsidRPr="00F015F1">
                <w:rPr>
                  <w:rFonts w:cs="Times New Roman"/>
                  <w:szCs w:val="24"/>
                </w:rPr>
                <w:t xml:space="preserve"> инфекции, с большой вероятностью требующие периодического активного медикаментозного или хирургического вмешательства в течение исследования</w:t>
              </w:r>
              <w:r w:rsidRPr="009E6200">
                <w:t>;</w:t>
              </w:r>
            </w:p>
            <w:p w14:paraId="4A126645" w14:textId="77777777" w:rsidR="005A436A" w:rsidRPr="005A436A" w:rsidRDefault="005A436A" w:rsidP="007B46F5">
              <w:pPr>
                <w:pStyle w:val="SDText"/>
                <w:ind w:left="444" w:hanging="444"/>
                <w:jc w:val="both"/>
                <w:rPr>
                  <w:rFonts w:cs="Times New Roman"/>
                  <w:szCs w:val="24"/>
                </w:rPr>
              </w:pPr>
              <w:r>
                <w:rPr>
                  <w:noProof/>
                </w:rPr>
                <w:t>41</w:t>
              </w:r>
              <w:r w:rsidRPr="009E6200">
                <w:rPr>
                  <w:noProof/>
                </w:rPr>
                <w:t>.</w:t>
              </w:r>
              <w:r w:rsidRPr="009E6200">
                <w:tab/>
                <w:t>Положительные результаты анализов на HBs-Ag, anti-HCV, анти-ВИЧ или</w:t>
              </w:r>
              <w:r w:rsidRPr="005A436A">
                <w:rPr>
                  <w:rFonts w:cs="Times New Roman"/>
                  <w:szCs w:val="24"/>
                </w:rPr>
                <w:t xml:space="preserve"> сифилис;</w:t>
              </w:r>
            </w:p>
            <w:p w14:paraId="4C29AE9C" w14:textId="77777777" w:rsidR="005A436A" w:rsidRDefault="005A436A" w:rsidP="007B46F5">
              <w:pPr>
                <w:pStyle w:val="SDText"/>
                <w:jc w:val="both"/>
                <w:rPr>
                  <w:rFonts w:cs="Times New Roman"/>
                  <w:szCs w:val="24"/>
                </w:rPr>
              </w:pPr>
              <w:r w:rsidRPr="005A436A">
                <w:rPr>
                  <w:rFonts w:cs="Times New Roman"/>
                  <w:szCs w:val="24"/>
                </w:rPr>
                <w:t>42.</w:t>
              </w:r>
              <w:r w:rsidRPr="005A436A">
                <w:rPr>
                  <w:rFonts w:cs="Times New Roman"/>
                  <w:szCs w:val="24"/>
                </w:rPr>
                <w:tab/>
                <w:t>Невозможность внутривенного введения лекарственных препаратов.</w:t>
              </w:r>
            </w:p>
          </w:sdtContent>
        </w:sdt>
      </w:sdtContent>
    </w:sdt>
    <w:p w14:paraId="4F150A97" w14:textId="2D8B1822" w:rsidR="00661177" w:rsidRPr="009E6200" w:rsidRDefault="00EA32BD" w:rsidP="007B46F5">
      <w:pPr>
        <w:pStyle w:val="SDText"/>
        <w:jc w:val="both"/>
        <w:rPr>
          <w:lang w:eastAsia="ru-RU"/>
        </w:rPr>
      </w:pPr>
      <w:r w:rsidRPr="009E6200">
        <w:rPr>
          <w:lang w:eastAsia="ru-RU"/>
        </w:rPr>
        <w:fldChar w:fldCharType="end"/>
      </w:r>
    </w:p>
    <w:p w14:paraId="50E28C46" w14:textId="465B4D7A" w:rsidR="006F6CA8" w:rsidRPr="009E6200" w:rsidRDefault="006F6CA8" w:rsidP="007B46F5">
      <w:pPr>
        <w:pStyle w:val="Heading2"/>
      </w:pPr>
      <w:bookmarkStart w:id="170" w:name="_Ref466175729"/>
      <w:bookmarkStart w:id="171" w:name="_Toc120865273"/>
      <w:r w:rsidRPr="009E6200">
        <w:t xml:space="preserve">Критерии </w:t>
      </w:r>
      <w:r w:rsidR="001020A4" w:rsidRPr="009E6200">
        <w:t xml:space="preserve">прекращения терапии и исключения </w:t>
      </w:r>
      <w:r w:rsidRPr="009E6200">
        <w:t>участников</w:t>
      </w:r>
      <w:bookmarkEnd w:id="170"/>
      <w:bookmarkEnd w:id="171"/>
    </w:p>
    <w:p w14:paraId="5EED96CF" w14:textId="77777777" w:rsidR="005A436A" w:rsidRDefault="009A6EDB" w:rsidP="007B46F5">
      <w:pPr>
        <w:jc w:val="both"/>
      </w:pPr>
      <w:r w:rsidRPr="009E6200">
        <w:fldChar w:fldCharType="begin"/>
      </w:r>
      <w:r w:rsidRPr="009E6200">
        <w:instrText xml:space="preserve"> REF  OLE_LINK_Exclusion_criteria \h </w:instrText>
      </w:r>
      <w:r w:rsidR="007B13CD" w:rsidRPr="009E6200">
        <w:instrText xml:space="preserve"> \* MERGEFORMAT </w:instrText>
      </w:r>
      <w:r w:rsidRPr="009E6200">
        <w:fldChar w:fldCharType="separate"/>
      </w:r>
    </w:p>
    <w:sdt>
      <w:sdtPr>
        <w:rPr>
          <w:szCs w:val="24"/>
        </w:rPr>
        <w:alias w:val="Критерии исключения"/>
        <w:tag w:val="Критерии исключения"/>
        <w:id w:val="1366712893"/>
        <w:placeholder>
          <w:docPart w:val="A7B1C47CD0CE4391BA0FB2D3ABFB25C4"/>
        </w:placeholder>
      </w:sdtPr>
      <w:sdtEndPr>
        <w:rPr>
          <w:szCs w:val="22"/>
        </w:rPr>
      </w:sdtEndPr>
      <w:sdtContent>
        <w:sdt>
          <w:sdtPr>
            <w:rPr>
              <w:szCs w:val="24"/>
            </w:rPr>
            <w:alias w:val="Критерии исключения"/>
            <w:tag w:val="Критерии исключения"/>
            <w:id w:val="88820633"/>
            <w:placeholder>
              <w:docPart w:val="9D6CBF175BC449BDB3ED9449A26A8E54"/>
            </w:placeholder>
          </w:sdtPr>
          <w:sdtEndPr>
            <w:rPr>
              <w:szCs w:val="22"/>
            </w:rPr>
          </w:sdtEndPr>
          <w:sdtContent>
            <w:p w14:paraId="37499F2C" w14:textId="5263EFA6" w:rsidR="005A436A" w:rsidRPr="005A436A" w:rsidRDefault="005A436A" w:rsidP="007B46F5">
              <w:pPr>
                <w:jc w:val="both"/>
                <w:rPr>
                  <w:rFonts w:cs="Times New Roman"/>
                  <w:szCs w:val="24"/>
                </w:rPr>
              </w:pPr>
              <w:r w:rsidRPr="009E6200">
                <w:rPr>
                  <w:rFonts w:cs="Times New Roman"/>
                  <w:szCs w:val="24"/>
                </w:rPr>
                <w:t>Лечение пациента прекращается в следующих случаях:</w:t>
              </w:r>
            </w:p>
            <w:p w14:paraId="1E6C271D" w14:textId="77777777" w:rsidR="005A436A" w:rsidRPr="009E6200" w:rsidRDefault="005A436A" w:rsidP="007B46F5">
              <w:pPr>
                <w:pStyle w:val="SDText"/>
                <w:ind w:left="302" w:hanging="302"/>
                <w:jc w:val="both"/>
              </w:pPr>
              <w:r w:rsidRPr="009E6200">
                <w:t>1.</w:t>
              </w:r>
              <w:r w:rsidRPr="009E6200">
                <w:tab/>
                <w:t>Исследователем принято решение, что лечение следует прекратить в интересах самого пациента;</w:t>
              </w:r>
            </w:p>
            <w:p w14:paraId="36254BFE" w14:textId="77777777" w:rsidR="005A436A" w:rsidRPr="009E6200" w:rsidRDefault="005A436A" w:rsidP="007B46F5">
              <w:pPr>
                <w:pStyle w:val="SDText"/>
                <w:ind w:left="302" w:hanging="302"/>
                <w:jc w:val="both"/>
              </w:pPr>
              <w:r w:rsidRPr="009E6200">
                <w:rPr>
                  <w:noProof/>
                </w:rPr>
                <w:t>2.</w:t>
              </w:r>
              <w:r w:rsidRPr="009E6200">
                <w:tab/>
                <w:t>Индивидуальная непереносимость препаратов исследования;</w:t>
              </w:r>
            </w:p>
            <w:p w14:paraId="4FE11B8D" w14:textId="77777777" w:rsidR="005A436A" w:rsidRPr="009E6200" w:rsidRDefault="005A436A" w:rsidP="007B46F5">
              <w:pPr>
                <w:pStyle w:val="SDText"/>
                <w:ind w:left="302" w:hanging="302"/>
                <w:jc w:val="both"/>
              </w:pPr>
              <w:r w:rsidRPr="009E6200">
                <w:t>3.</w:t>
              </w:r>
              <w:r w:rsidRPr="009E6200">
                <w:tab/>
                <w:t>Развитие НЯ/СНЯ, которое требует обследования и/или лечения, оказывающего значимое влияние на процедуры настоящего исследования;</w:t>
              </w:r>
            </w:p>
            <w:p w14:paraId="09EAC69E" w14:textId="77777777" w:rsidR="005A436A" w:rsidRPr="009E6200" w:rsidRDefault="005A436A" w:rsidP="007B46F5">
              <w:pPr>
                <w:pStyle w:val="SDText"/>
                <w:ind w:left="302" w:hanging="302"/>
                <w:jc w:val="both"/>
              </w:pPr>
              <w:r w:rsidRPr="009E6200">
                <w:rPr>
                  <w:noProof/>
                </w:rPr>
                <w:t>4.</w:t>
              </w:r>
              <w:r w:rsidRPr="009E6200">
                <w:tab/>
                <w:t>Развитие токсичности, требующей отмены исследуемого препарата/препарата сравнения либо коррекции дозы карбоплатина или паклитаксела более двух раз или необходимость сдвига планового срока введения карбоплатина с паклитакселом более чем на 2 недели;</w:t>
              </w:r>
            </w:p>
            <w:p w14:paraId="0ED25F70" w14:textId="77777777" w:rsidR="005A436A" w:rsidRPr="009E6200" w:rsidRDefault="005A436A" w:rsidP="007B46F5">
              <w:pPr>
                <w:pStyle w:val="SDText"/>
                <w:ind w:left="302" w:hanging="302"/>
                <w:jc w:val="both"/>
              </w:pPr>
              <w:r w:rsidRPr="009E6200">
                <w:rPr>
                  <w:noProof/>
                </w:rPr>
                <w:t>5.</w:t>
              </w:r>
              <w:r w:rsidRPr="009E6200">
                <w:tab/>
                <w:t>Невозможность проведения, как минимум, 4 циклов химиотерапии карбоплатином и паклитакселом;</w:t>
              </w:r>
            </w:p>
            <w:p w14:paraId="37A3FC77" w14:textId="77777777" w:rsidR="005A436A" w:rsidRPr="009E6200" w:rsidRDefault="005A436A" w:rsidP="007B46F5">
              <w:pPr>
                <w:pStyle w:val="SDText"/>
                <w:ind w:left="302" w:hanging="302"/>
                <w:jc w:val="both"/>
              </w:pPr>
              <w:r w:rsidRPr="009E6200">
                <w:t>6. Невозможность выполнения предусмотренных протоколом лучевых методов оценки статуса заболевания (в частности, в связи с развитием почечной недостаточности);</w:t>
              </w:r>
            </w:p>
            <w:p w14:paraId="29194496" w14:textId="77777777" w:rsidR="005A436A" w:rsidRPr="009E6200" w:rsidRDefault="005A436A" w:rsidP="007B46F5">
              <w:pPr>
                <w:pStyle w:val="SDText"/>
                <w:ind w:left="302" w:hanging="302"/>
                <w:jc w:val="both"/>
              </w:pPr>
              <w:r w:rsidRPr="009E6200">
                <w:t>7.</w:t>
              </w:r>
              <w:r w:rsidRPr="009E6200">
                <w:tab/>
                <w:t>Пациент не соблюдает правила участия в исследовании;</w:t>
              </w:r>
            </w:p>
            <w:p w14:paraId="496902C9" w14:textId="77777777" w:rsidR="005A436A" w:rsidRPr="009E6200" w:rsidRDefault="005A436A" w:rsidP="007B46F5">
              <w:pPr>
                <w:pStyle w:val="SDText"/>
                <w:ind w:left="302" w:hanging="302"/>
                <w:jc w:val="both"/>
              </w:pPr>
              <w:r w:rsidRPr="009E6200">
                <w:t>8.</w:t>
              </w:r>
              <w:r w:rsidRPr="009E6200">
                <w:tab/>
                <w:t>В случае ошибочного включения (например, пациент был включен с нарушением критериев включения/невключения протокола) лечение пациента прекращается по решению Спонсора;</w:t>
              </w:r>
            </w:p>
            <w:p w14:paraId="5C9CC01F" w14:textId="77777777" w:rsidR="005A436A" w:rsidRPr="009E6200" w:rsidRDefault="005A436A" w:rsidP="007B46F5">
              <w:pPr>
                <w:pStyle w:val="SDText"/>
                <w:ind w:left="302" w:hanging="302"/>
                <w:jc w:val="both"/>
              </w:pPr>
              <w:r w:rsidRPr="009E6200">
                <w:t>9.</w:t>
              </w:r>
              <w:r w:rsidRPr="009E6200">
                <w:tab/>
                <w:t>Наступление беременности;</w:t>
              </w:r>
            </w:p>
            <w:p w14:paraId="04833CB5" w14:textId="77777777" w:rsidR="005A436A" w:rsidRPr="009E6200" w:rsidRDefault="005A436A" w:rsidP="007B46F5">
              <w:pPr>
                <w:pStyle w:val="SDText"/>
                <w:ind w:left="302" w:hanging="302"/>
                <w:jc w:val="both"/>
              </w:pPr>
              <w:r w:rsidRPr="009E6200">
                <w:rPr>
                  <w:noProof/>
                </w:rPr>
                <w:t>10.</w:t>
              </w:r>
              <w:r w:rsidRPr="009E6200">
                <w:tab/>
                <w:t>Пациент получает/нуждается в дополнительном лечении, которое может повлиять на результат исследования или безопасность пациента (см.</w:t>
              </w:r>
              <w:r w:rsidRPr="009E6200">
                <w:tab/>
                <w:t>раздел «запрещенная сопутствующая терапия»);</w:t>
              </w:r>
            </w:p>
            <w:p w14:paraId="39BC9E42" w14:textId="77777777" w:rsidR="005A436A" w:rsidRPr="009E6200" w:rsidRDefault="005A436A" w:rsidP="007B46F5">
              <w:pPr>
                <w:pStyle w:val="SDText"/>
                <w:ind w:left="302" w:hanging="302"/>
                <w:jc w:val="both"/>
              </w:pPr>
              <w:r w:rsidRPr="009E6200">
                <w:rPr>
                  <w:noProof/>
                </w:rPr>
                <w:t>11</w:t>
              </w:r>
              <w:r>
                <w:rPr>
                  <w:noProof/>
                </w:rPr>
                <w:t>.</w:t>
              </w:r>
              <w:r>
                <w:t xml:space="preserve"> </w:t>
              </w:r>
              <w:r w:rsidRPr="005A436A">
                <w:t xml:space="preserve">В продленной части исследования и в периоде последующего наблюдения и терапии в случае подтверждения эквивалентности исследуемого препарата препарату сравнения по результатам основной части исследования – отказ пациента от перевода с терапии препаратом Авастин на терапию препаратом </w:t>
              </w:r>
              <w:r w:rsidRPr="005A436A">
                <w:rPr>
                  <w:lang w:val="en-US"/>
                </w:rPr>
                <w:t>RPH</w:t>
              </w:r>
              <w:r w:rsidRPr="00887681">
                <w:t>-001</w:t>
              </w:r>
              <w:r w:rsidRPr="009E6200">
                <w:t>;</w:t>
              </w:r>
            </w:p>
            <w:p w14:paraId="14100DCA" w14:textId="77777777" w:rsidR="005A436A" w:rsidRDefault="005A436A" w:rsidP="007B46F5">
              <w:pPr>
                <w:pStyle w:val="SDText"/>
                <w:jc w:val="both"/>
              </w:pPr>
              <w:r w:rsidRPr="009E6200">
                <w:rPr>
                  <w:noProof/>
                </w:rPr>
                <w:t>12.</w:t>
              </w:r>
              <w:r w:rsidRPr="009E6200">
                <w:tab/>
                <w:t xml:space="preserve"> Иные состояния или события, требующие, по мнению врача-исследователя, прекращения терапии.</w:t>
              </w:r>
            </w:p>
            <w:p w14:paraId="3EFAC1E5" w14:textId="77777777" w:rsidR="005A436A" w:rsidRDefault="005A436A" w:rsidP="007B46F5">
              <w:pPr>
                <w:pStyle w:val="SDText"/>
                <w:jc w:val="both"/>
              </w:pPr>
              <w:r w:rsidRPr="005A436A">
                <w:t xml:space="preserve"> </w:t>
              </w:r>
              <w:r w:rsidRPr="00F015F1">
                <w:rPr>
                  <w:rFonts w:cs="Times New Roman"/>
                  <w:szCs w:val="24"/>
                </w:rPr>
                <w:t>В случае, если врач прини</w:t>
              </w:r>
              <w:r>
                <w:rPr>
                  <w:rFonts w:cs="Times New Roman"/>
                  <w:szCs w:val="24"/>
                </w:rPr>
                <w:t xml:space="preserve">мает решение прекратить лечение </w:t>
              </w:r>
              <w:r w:rsidRPr="00F015F1">
                <w:rPr>
                  <w:rFonts w:cs="Times New Roman"/>
                  <w:szCs w:val="24"/>
                </w:rPr>
                <w:t>пациента в рамках данного исследования, пациенту должен быть проведен визит преждевременного завершения в срок не позднее 21 дня с момента принятия решения об исключении пациента или не позднее начала следующей линии противоопухолевой терапии</w:t>
              </w:r>
            </w:p>
          </w:sdtContent>
        </w:sdt>
      </w:sdtContent>
    </w:sdt>
    <w:p w14:paraId="62A242F4" w14:textId="25391450" w:rsidR="00205B3E" w:rsidRPr="009E6200" w:rsidRDefault="009A6EDB" w:rsidP="007B46F5">
      <w:pPr>
        <w:pStyle w:val="SDText"/>
        <w:jc w:val="both"/>
      </w:pPr>
      <w:r w:rsidRPr="009E6200">
        <w:fldChar w:fldCharType="end"/>
      </w:r>
    </w:p>
    <w:p w14:paraId="3056A68F" w14:textId="191A9AC6" w:rsidR="001020A4" w:rsidRDefault="001020A4" w:rsidP="007B46F5">
      <w:pPr>
        <w:jc w:val="both"/>
        <w:rPr>
          <w:rFonts w:cs="Times New Roman"/>
          <w:b/>
          <w:bCs/>
          <w:szCs w:val="24"/>
        </w:rPr>
      </w:pPr>
      <w:r w:rsidRPr="009E6200">
        <w:rPr>
          <w:rFonts w:cs="Times New Roman"/>
          <w:b/>
          <w:bCs/>
          <w:szCs w:val="24"/>
        </w:rPr>
        <w:t>Пациенты прекращают участие в исследовании в следующих случаях:</w:t>
      </w:r>
    </w:p>
    <w:p w14:paraId="2CB05E72" w14:textId="77777777" w:rsidR="00E27DD9" w:rsidRPr="009E6200" w:rsidRDefault="00E27DD9" w:rsidP="007B46F5">
      <w:pPr>
        <w:jc w:val="both"/>
        <w:rPr>
          <w:rFonts w:cs="Times New Roman"/>
          <w:b/>
          <w:bCs/>
          <w:szCs w:val="24"/>
        </w:rPr>
      </w:pPr>
    </w:p>
    <w:p w14:paraId="02119EB1" w14:textId="77777777" w:rsidR="007B13CD" w:rsidRPr="009E6200" w:rsidRDefault="007B13CD" w:rsidP="007B46F5">
      <w:pPr>
        <w:pStyle w:val="ListParagraph"/>
        <w:numPr>
          <w:ilvl w:val="0"/>
          <w:numId w:val="38"/>
        </w:numPr>
        <w:spacing w:line="240" w:lineRule="auto"/>
        <w:rPr>
          <w:szCs w:val="24"/>
          <w:lang w:val="ru-RU"/>
        </w:rPr>
      </w:pPr>
      <w:r w:rsidRPr="009E6200">
        <w:rPr>
          <w:szCs w:val="24"/>
          <w:lang w:val="ru-RU"/>
        </w:rPr>
        <w:t>Отзыв информированного согласия (</w:t>
      </w:r>
      <w:r w:rsidRPr="009E6200">
        <w:rPr>
          <w:lang w:val="ru-RU"/>
        </w:rPr>
        <w:t>нежелание пациента продолжать участие в исследовании);</w:t>
      </w:r>
    </w:p>
    <w:p w14:paraId="59DA0415" w14:textId="0F27B30B" w:rsidR="00DF4748" w:rsidRPr="00992857" w:rsidRDefault="007B13CD" w:rsidP="00992857">
      <w:pPr>
        <w:pStyle w:val="ListParagraph"/>
        <w:numPr>
          <w:ilvl w:val="0"/>
          <w:numId w:val="38"/>
        </w:numPr>
        <w:spacing w:line="240" w:lineRule="auto"/>
        <w:rPr>
          <w:szCs w:val="24"/>
          <w:lang w:val="ru-RU"/>
        </w:rPr>
      </w:pPr>
      <w:r w:rsidRPr="009E6200">
        <w:rPr>
          <w:szCs w:val="24"/>
          <w:lang w:val="ru-RU"/>
        </w:rPr>
        <w:t xml:space="preserve">Прекращение исследования в целом (см. Раздел </w:t>
      </w:r>
      <w:r w:rsidRPr="009E6200">
        <w:rPr>
          <w:szCs w:val="24"/>
        </w:rPr>
        <w:fldChar w:fldCharType="begin"/>
      </w:r>
      <w:r w:rsidRPr="009E6200">
        <w:rPr>
          <w:szCs w:val="24"/>
          <w:lang w:val="ru-RU"/>
        </w:rPr>
        <w:instrText xml:space="preserve"> REF _Ref524080754 \n \h </w:instrText>
      </w:r>
      <w:r w:rsidR="009E6200">
        <w:rPr>
          <w:szCs w:val="24"/>
        </w:rPr>
        <w:instrText xml:space="preserve"> \* MERGEFORMAT </w:instrText>
      </w:r>
      <w:r w:rsidRPr="009E6200">
        <w:rPr>
          <w:szCs w:val="24"/>
        </w:rPr>
      </w:r>
      <w:r w:rsidRPr="009E6200">
        <w:rPr>
          <w:szCs w:val="24"/>
        </w:rPr>
        <w:fldChar w:fldCharType="separate"/>
      </w:r>
      <w:r w:rsidR="005A436A">
        <w:rPr>
          <w:szCs w:val="24"/>
          <w:lang w:val="ru-RU"/>
        </w:rPr>
        <w:t>4.7</w:t>
      </w:r>
      <w:r w:rsidRPr="009E6200">
        <w:rPr>
          <w:szCs w:val="24"/>
        </w:rPr>
        <w:fldChar w:fldCharType="end"/>
      </w:r>
      <w:r w:rsidRPr="009E6200">
        <w:rPr>
          <w:szCs w:val="24"/>
          <w:lang w:val="ru-RU"/>
        </w:rPr>
        <w:t>).</w:t>
      </w:r>
    </w:p>
    <w:p w14:paraId="56599B07" w14:textId="234ADB18" w:rsidR="006F6CA8" w:rsidRPr="00992857" w:rsidRDefault="006F6CA8" w:rsidP="007B46F5">
      <w:pPr>
        <w:pStyle w:val="Heading1"/>
        <w:pageBreakBefore/>
        <w:spacing w:before="0" w:after="0" w:line="240" w:lineRule="auto"/>
        <w:ind w:left="431" w:hanging="431"/>
        <w:jc w:val="both"/>
        <w:rPr>
          <w:color w:val="auto"/>
          <w:sz w:val="28"/>
          <w:szCs w:val="28"/>
        </w:rPr>
      </w:pPr>
      <w:bookmarkStart w:id="172" w:name="_Ref12621678"/>
      <w:bookmarkStart w:id="173" w:name="_Toc120865274"/>
      <w:r w:rsidRPr="00992857">
        <w:rPr>
          <w:color w:val="auto"/>
          <w:sz w:val="28"/>
          <w:szCs w:val="28"/>
        </w:rPr>
        <w:t>Сведения об используемых в клиническом исследовании лекарственных препаратах</w:t>
      </w:r>
      <w:bookmarkEnd w:id="172"/>
      <w:bookmarkEnd w:id="173"/>
    </w:p>
    <w:p w14:paraId="176908B3" w14:textId="77777777" w:rsidR="00E27DD9" w:rsidRPr="00E27DD9" w:rsidRDefault="00E27DD9" w:rsidP="007B46F5"/>
    <w:p w14:paraId="469D51EE" w14:textId="466B2347" w:rsidR="00752944" w:rsidRDefault="00752944" w:rsidP="007B46F5">
      <w:pPr>
        <w:pStyle w:val="Heading2"/>
      </w:pPr>
      <w:bookmarkStart w:id="174" w:name="_Ref12619602"/>
      <w:bookmarkStart w:id="175" w:name="_Toc120865275"/>
      <w:r w:rsidRPr="009E6200">
        <w:t>Препараты, используемые в исследовании</w:t>
      </w:r>
      <w:bookmarkEnd w:id="174"/>
      <w:bookmarkEnd w:id="175"/>
    </w:p>
    <w:p w14:paraId="17353084" w14:textId="77777777" w:rsidR="00E27DD9" w:rsidRPr="00E27DD9" w:rsidRDefault="00E27DD9" w:rsidP="007B46F5">
      <w:pPr>
        <w:pStyle w:val="SDText"/>
        <w:rPr>
          <w:lang w:eastAsia="ru-RU"/>
        </w:rPr>
      </w:pPr>
    </w:p>
    <w:p w14:paraId="1C5CF101" w14:textId="76F0FE91" w:rsidR="006F6CA8" w:rsidRDefault="00ED08F7" w:rsidP="007B46F5">
      <w:pPr>
        <w:pStyle w:val="Heading3"/>
        <w:spacing w:before="0" w:after="0" w:line="240" w:lineRule="auto"/>
        <w:ind w:left="709" w:hanging="709"/>
        <w:jc w:val="both"/>
        <w:rPr>
          <w:sz w:val="24"/>
        </w:rPr>
      </w:pPr>
      <w:bookmarkStart w:id="176" w:name="_Toc120865276"/>
      <w:r w:rsidRPr="00E27DD9">
        <w:rPr>
          <w:sz w:val="24"/>
        </w:rPr>
        <w:t>Исследуемый препарат</w:t>
      </w:r>
      <w:bookmarkEnd w:id="176"/>
    </w:p>
    <w:p w14:paraId="1662E66E" w14:textId="77777777" w:rsidR="00E27DD9" w:rsidRPr="00E27DD9" w:rsidRDefault="00E27DD9" w:rsidP="007B46F5">
      <w:pPr>
        <w:pStyle w:val="SDText"/>
        <w:rPr>
          <w:lang w:eastAsia="ru-RU"/>
        </w:rPr>
      </w:pPr>
    </w:p>
    <w:p w14:paraId="3496692A" w14:textId="11B5C6C8" w:rsidR="00752944" w:rsidRDefault="009A5031" w:rsidP="007B46F5">
      <w:pPr>
        <w:pStyle w:val="SDText"/>
        <w:jc w:val="both"/>
      </w:pPr>
      <w:r w:rsidRPr="009E6200">
        <w:rPr>
          <w:b/>
          <w:i/>
        </w:rPr>
        <w:t xml:space="preserve">Рабочее </w:t>
      </w:r>
      <w:r w:rsidR="00752944" w:rsidRPr="009E6200">
        <w:rPr>
          <w:b/>
          <w:i/>
        </w:rPr>
        <w:t>наименование:</w:t>
      </w:r>
      <w:r w:rsidR="00752944" w:rsidRPr="009E6200">
        <w:t xml:space="preserve"> RPH-001</w:t>
      </w:r>
    </w:p>
    <w:p w14:paraId="05979E2F" w14:textId="77777777" w:rsidR="00E27DD9" w:rsidRPr="009E6200" w:rsidRDefault="00E27DD9" w:rsidP="007B46F5">
      <w:pPr>
        <w:pStyle w:val="SDText"/>
        <w:jc w:val="both"/>
      </w:pPr>
    </w:p>
    <w:p w14:paraId="094D33C6" w14:textId="7441946A" w:rsidR="00752944" w:rsidRDefault="00752944" w:rsidP="007B46F5">
      <w:pPr>
        <w:pStyle w:val="SDText"/>
        <w:jc w:val="both"/>
      </w:pPr>
      <w:r w:rsidRPr="009E6200">
        <w:rPr>
          <w:b/>
          <w:i/>
        </w:rPr>
        <w:t>МНН</w:t>
      </w:r>
      <w:r w:rsidRPr="009E6200">
        <w:rPr>
          <w:i/>
        </w:rPr>
        <w:t>:</w:t>
      </w:r>
      <w:r w:rsidRPr="009E6200">
        <w:t xml:space="preserve"> </w:t>
      </w:r>
      <w:r w:rsidR="004E5FCB" w:rsidRPr="009E6200">
        <w:t>бевацизумаб</w:t>
      </w:r>
    </w:p>
    <w:p w14:paraId="12E79AF3" w14:textId="77777777" w:rsidR="00E27DD9" w:rsidRPr="009E6200" w:rsidRDefault="00E27DD9" w:rsidP="007B46F5">
      <w:pPr>
        <w:pStyle w:val="SDText"/>
        <w:jc w:val="both"/>
      </w:pPr>
    </w:p>
    <w:p w14:paraId="71C7D94A" w14:textId="77777777" w:rsidR="009A5031" w:rsidRPr="009E6200" w:rsidRDefault="00752944" w:rsidP="007B46F5">
      <w:pPr>
        <w:pStyle w:val="SDText"/>
        <w:jc w:val="both"/>
      </w:pPr>
      <w:r w:rsidRPr="009E6200">
        <w:rPr>
          <w:b/>
          <w:i/>
        </w:rPr>
        <w:t>Лекарственная форма:</w:t>
      </w:r>
      <w:r w:rsidRPr="009E6200">
        <w:t xml:space="preserve"> </w:t>
      </w:r>
      <w:r w:rsidR="009A5031" w:rsidRPr="009E6200">
        <w:t>RPH-001 выпускается в виде стерильного концентрата для приготовления раствора для инъекций в одноразовых стеклянных флаконах (I EP класса, гидролитическое стекло), который содержит номинальное количество: 100 мг RPH-001 в объеме 4 мл (концентрация 25 мг / мл, осмолярность 320 мосм / л).</w:t>
      </w:r>
    </w:p>
    <w:p w14:paraId="1AE7EC16" w14:textId="64669F7B" w:rsidR="009A5031" w:rsidRDefault="009A5031" w:rsidP="007B46F5">
      <w:pPr>
        <w:pStyle w:val="a3"/>
        <w:spacing w:after="0"/>
        <w:jc w:val="both"/>
      </w:pPr>
      <w:r w:rsidRPr="009E6200">
        <w:t>Вспомогательные вещества: 14 мМ фосфат, 7,5 мМ цитрат, 80 мМ NaCl, 1,2% маннит, 0,04%, Твин 20, рН 5,2, вода для инъекций.</w:t>
      </w:r>
    </w:p>
    <w:p w14:paraId="50012958" w14:textId="77777777" w:rsidR="00E27DD9" w:rsidRPr="009E6200" w:rsidRDefault="00E27DD9" w:rsidP="007B46F5">
      <w:pPr>
        <w:pStyle w:val="a3"/>
        <w:spacing w:after="0"/>
        <w:jc w:val="both"/>
      </w:pPr>
    </w:p>
    <w:p w14:paraId="4E58D9BD" w14:textId="398C587F" w:rsidR="00265870" w:rsidRDefault="00752944" w:rsidP="007B46F5">
      <w:pPr>
        <w:pStyle w:val="SDText"/>
        <w:jc w:val="both"/>
      </w:pPr>
      <w:r w:rsidRPr="009E6200">
        <w:rPr>
          <w:b/>
          <w:i/>
        </w:rPr>
        <w:t>Описание:</w:t>
      </w:r>
      <w:r w:rsidR="003620CD" w:rsidRPr="009E6200">
        <w:rPr>
          <w:b/>
          <w:i/>
        </w:rPr>
        <w:t xml:space="preserve"> </w:t>
      </w:r>
      <w:r w:rsidR="00265870" w:rsidRPr="009E6200">
        <w:rPr>
          <w:b/>
          <w:i/>
        </w:rPr>
        <w:t>л</w:t>
      </w:r>
      <w:r w:rsidR="00265870" w:rsidRPr="009E6200">
        <w:t>екарственный продукт представляет собой прозрачный или слегка опалесцирующий, бесцветный стерильный жидкий раствор, который перед введением необходимо разбавить в 0,9% растворе хлорида натрия.</w:t>
      </w:r>
    </w:p>
    <w:p w14:paraId="582BD089" w14:textId="77777777" w:rsidR="00E27DD9" w:rsidRPr="009E6200" w:rsidRDefault="00E27DD9" w:rsidP="007B46F5">
      <w:pPr>
        <w:pStyle w:val="SDText"/>
        <w:jc w:val="both"/>
        <w:rPr>
          <w:b/>
          <w:lang w:eastAsia="ru-RU"/>
        </w:rPr>
      </w:pPr>
    </w:p>
    <w:p w14:paraId="41A60805" w14:textId="1A20899D" w:rsidR="00752944" w:rsidRDefault="00752944" w:rsidP="007B46F5">
      <w:pPr>
        <w:pStyle w:val="SDText"/>
        <w:jc w:val="both"/>
      </w:pPr>
      <w:r w:rsidRPr="009E6200">
        <w:rPr>
          <w:b/>
          <w:i/>
        </w:rPr>
        <w:t>Путь введения:</w:t>
      </w:r>
      <w:r w:rsidRPr="009E6200">
        <w:t xml:space="preserve"> препарат вводят только в виде внутривенных капельных инфузий. Нельзя вводить препарат внутривенно струйно!</w:t>
      </w:r>
    </w:p>
    <w:p w14:paraId="6D4BF9D1" w14:textId="77777777" w:rsidR="00E27DD9" w:rsidRPr="009E6200" w:rsidRDefault="00E27DD9" w:rsidP="007B46F5">
      <w:pPr>
        <w:pStyle w:val="SDText"/>
        <w:jc w:val="both"/>
      </w:pPr>
    </w:p>
    <w:p w14:paraId="198E71EC" w14:textId="55164AB3" w:rsidR="00752944" w:rsidRDefault="00752944" w:rsidP="007B46F5">
      <w:pPr>
        <w:pStyle w:val="SDText"/>
        <w:jc w:val="both"/>
      </w:pPr>
      <w:r w:rsidRPr="009E6200">
        <w:rPr>
          <w:b/>
          <w:i/>
        </w:rPr>
        <w:t xml:space="preserve">Форма выпуска: </w:t>
      </w:r>
      <w:r w:rsidR="00265870" w:rsidRPr="009E6200">
        <w:rPr>
          <w:bCs/>
          <w:iCs/>
        </w:rPr>
        <w:t>п</w:t>
      </w:r>
      <w:r w:rsidR="00265870" w:rsidRPr="009E6200">
        <w:t>репарат поставляется в стеклянных флаконах. Каждый флакон, содержащий 4 мл стерильного раствора RPH-001, снабжен этикеткой и упакован в картонную коробку</w:t>
      </w:r>
      <w:r w:rsidR="00AE25CA">
        <w:t>.</w:t>
      </w:r>
    </w:p>
    <w:p w14:paraId="533CA186" w14:textId="77777777" w:rsidR="00E27DD9" w:rsidRPr="009E6200" w:rsidRDefault="00E27DD9" w:rsidP="007B46F5">
      <w:pPr>
        <w:pStyle w:val="SDText"/>
        <w:jc w:val="both"/>
        <w:rPr>
          <w:b/>
          <w:i/>
        </w:rPr>
      </w:pPr>
    </w:p>
    <w:p w14:paraId="08B536DD" w14:textId="0A2A71AC" w:rsidR="00811339" w:rsidRDefault="00752944" w:rsidP="007B46F5">
      <w:pPr>
        <w:pStyle w:val="SDText"/>
        <w:jc w:val="both"/>
      </w:pPr>
      <w:r w:rsidRPr="009E6200">
        <w:rPr>
          <w:b/>
          <w:i/>
        </w:rPr>
        <w:t>Условия хранения</w:t>
      </w:r>
      <w:r w:rsidRPr="009E6200">
        <w:rPr>
          <w:b/>
        </w:rPr>
        <w:t>:</w:t>
      </w:r>
      <w:r w:rsidRPr="009E6200">
        <w:t xml:space="preserve"> Флаконы с препаратом RPH-001 должны храниться при температуре 2−8°C в защищенном от света месте в оригинальной картонной упаковке. </w:t>
      </w:r>
      <w:r w:rsidR="00811339" w:rsidRPr="009E6200">
        <w:t>Запрещено замораживать или встряхивать концентрат и раствор препарата RPH-001.</w:t>
      </w:r>
    </w:p>
    <w:p w14:paraId="195776C7" w14:textId="77777777" w:rsidR="00E27DD9" w:rsidRPr="009E6200" w:rsidRDefault="00E27DD9" w:rsidP="007B46F5">
      <w:pPr>
        <w:pStyle w:val="SDText"/>
        <w:jc w:val="both"/>
      </w:pPr>
    </w:p>
    <w:p w14:paraId="2B0684BE" w14:textId="77777777" w:rsidR="00811339" w:rsidRPr="009E6200" w:rsidRDefault="00752944" w:rsidP="007B46F5">
      <w:pPr>
        <w:pStyle w:val="SDText"/>
        <w:jc w:val="both"/>
      </w:pPr>
      <w:r w:rsidRPr="009E6200">
        <w:rPr>
          <w:b/>
        </w:rPr>
        <w:t>Срок годности</w:t>
      </w:r>
      <w:r w:rsidRPr="009E6200">
        <w:t xml:space="preserve"> </w:t>
      </w:r>
    </w:p>
    <w:p w14:paraId="33AB7ECF" w14:textId="3C95FE05" w:rsidR="009336DF" w:rsidRDefault="009336DF" w:rsidP="007B46F5">
      <w:pPr>
        <w:jc w:val="both"/>
        <w:rPr>
          <w:rFonts w:eastAsia="Times New Roman" w:cs="Times New Roman"/>
        </w:rPr>
      </w:pPr>
      <w:r w:rsidRPr="009336DF">
        <w:rPr>
          <w:rFonts w:eastAsia="Times New Roman" w:cs="Times New Roman"/>
        </w:rPr>
        <w:t>2 года. Срок годности будет определяться для каждой наработанной серии в соответствии с актуальными данными по стабильности.</w:t>
      </w:r>
    </w:p>
    <w:p w14:paraId="613ECD12" w14:textId="77777777" w:rsidR="00992857" w:rsidRPr="009336DF" w:rsidRDefault="00992857" w:rsidP="007B46F5">
      <w:pPr>
        <w:jc w:val="both"/>
        <w:rPr>
          <w:rFonts w:eastAsia="Times New Roman" w:cs="Times New Roman"/>
        </w:rPr>
      </w:pPr>
    </w:p>
    <w:p w14:paraId="2CE6155E" w14:textId="77777777" w:rsidR="00752944" w:rsidRPr="00992857" w:rsidRDefault="00752944" w:rsidP="00992857">
      <w:pPr>
        <w:pStyle w:val="Heading3"/>
        <w:spacing w:before="0" w:after="0" w:line="240" w:lineRule="auto"/>
        <w:ind w:left="709"/>
        <w:jc w:val="both"/>
        <w:rPr>
          <w:color w:val="auto"/>
          <w:sz w:val="24"/>
        </w:rPr>
      </w:pPr>
      <w:bookmarkStart w:id="177" w:name="_Toc120865277"/>
      <w:r w:rsidRPr="00992857">
        <w:rPr>
          <w:color w:val="auto"/>
          <w:sz w:val="24"/>
        </w:rPr>
        <w:t>Препарат сравнения</w:t>
      </w:r>
      <w:bookmarkEnd w:id="177"/>
    </w:p>
    <w:p w14:paraId="4657E225" w14:textId="77777777" w:rsidR="00992857" w:rsidRDefault="00992857" w:rsidP="007B46F5">
      <w:pPr>
        <w:pStyle w:val="SDText"/>
        <w:jc w:val="both"/>
        <w:rPr>
          <w:b/>
          <w:i/>
        </w:rPr>
      </w:pPr>
    </w:p>
    <w:p w14:paraId="11CE7B30" w14:textId="6E83837A" w:rsidR="00752944" w:rsidRDefault="00752944" w:rsidP="007B46F5">
      <w:pPr>
        <w:pStyle w:val="SDText"/>
        <w:jc w:val="both"/>
        <w:rPr>
          <w:rFonts w:cs="Times New Roman"/>
          <w:vertAlign w:val="superscript"/>
          <w:lang w:eastAsia="ru-RU"/>
        </w:rPr>
      </w:pPr>
      <w:r w:rsidRPr="009E6200">
        <w:rPr>
          <w:b/>
          <w:i/>
        </w:rPr>
        <w:t>Торговое</w:t>
      </w:r>
      <w:r w:rsidRPr="009E6200">
        <w:rPr>
          <w:b/>
          <w:i/>
          <w:lang w:eastAsia="ru-RU"/>
        </w:rPr>
        <w:t xml:space="preserve"> </w:t>
      </w:r>
      <w:r w:rsidRPr="009E6200">
        <w:rPr>
          <w:b/>
          <w:i/>
        </w:rPr>
        <w:t>наименование:</w:t>
      </w:r>
      <w:r w:rsidRPr="009E6200">
        <w:t xml:space="preserve"> </w:t>
      </w:r>
      <w:r w:rsidR="003620CD" w:rsidRPr="009E6200">
        <w:rPr>
          <w:lang w:eastAsia="ru-RU"/>
        </w:rPr>
        <w:t>Авастин</w:t>
      </w:r>
      <w:r w:rsidR="00121FA5" w:rsidRPr="009E6200">
        <w:rPr>
          <w:rFonts w:cs="Times New Roman"/>
          <w:vertAlign w:val="superscript"/>
          <w:lang w:eastAsia="ru-RU"/>
        </w:rPr>
        <w:t>®</w:t>
      </w:r>
    </w:p>
    <w:p w14:paraId="6B46558F" w14:textId="77777777" w:rsidR="00E27DD9" w:rsidRPr="009E6200" w:rsidRDefault="00E27DD9" w:rsidP="007B46F5">
      <w:pPr>
        <w:pStyle w:val="SDText"/>
        <w:jc w:val="both"/>
      </w:pPr>
    </w:p>
    <w:p w14:paraId="39589137" w14:textId="4421C938" w:rsidR="00752944" w:rsidRDefault="00752944" w:rsidP="007B46F5">
      <w:pPr>
        <w:pStyle w:val="SDText"/>
        <w:jc w:val="both"/>
      </w:pPr>
      <w:r w:rsidRPr="009E6200">
        <w:rPr>
          <w:b/>
          <w:i/>
        </w:rPr>
        <w:t>МНН:</w:t>
      </w:r>
      <w:r w:rsidRPr="009E6200">
        <w:t xml:space="preserve"> бевацизумаб</w:t>
      </w:r>
    </w:p>
    <w:p w14:paraId="5F313000" w14:textId="77777777" w:rsidR="00E27DD9" w:rsidRPr="009E6200" w:rsidRDefault="00E27DD9" w:rsidP="007B46F5">
      <w:pPr>
        <w:pStyle w:val="SDText"/>
        <w:jc w:val="both"/>
      </w:pPr>
    </w:p>
    <w:p w14:paraId="15C7CE57" w14:textId="77777777" w:rsidR="00752944" w:rsidRPr="009E6200" w:rsidRDefault="00752944" w:rsidP="007B46F5">
      <w:pPr>
        <w:pStyle w:val="SDText"/>
        <w:jc w:val="both"/>
      </w:pPr>
      <w:r w:rsidRPr="009E6200">
        <w:rPr>
          <w:b/>
          <w:i/>
        </w:rPr>
        <w:t>Лекарственная форма:</w:t>
      </w:r>
      <w:r w:rsidRPr="009E6200">
        <w:t xml:space="preserve"> концентрат для приготовления раствора дли инфузий</w:t>
      </w:r>
    </w:p>
    <w:p w14:paraId="1BD6280C" w14:textId="77777777" w:rsidR="00E27DD9" w:rsidRDefault="00E27DD9" w:rsidP="007B46F5">
      <w:pPr>
        <w:pStyle w:val="SDText"/>
        <w:jc w:val="both"/>
        <w:rPr>
          <w:b/>
          <w:i/>
        </w:rPr>
      </w:pPr>
    </w:p>
    <w:p w14:paraId="2D438D8A" w14:textId="2D406E59" w:rsidR="003620CD" w:rsidRPr="009E6200" w:rsidRDefault="00752944" w:rsidP="007B46F5">
      <w:pPr>
        <w:pStyle w:val="SDText"/>
        <w:jc w:val="both"/>
        <w:rPr>
          <w:b/>
          <w:i/>
        </w:rPr>
      </w:pPr>
      <w:r w:rsidRPr="009E6200">
        <w:rPr>
          <w:b/>
          <w:i/>
        </w:rPr>
        <w:t>Состав:</w:t>
      </w:r>
    </w:p>
    <w:p w14:paraId="1399A7E0" w14:textId="77777777" w:rsidR="003620CD" w:rsidRPr="009E6200" w:rsidRDefault="003620CD" w:rsidP="007B46F5">
      <w:pPr>
        <w:pStyle w:val="SDText"/>
        <w:jc w:val="both"/>
        <w:rPr>
          <w:lang w:eastAsia="ru-RU"/>
        </w:rPr>
      </w:pPr>
      <w:r w:rsidRPr="009E6200">
        <w:rPr>
          <w:lang w:eastAsia="ru-RU"/>
        </w:rPr>
        <w:t>1 флакон содержит:</w:t>
      </w:r>
    </w:p>
    <w:p w14:paraId="08C9ED75" w14:textId="77777777" w:rsidR="003620CD" w:rsidRPr="009E6200" w:rsidRDefault="003620CD" w:rsidP="007B46F5">
      <w:pPr>
        <w:pStyle w:val="SDText"/>
        <w:jc w:val="both"/>
        <w:rPr>
          <w:lang w:eastAsia="ru-RU"/>
        </w:rPr>
      </w:pPr>
      <w:r w:rsidRPr="009E6200">
        <w:rPr>
          <w:lang w:eastAsia="ru-RU"/>
        </w:rPr>
        <w:t>активное вещество: бевацизумаб - 100 мг (концентрация во флаконе 100 мг/4 мл)/ 400 мг (концентрация во флаконе 400 мг/16 мл);</w:t>
      </w:r>
    </w:p>
    <w:p w14:paraId="45A75401" w14:textId="77777777" w:rsidR="003620CD" w:rsidRPr="009E6200" w:rsidRDefault="003620CD" w:rsidP="007B46F5">
      <w:pPr>
        <w:pStyle w:val="SDText"/>
        <w:jc w:val="both"/>
        <w:rPr>
          <w:lang w:eastAsia="ru-RU"/>
        </w:rPr>
      </w:pPr>
      <w:r w:rsidRPr="009E6200">
        <w:rPr>
          <w:lang w:eastAsia="ru-RU"/>
        </w:rPr>
        <w:t xml:space="preserve">вспомогательные вещества: </w:t>
      </w:r>
      <w:r w:rsidRPr="009E6200">
        <w:rPr>
          <w:rFonts w:cs="Times New Roman"/>
          <w:lang w:eastAsia="ru-RU"/>
        </w:rPr>
        <w:t>α</w:t>
      </w:r>
      <w:r w:rsidRPr="009E6200">
        <w:rPr>
          <w:lang w:eastAsia="ru-RU"/>
        </w:rPr>
        <w:t>,</w:t>
      </w:r>
      <w:r w:rsidRPr="009E6200">
        <w:rPr>
          <w:rFonts w:cs="Times New Roman"/>
          <w:lang w:eastAsia="ru-RU"/>
        </w:rPr>
        <w:t>α</w:t>
      </w:r>
      <w:r w:rsidRPr="009E6200">
        <w:rPr>
          <w:lang w:eastAsia="ru-RU"/>
        </w:rPr>
        <w:t>-трегалозы дигидрат – 240,0/960,0 мг, натрия дигидрофосфата моногидрат – 23,2/92,8 мг, натрия гидрофосфат безводный – 4,8/19,2 мг, полисорбат 20 – 1,6/6,4 мг, вода для инъекций до 4,0/16,0 мл.</w:t>
      </w:r>
    </w:p>
    <w:p w14:paraId="7C1A5EF2" w14:textId="77777777" w:rsidR="00E27DD9" w:rsidRDefault="00E27DD9" w:rsidP="007B46F5">
      <w:pPr>
        <w:pStyle w:val="SDText"/>
        <w:jc w:val="both"/>
        <w:rPr>
          <w:b/>
          <w:i/>
        </w:rPr>
      </w:pPr>
    </w:p>
    <w:p w14:paraId="3F4E9489" w14:textId="48519051" w:rsidR="00752944" w:rsidRPr="009E6200" w:rsidRDefault="00752944" w:rsidP="007B46F5">
      <w:pPr>
        <w:pStyle w:val="SDText"/>
        <w:jc w:val="both"/>
      </w:pPr>
      <w:r w:rsidRPr="009E6200">
        <w:rPr>
          <w:b/>
          <w:i/>
        </w:rPr>
        <w:t>Описание:</w:t>
      </w:r>
      <w:r w:rsidR="003620CD" w:rsidRPr="009E6200">
        <w:t xml:space="preserve"> </w:t>
      </w:r>
      <w:r w:rsidR="003620CD" w:rsidRPr="009E6200">
        <w:rPr>
          <w:lang w:eastAsia="ru-RU"/>
        </w:rPr>
        <w:t>прозрачная или опалесцирующая, бесцветная или слегка коричневая жидкость.</w:t>
      </w:r>
    </w:p>
    <w:p w14:paraId="69D611E5" w14:textId="77777777" w:rsidR="00E27DD9" w:rsidRDefault="00E27DD9" w:rsidP="007B46F5">
      <w:pPr>
        <w:pStyle w:val="SDText"/>
        <w:jc w:val="both"/>
        <w:rPr>
          <w:b/>
          <w:i/>
        </w:rPr>
      </w:pPr>
    </w:p>
    <w:p w14:paraId="44A5345F" w14:textId="65903F37" w:rsidR="003620CD" w:rsidRPr="009E6200" w:rsidRDefault="00752944" w:rsidP="007B46F5">
      <w:pPr>
        <w:pStyle w:val="SDText"/>
        <w:jc w:val="both"/>
      </w:pPr>
      <w:r w:rsidRPr="009E6200">
        <w:rPr>
          <w:b/>
          <w:i/>
        </w:rPr>
        <w:t>Путь введения:</w:t>
      </w:r>
      <w:r w:rsidR="003620CD" w:rsidRPr="009E6200">
        <w:t xml:space="preserve"> Препарат Авастин</w:t>
      </w:r>
      <w:r w:rsidR="00121FA5" w:rsidRPr="009E6200">
        <w:rPr>
          <w:vertAlign w:val="superscript"/>
        </w:rPr>
        <w:t>®</w:t>
      </w:r>
      <w:r w:rsidR="003620CD" w:rsidRPr="009E6200">
        <w:t xml:space="preserve"> вводят только внутривенно капельно; вводить препарат внутривенно струйно или болюсно нельзя! Препарат Авастин</w:t>
      </w:r>
      <w:r w:rsidR="00121FA5" w:rsidRPr="009E6200">
        <w:rPr>
          <w:vertAlign w:val="superscript"/>
        </w:rPr>
        <w:t>®</w:t>
      </w:r>
      <w:r w:rsidR="003620CD" w:rsidRPr="009E6200">
        <w:t xml:space="preserve"> не предназначен для интравитреального введения.</w:t>
      </w:r>
    </w:p>
    <w:p w14:paraId="3DA931E6" w14:textId="77777777" w:rsidR="00E27DD9" w:rsidRDefault="00E27DD9" w:rsidP="007B46F5">
      <w:pPr>
        <w:pStyle w:val="SDText"/>
        <w:jc w:val="both"/>
        <w:rPr>
          <w:b/>
          <w:i/>
        </w:rPr>
      </w:pPr>
    </w:p>
    <w:p w14:paraId="10D6E9DF" w14:textId="637FECB8" w:rsidR="00752944" w:rsidRPr="009E6200" w:rsidRDefault="003620CD" w:rsidP="007B46F5">
      <w:pPr>
        <w:pStyle w:val="SDText"/>
        <w:jc w:val="both"/>
        <w:rPr>
          <w:b/>
          <w:i/>
        </w:rPr>
      </w:pPr>
      <w:r w:rsidRPr="009E6200">
        <w:rPr>
          <w:b/>
          <w:i/>
        </w:rPr>
        <w:t>Форма выпуска:</w:t>
      </w:r>
    </w:p>
    <w:p w14:paraId="1FD6BCD2" w14:textId="77777777" w:rsidR="003620CD" w:rsidRPr="00992857" w:rsidRDefault="003620CD" w:rsidP="007B46F5">
      <w:pPr>
        <w:pStyle w:val="SDText"/>
        <w:jc w:val="both"/>
      </w:pPr>
      <w:r w:rsidRPr="00992857">
        <w:t xml:space="preserve">Концентрат для приготовления раствора для инфузий 100 мг/4 мл и 400 мг/16 мл </w:t>
      </w:r>
    </w:p>
    <w:p w14:paraId="0C168F98" w14:textId="77777777" w:rsidR="003620CD" w:rsidRPr="009E6200" w:rsidRDefault="003620CD" w:rsidP="007B46F5">
      <w:pPr>
        <w:pStyle w:val="SDText"/>
        <w:jc w:val="both"/>
      </w:pPr>
      <w:r w:rsidRPr="009E6200">
        <w:t>По 100 мг/4 мл или 400 мг/16 мл препарата в стеклянный флакон (стекло гидролитического класса I ЕФ), укупоренный пробкой из бутилкаучука, ламинированного фторполимелром, обжатый алюминиевым колпачком и закрытый пластмассовой крышкой. 1 флакон вместе с инструкцией по применению помещают в картонную пачку.</w:t>
      </w:r>
    </w:p>
    <w:p w14:paraId="25EED17C" w14:textId="77777777" w:rsidR="00E27DD9" w:rsidRDefault="00E27DD9" w:rsidP="007B46F5">
      <w:pPr>
        <w:pStyle w:val="SDText"/>
        <w:jc w:val="both"/>
        <w:rPr>
          <w:b/>
        </w:rPr>
      </w:pPr>
    </w:p>
    <w:p w14:paraId="1497D300" w14:textId="5114CC4F" w:rsidR="00752944" w:rsidRPr="009E6200" w:rsidRDefault="00752944" w:rsidP="007B46F5">
      <w:pPr>
        <w:pStyle w:val="SDText"/>
        <w:jc w:val="both"/>
        <w:rPr>
          <w:b/>
        </w:rPr>
      </w:pPr>
      <w:r w:rsidRPr="009E6200">
        <w:rPr>
          <w:b/>
        </w:rPr>
        <w:t>Условия хранения:</w:t>
      </w:r>
    </w:p>
    <w:p w14:paraId="1F8652E9" w14:textId="77777777" w:rsidR="003620CD" w:rsidRPr="009E6200" w:rsidRDefault="003620CD" w:rsidP="007B46F5">
      <w:pPr>
        <w:pStyle w:val="SDText"/>
        <w:jc w:val="both"/>
      </w:pPr>
      <w:r w:rsidRPr="009E6200">
        <w:t>Хранить при температуре 2–8°</w:t>
      </w:r>
      <w:r w:rsidRPr="009E6200">
        <w:rPr>
          <w:lang w:val="en-US"/>
        </w:rPr>
        <w:t>C</w:t>
      </w:r>
      <w:r w:rsidRPr="009E6200">
        <w:t xml:space="preserve"> в защищенном от света месте.</w:t>
      </w:r>
    </w:p>
    <w:p w14:paraId="7F27790D" w14:textId="77777777" w:rsidR="003620CD" w:rsidRPr="009E6200" w:rsidRDefault="003620CD" w:rsidP="007B46F5">
      <w:pPr>
        <w:pStyle w:val="SDText"/>
        <w:jc w:val="both"/>
      </w:pPr>
      <w:r w:rsidRPr="009E6200">
        <w:t>Не замораживать</w:t>
      </w:r>
    </w:p>
    <w:p w14:paraId="285BE1B5" w14:textId="198C0FE6" w:rsidR="003620CD" w:rsidRPr="009E6200" w:rsidRDefault="003620CD" w:rsidP="007B46F5">
      <w:pPr>
        <w:pStyle w:val="SDText"/>
        <w:jc w:val="both"/>
      </w:pPr>
      <w:r w:rsidRPr="009E6200">
        <w:t>Хранить в недоступном для детей месте.</w:t>
      </w:r>
    </w:p>
    <w:p w14:paraId="549A0DFA" w14:textId="77777777" w:rsidR="00E27DD9" w:rsidRDefault="00E27DD9" w:rsidP="007B46F5">
      <w:pPr>
        <w:pStyle w:val="SDText"/>
        <w:jc w:val="both"/>
        <w:rPr>
          <w:b/>
        </w:rPr>
      </w:pPr>
    </w:p>
    <w:p w14:paraId="67EEAB80" w14:textId="6D96FDF8" w:rsidR="006B3830" w:rsidRPr="009E6200" w:rsidRDefault="006B3830" w:rsidP="007B46F5">
      <w:pPr>
        <w:pStyle w:val="SDText"/>
        <w:jc w:val="both"/>
        <w:rPr>
          <w:b/>
        </w:rPr>
      </w:pPr>
      <w:r w:rsidRPr="009E6200">
        <w:rPr>
          <w:b/>
        </w:rPr>
        <w:t>Срок годности:</w:t>
      </w:r>
    </w:p>
    <w:p w14:paraId="4A364A08" w14:textId="7EC3EBB0" w:rsidR="006B3830" w:rsidRDefault="006B3830" w:rsidP="007B46F5">
      <w:pPr>
        <w:pStyle w:val="SDText"/>
        <w:jc w:val="both"/>
      </w:pPr>
      <w:r w:rsidRPr="009E6200">
        <w:t>2 года. Не применять препарат после истечения срока годности, указанного на упаковке.</w:t>
      </w:r>
    </w:p>
    <w:p w14:paraId="3D35AD9B" w14:textId="77777777" w:rsidR="00E27DD9" w:rsidRPr="009E6200" w:rsidRDefault="00E27DD9" w:rsidP="007B46F5">
      <w:pPr>
        <w:pStyle w:val="SDText"/>
        <w:jc w:val="both"/>
      </w:pPr>
    </w:p>
    <w:p w14:paraId="1FC2EA67" w14:textId="77777777" w:rsidR="00752944" w:rsidRPr="00E27DD9" w:rsidRDefault="006B3830" w:rsidP="007B46F5">
      <w:pPr>
        <w:pStyle w:val="Heading3"/>
        <w:spacing w:before="0" w:after="0" w:line="240" w:lineRule="auto"/>
        <w:ind w:left="709" w:hanging="709"/>
        <w:jc w:val="both"/>
        <w:rPr>
          <w:color w:val="auto"/>
          <w:sz w:val="24"/>
        </w:rPr>
      </w:pPr>
      <w:bookmarkStart w:id="178" w:name="_Toc120865278"/>
      <w:r w:rsidRPr="00E27DD9">
        <w:rPr>
          <w:color w:val="auto"/>
          <w:sz w:val="24"/>
        </w:rPr>
        <w:t>Препарат с</w:t>
      </w:r>
      <w:r w:rsidR="003620CD" w:rsidRPr="00E27DD9">
        <w:rPr>
          <w:color w:val="auto"/>
          <w:sz w:val="24"/>
        </w:rPr>
        <w:t>опутствующ</w:t>
      </w:r>
      <w:r w:rsidRPr="00E27DD9">
        <w:rPr>
          <w:color w:val="auto"/>
          <w:sz w:val="24"/>
        </w:rPr>
        <w:t>ей</w:t>
      </w:r>
      <w:r w:rsidR="003620CD" w:rsidRPr="00E27DD9">
        <w:rPr>
          <w:color w:val="auto"/>
          <w:sz w:val="24"/>
        </w:rPr>
        <w:t xml:space="preserve"> химиотерап</w:t>
      </w:r>
      <w:r w:rsidRPr="00E27DD9">
        <w:rPr>
          <w:color w:val="auto"/>
          <w:sz w:val="24"/>
        </w:rPr>
        <w:t>ии: паклитаксел</w:t>
      </w:r>
      <w:bookmarkEnd w:id="178"/>
    </w:p>
    <w:p w14:paraId="27F2EBB5" w14:textId="77777777" w:rsidR="00E27DD9" w:rsidRDefault="00E27DD9" w:rsidP="007B46F5">
      <w:pPr>
        <w:pStyle w:val="SDText"/>
        <w:jc w:val="both"/>
        <w:rPr>
          <w:b/>
          <w:i/>
        </w:rPr>
      </w:pPr>
    </w:p>
    <w:p w14:paraId="13A72E90" w14:textId="379D487E" w:rsidR="003620CD" w:rsidRPr="009E6200" w:rsidRDefault="003620CD" w:rsidP="007B46F5">
      <w:pPr>
        <w:pStyle w:val="SDText"/>
        <w:jc w:val="both"/>
      </w:pPr>
      <w:r w:rsidRPr="009E6200">
        <w:rPr>
          <w:b/>
          <w:i/>
        </w:rPr>
        <w:t>МНН:</w:t>
      </w:r>
      <w:r w:rsidRPr="009E6200">
        <w:t xml:space="preserve"> паклитаксел</w:t>
      </w:r>
    </w:p>
    <w:p w14:paraId="3D1FE09F" w14:textId="77777777" w:rsidR="00E27DD9" w:rsidRDefault="00E27DD9" w:rsidP="007B46F5">
      <w:pPr>
        <w:pStyle w:val="SDText"/>
        <w:jc w:val="both"/>
        <w:rPr>
          <w:b/>
          <w:i/>
        </w:rPr>
      </w:pPr>
    </w:p>
    <w:p w14:paraId="0FB2062F" w14:textId="705662F9" w:rsidR="003620CD" w:rsidRPr="009E6200" w:rsidRDefault="003620CD" w:rsidP="007B46F5">
      <w:pPr>
        <w:pStyle w:val="SDText"/>
        <w:jc w:val="both"/>
      </w:pPr>
      <w:r w:rsidRPr="009E6200">
        <w:rPr>
          <w:b/>
          <w:i/>
        </w:rPr>
        <w:t>Лекарственная форма:</w:t>
      </w:r>
      <w:r w:rsidRPr="009E6200">
        <w:t xml:space="preserve"> концентрат для приготовления раствора дли инфузий</w:t>
      </w:r>
    </w:p>
    <w:p w14:paraId="7FA01938" w14:textId="77777777" w:rsidR="00E27DD9" w:rsidRDefault="00E27DD9" w:rsidP="007B46F5">
      <w:pPr>
        <w:pStyle w:val="SDText"/>
        <w:jc w:val="both"/>
        <w:rPr>
          <w:b/>
          <w:i/>
        </w:rPr>
      </w:pPr>
    </w:p>
    <w:p w14:paraId="3BA3F192" w14:textId="3C07504B" w:rsidR="003620CD" w:rsidRPr="009E6200" w:rsidRDefault="003620CD" w:rsidP="007B46F5">
      <w:pPr>
        <w:pStyle w:val="SDText"/>
        <w:jc w:val="both"/>
        <w:rPr>
          <w:b/>
          <w:i/>
        </w:rPr>
      </w:pPr>
      <w:r w:rsidRPr="009E6200">
        <w:rPr>
          <w:b/>
          <w:i/>
        </w:rPr>
        <w:t>Состав:</w:t>
      </w:r>
    </w:p>
    <w:p w14:paraId="1B77463B" w14:textId="77777777" w:rsidR="003620CD" w:rsidRPr="009E6200" w:rsidRDefault="003620CD" w:rsidP="007B46F5">
      <w:pPr>
        <w:pStyle w:val="SDText"/>
        <w:jc w:val="both"/>
        <w:rPr>
          <w:lang w:eastAsia="ru-RU"/>
        </w:rPr>
      </w:pPr>
      <w:r w:rsidRPr="009E6200">
        <w:rPr>
          <w:lang w:eastAsia="ru-RU"/>
        </w:rPr>
        <w:t xml:space="preserve">1 </w:t>
      </w:r>
      <w:r w:rsidR="00D53E3E" w:rsidRPr="009E6200">
        <w:rPr>
          <w:lang w:eastAsia="ru-RU"/>
        </w:rPr>
        <w:t>мл</w:t>
      </w:r>
      <w:r w:rsidRPr="009E6200">
        <w:rPr>
          <w:lang w:eastAsia="ru-RU"/>
        </w:rPr>
        <w:t xml:space="preserve"> содержит:</w:t>
      </w:r>
    </w:p>
    <w:p w14:paraId="49CE1741" w14:textId="77777777" w:rsidR="003620CD" w:rsidRPr="009E6200" w:rsidRDefault="00D53E3E" w:rsidP="007B46F5">
      <w:pPr>
        <w:pStyle w:val="SDText"/>
        <w:jc w:val="both"/>
        <w:rPr>
          <w:lang w:eastAsia="ru-RU"/>
        </w:rPr>
      </w:pPr>
      <w:r w:rsidRPr="009E6200">
        <w:rPr>
          <w:lang w:eastAsia="ru-RU"/>
        </w:rPr>
        <w:t>Действующее</w:t>
      </w:r>
      <w:r w:rsidR="003620CD" w:rsidRPr="009E6200">
        <w:rPr>
          <w:lang w:eastAsia="ru-RU"/>
        </w:rPr>
        <w:t xml:space="preserve"> вещество: </w:t>
      </w:r>
      <w:r w:rsidRPr="009E6200">
        <w:t>паклитаксел (полусинтетический)</w:t>
      </w:r>
      <w:r w:rsidRPr="009E6200">
        <w:rPr>
          <w:lang w:eastAsia="ru-RU"/>
        </w:rPr>
        <w:t xml:space="preserve"> – 6 мг</w:t>
      </w:r>
    </w:p>
    <w:p w14:paraId="025EFFF2" w14:textId="77777777" w:rsidR="003620CD" w:rsidRPr="009E6200" w:rsidRDefault="003620CD" w:rsidP="007B46F5">
      <w:pPr>
        <w:pStyle w:val="SDText"/>
        <w:jc w:val="both"/>
        <w:rPr>
          <w:lang w:eastAsia="ru-RU"/>
        </w:rPr>
      </w:pPr>
      <w:r w:rsidRPr="009E6200">
        <w:rPr>
          <w:lang w:eastAsia="ru-RU"/>
        </w:rPr>
        <w:t xml:space="preserve">вспомогательные вещества: </w:t>
      </w:r>
      <w:r w:rsidR="00D53E3E" w:rsidRPr="009E6200">
        <w:rPr>
          <w:rFonts w:cs="Times New Roman"/>
          <w:lang w:eastAsia="ru-RU"/>
        </w:rPr>
        <w:t>лимонная кислота безводная – 0,5 мг, этанол – 0,5 мг, макрогола глицерилрицинолеат – до 1 мл.</w:t>
      </w:r>
    </w:p>
    <w:p w14:paraId="4EE4D945" w14:textId="77777777" w:rsidR="00E27DD9" w:rsidRDefault="00E27DD9" w:rsidP="007B46F5">
      <w:pPr>
        <w:pStyle w:val="SDText"/>
        <w:jc w:val="both"/>
        <w:rPr>
          <w:b/>
          <w:i/>
        </w:rPr>
      </w:pPr>
    </w:p>
    <w:p w14:paraId="118D8689" w14:textId="6354FFC3" w:rsidR="003620CD" w:rsidRPr="009E6200" w:rsidRDefault="003620CD" w:rsidP="007B46F5">
      <w:pPr>
        <w:pStyle w:val="SDText"/>
        <w:jc w:val="both"/>
      </w:pPr>
      <w:r w:rsidRPr="009E6200">
        <w:rPr>
          <w:b/>
          <w:i/>
        </w:rPr>
        <w:t>Описание:</w:t>
      </w:r>
      <w:r w:rsidRPr="009E6200">
        <w:t xml:space="preserve"> </w:t>
      </w:r>
      <w:r w:rsidR="00D53E3E" w:rsidRPr="009E6200">
        <w:rPr>
          <w:lang w:eastAsia="ru-RU"/>
        </w:rPr>
        <w:t>маслянистая прозрачная бесцветная или желтоватая жидкость.</w:t>
      </w:r>
    </w:p>
    <w:p w14:paraId="270BEE14" w14:textId="77777777" w:rsidR="00E27DD9" w:rsidRDefault="00E27DD9" w:rsidP="007B46F5">
      <w:pPr>
        <w:pStyle w:val="SDText"/>
        <w:jc w:val="both"/>
        <w:rPr>
          <w:b/>
          <w:i/>
        </w:rPr>
      </w:pPr>
    </w:p>
    <w:p w14:paraId="7D6F0245" w14:textId="33A39EB2" w:rsidR="003620CD" w:rsidRPr="009E6200" w:rsidRDefault="003620CD" w:rsidP="007B46F5">
      <w:pPr>
        <w:pStyle w:val="SDText"/>
        <w:jc w:val="both"/>
      </w:pPr>
      <w:r w:rsidRPr="009E6200">
        <w:rPr>
          <w:b/>
          <w:i/>
        </w:rPr>
        <w:t>Путь введения:</w:t>
      </w:r>
      <w:r w:rsidRPr="009E6200">
        <w:t xml:space="preserve"> Препарат вводят </w:t>
      </w:r>
      <w:r w:rsidR="006B3830" w:rsidRPr="009E6200">
        <w:t>путем внутривенных инфузий.</w:t>
      </w:r>
    </w:p>
    <w:p w14:paraId="1661E8D2" w14:textId="77777777" w:rsidR="00E27DD9" w:rsidRDefault="00E27DD9" w:rsidP="007B46F5">
      <w:pPr>
        <w:pStyle w:val="SDText"/>
        <w:jc w:val="both"/>
        <w:rPr>
          <w:b/>
          <w:i/>
        </w:rPr>
      </w:pPr>
    </w:p>
    <w:p w14:paraId="26B7135E" w14:textId="70520A4C" w:rsidR="003620CD" w:rsidRPr="009E6200" w:rsidRDefault="003620CD" w:rsidP="007B46F5">
      <w:pPr>
        <w:pStyle w:val="SDText"/>
        <w:jc w:val="both"/>
        <w:rPr>
          <w:b/>
          <w:i/>
        </w:rPr>
      </w:pPr>
      <w:r w:rsidRPr="009E6200">
        <w:rPr>
          <w:b/>
          <w:i/>
        </w:rPr>
        <w:t>Форма выпуска:</w:t>
      </w:r>
    </w:p>
    <w:p w14:paraId="586ED231" w14:textId="77777777" w:rsidR="006B3830" w:rsidRPr="009E6200" w:rsidRDefault="006B3830" w:rsidP="007B46F5">
      <w:pPr>
        <w:pStyle w:val="SDText"/>
        <w:jc w:val="both"/>
      </w:pPr>
      <w:r w:rsidRPr="009E6200">
        <w:t>Концентрат для приготовления раствора для инфузий, 6 мг/мл.</w:t>
      </w:r>
    </w:p>
    <w:p w14:paraId="348E817F" w14:textId="77777777" w:rsidR="007D135F" w:rsidRPr="009C3BB2" w:rsidRDefault="007D135F" w:rsidP="007B46F5">
      <w:pPr>
        <w:jc w:val="both"/>
        <w:rPr>
          <w:rFonts w:cs="Times New Roman"/>
          <w:szCs w:val="24"/>
        </w:rPr>
      </w:pPr>
      <w:r w:rsidRPr="009C3BB2">
        <w:rPr>
          <w:rFonts w:cs="Times New Roman"/>
          <w:szCs w:val="24"/>
        </w:rPr>
        <w:t>По 5 мл, 16,7 мл, 25 мл, 35 мл, 43,33 мл или 50 мл во флаконы соответствующего объема из бесцветного стекла, укупоренные пробками из бромбутилкаучука или другой резины и обкатанные колпачками алюминиевыми или комбинированными, или алюмопластиковыми, или алюминиевыми с полимерной насадкой или крышкой с контролем первого вскрытия или без. Допускается покрытие флаконов прозрачной пленкой из п/э.</w:t>
      </w:r>
    </w:p>
    <w:p w14:paraId="2E8281DC" w14:textId="54939305" w:rsidR="006B3830" w:rsidRPr="009E6200" w:rsidRDefault="007D135F" w:rsidP="007B46F5">
      <w:pPr>
        <w:pStyle w:val="SDText"/>
        <w:jc w:val="both"/>
      </w:pPr>
      <w:r w:rsidRPr="009C3BB2">
        <w:rPr>
          <w:rFonts w:cs="Times New Roman"/>
          <w:szCs w:val="24"/>
        </w:rPr>
        <w:t>По 1 флакону вместе с инструкцией по примене</w:t>
      </w:r>
      <w:r>
        <w:rPr>
          <w:rFonts w:cs="Times New Roman"/>
          <w:szCs w:val="24"/>
        </w:rPr>
        <w:t>нию помещают в пачку из картона</w:t>
      </w:r>
      <w:r w:rsidR="006B3830" w:rsidRPr="009E6200">
        <w:t>.</w:t>
      </w:r>
    </w:p>
    <w:p w14:paraId="77449C24" w14:textId="77777777" w:rsidR="00E27DD9" w:rsidRDefault="00E27DD9" w:rsidP="007B46F5">
      <w:pPr>
        <w:pStyle w:val="SDText"/>
        <w:jc w:val="both"/>
        <w:rPr>
          <w:b/>
        </w:rPr>
      </w:pPr>
    </w:p>
    <w:p w14:paraId="65400F37" w14:textId="7A42FF2F" w:rsidR="003620CD" w:rsidRPr="009E6200" w:rsidRDefault="003620CD" w:rsidP="007B46F5">
      <w:pPr>
        <w:pStyle w:val="SDText"/>
        <w:jc w:val="both"/>
        <w:rPr>
          <w:b/>
        </w:rPr>
      </w:pPr>
      <w:r w:rsidRPr="009E6200">
        <w:rPr>
          <w:b/>
        </w:rPr>
        <w:t>Условия хранения:</w:t>
      </w:r>
    </w:p>
    <w:p w14:paraId="65948D11" w14:textId="77777777" w:rsidR="003620CD" w:rsidRPr="009E6200" w:rsidRDefault="003620CD" w:rsidP="007B46F5">
      <w:pPr>
        <w:pStyle w:val="SDText"/>
        <w:jc w:val="both"/>
      </w:pPr>
      <w:r w:rsidRPr="009E6200">
        <w:t>Хранить</w:t>
      </w:r>
      <w:r w:rsidR="006B3830" w:rsidRPr="009E6200">
        <w:t xml:space="preserve"> в защищенном от света месте при температуре не выше 25</w:t>
      </w:r>
      <w:r w:rsidRPr="009E6200">
        <w:t>°</w:t>
      </w:r>
      <w:r w:rsidRPr="009E6200">
        <w:rPr>
          <w:lang w:val="en-US"/>
        </w:rPr>
        <w:t>C</w:t>
      </w:r>
      <w:r w:rsidR="006B3830" w:rsidRPr="009E6200">
        <w:t>.</w:t>
      </w:r>
    </w:p>
    <w:p w14:paraId="0EF4A816" w14:textId="77777777" w:rsidR="003620CD" w:rsidRPr="009E6200" w:rsidRDefault="003620CD" w:rsidP="007B46F5">
      <w:pPr>
        <w:pStyle w:val="SDText"/>
        <w:jc w:val="both"/>
      </w:pPr>
      <w:r w:rsidRPr="009E6200">
        <w:t>Хранить в недоступном для детей месте.</w:t>
      </w:r>
    </w:p>
    <w:p w14:paraId="109D1DE8" w14:textId="77777777" w:rsidR="00E27DD9" w:rsidRDefault="00E27DD9" w:rsidP="007B46F5">
      <w:pPr>
        <w:pStyle w:val="SDText"/>
        <w:jc w:val="both"/>
        <w:rPr>
          <w:b/>
        </w:rPr>
      </w:pPr>
    </w:p>
    <w:p w14:paraId="5AE0FE7A" w14:textId="0FE2F351" w:rsidR="006B3830" w:rsidRPr="009E6200" w:rsidRDefault="006B3830" w:rsidP="007B46F5">
      <w:pPr>
        <w:pStyle w:val="SDText"/>
        <w:jc w:val="both"/>
        <w:rPr>
          <w:b/>
        </w:rPr>
      </w:pPr>
      <w:r w:rsidRPr="009E6200">
        <w:rPr>
          <w:b/>
        </w:rPr>
        <w:t>Срок годности:</w:t>
      </w:r>
    </w:p>
    <w:p w14:paraId="048F67CA" w14:textId="77777777" w:rsidR="006B3830" w:rsidRPr="009E6200" w:rsidRDefault="006B3830" w:rsidP="007B46F5">
      <w:pPr>
        <w:pStyle w:val="SDText"/>
        <w:jc w:val="both"/>
      </w:pPr>
      <w:r w:rsidRPr="009E6200">
        <w:t>2 года. Не применять препарат после истечения срока годности, указанного на упаковке.</w:t>
      </w:r>
    </w:p>
    <w:p w14:paraId="7E0B495C" w14:textId="77777777" w:rsidR="00E27DD9" w:rsidRDefault="00E27DD9" w:rsidP="007B46F5">
      <w:pPr>
        <w:pStyle w:val="SDText"/>
        <w:jc w:val="both"/>
        <w:rPr>
          <w:b/>
        </w:rPr>
      </w:pPr>
    </w:p>
    <w:p w14:paraId="0C8D5F37" w14:textId="710F9670" w:rsidR="006B3830" w:rsidRPr="009E6200" w:rsidRDefault="006B3830" w:rsidP="007B46F5">
      <w:pPr>
        <w:pStyle w:val="SDText"/>
        <w:jc w:val="both"/>
        <w:rPr>
          <w:b/>
        </w:rPr>
      </w:pPr>
      <w:r w:rsidRPr="009E6200">
        <w:rPr>
          <w:b/>
        </w:rPr>
        <w:t>Условия отпуска</w:t>
      </w:r>
    </w:p>
    <w:p w14:paraId="268A889D" w14:textId="63A14AAA" w:rsidR="006B3830" w:rsidRDefault="006B3830" w:rsidP="007B46F5">
      <w:pPr>
        <w:pStyle w:val="SDText"/>
        <w:jc w:val="both"/>
      </w:pPr>
      <w:r w:rsidRPr="009E6200">
        <w:t>По рецепту</w:t>
      </w:r>
    </w:p>
    <w:p w14:paraId="3DBA3A05" w14:textId="77777777" w:rsidR="00E27DD9" w:rsidRPr="009E6200" w:rsidRDefault="00E27DD9" w:rsidP="007B46F5">
      <w:pPr>
        <w:pStyle w:val="SDText"/>
        <w:jc w:val="both"/>
      </w:pPr>
    </w:p>
    <w:p w14:paraId="2BA7BB63" w14:textId="67D9B44A" w:rsidR="006B3830" w:rsidRDefault="006B3830" w:rsidP="007B46F5">
      <w:pPr>
        <w:pStyle w:val="Heading3"/>
        <w:spacing w:before="0" w:after="0" w:line="240" w:lineRule="auto"/>
        <w:ind w:left="709" w:hanging="709"/>
        <w:jc w:val="both"/>
        <w:rPr>
          <w:color w:val="auto"/>
          <w:sz w:val="24"/>
        </w:rPr>
      </w:pPr>
      <w:bookmarkStart w:id="179" w:name="_Toc120865279"/>
      <w:r w:rsidRPr="00E27DD9">
        <w:rPr>
          <w:color w:val="auto"/>
          <w:sz w:val="24"/>
        </w:rPr>
        <w:t>Препарат сопутствующей химиотерапии: карбоплатин</w:t>
      </w:r>
      <w:bookmarkEnd w:id="179"/>
    </w:p>
    <w:p w14:paraId="25E6758B" w14:textId="77777777" w:rsidR="00E27DD9" w:rsidRPr="00E27DD9" w:rsidRDefault="00E27DD9" w:rsidP="007B46F5">
      <w:pPr>
        <w:pStyle w:val="SDText"/>
        <w:rPr>
          <w:lang w:eastAsia="ru-RU"/>
        </w:rPr>
      </w:pPr>
    </w:p>
    <w:p w14:paraId="5CCCA253" w14:textId="77777777" w:rsidR="006B3830" w:rsidRPr="009E6200" w:rsidRDefault="006B3830" w:rsidP="007B46F5">
      <w:pPr>
        <w:pStyle w:val="SDText"/>
        <w:jc w:val="both"/>
      </w:pPr>
      <w:r w:rsidRPr="009E6200">
        <w:rPr>
          <w:b/>
          <w:i/>
        </w:rPr>
        <w:t>МНН:</w:t>
      </w:r>
      <w:r w:rsidRPr="009E6200">
        <w:t xml:space="preserve"> карбоплатин</w:t>
      </w:r>
    </w:p>
    <w:p w14:paraId="311181F8" w14:textId="77777777" w:rsidR="00E27DD9" w:rsidRDefault="00E27DD9" w:rsidP="007B46F5">
      <w:pPr>
        <w:pStyle w:val="SDText"/>
        <w:jc w:val="both"/>
        <w:rPr>
          <w:b/>
          <w:i/>
        </w:rPr>
      </w:pPr>
    </w:p>
    <w:p w14:paraId="317C306E" w14:textId="437D1814" w:rsidR="006B3830" w:rsidRPr="009E6200" w:rsidRDefault="006B3830" w:rsidP="007B46F5">
      <w:pPr>
        <w:pStyle w:val="SDText"/>
        <w:jc w:val="both"/>
      </w:pPr>
      <w:r w:rsidRPr="009E6200">
        <w:rPr>
          <w:b/>
          <w:i/>
        </w:rPr>
        <w:t>Лекарственная форма:</w:t>
      </w:r>
      <w:r w:rsidRPr="009E6200">
        <w:t xml:space="preserve"> концентрат для приготовления раствора дли инфузий</w:t>
      </w:r>
    </w:p>
    <w:p w14:paraId="31B2EAED" w14:textId="77777777" w:rsidR="00E27DD9" w:rsidRDefault="00E27DD9" w:rsidP="007B46F5">
      <w:pPr>
        <w:pStyle w:val="SDText"/>
        <w:jc w:val="both"/>
        <w:rPr>
          <w:b/>
          <w:i/>
        </w:rPr>
      </w:pPr>
    </w:p>
    <w:p w14:paraId="045AC37B" w14:textId="2612938A" w:rsidR="006B3830" w:rsidRPr="009E6200" w:rsidRDefault="006B3830" w:rsidP="007B46F5">
      <w:pPr>
        <w:pStyle w:val="SDText"/>
        <w:jc w:val="both"/>
        <w:rPr>
          <w:b/>
          <w:i/>
        </w:rPr>
      </w:pPr>
      <w:r w:rsidRPr="009E6200">
        <w:rPr>
          <w:b/>
          <w:i/>
        </w:rPr>
        <w:t>Состав:</w:t>
      </w:r>
    </w:p>
    <w:p w14:paraId="2909FF28" w14:textId="77777777" w:rsidR="006B3830" w:rsidRPr="009E6200" w:rsidRDefault="006B3830" w:rsidP="007B46F5">
      <w:pPr>
        <w:pStyle w:val="SDText"/>
        <w:jc w:val="both"/>
        <w:rPr>
          <w:lang w:eastAsia="ru-RU"/>
        </w:rPr>
      </w:pPr>
      <w:r w:rsidRPr="009E6200">
        <w:rPr>
          <w:lang w:eastAsia="ru-RU"/>
        </w:rPr>
        <w:t>1 мл содержит:</w:t>
      </w:r>
    </w:p>
    <w:p w14:paraId="7F8E6137" w14:textId="77777777" w:rsidR="006B3830" w:rsidRPr="009E6200" w:rsidRDefault="006B3830" w:rsidP="007B46F5">
      <w:pPr>
        <w:pStyle w:val="SDText"/>
        <w:jc w:val="both"/>
        <w:rPr>
          <w:lang w:eastAsia="ru-RU"/>
        </w:rPr>
      </w:pPr>
      <w:r w:rsidRPr="009E6200">
        <w:rPr>
          <w:lang w:eastAsia="ru-RU"/>
        </w:rPr>
        <w:t xml:space="preserve">Действующее вещество: </w:t>
      </w:r>
      <w:r w:rsidRPr="009E6200">
        <w:t>карбоплатин (в перерасчете на 100% вещество)</w:t>
      </w:r>
      <w:r w:rsidRPr="009E6200">
        <w:rPr>
          <w:lang w:eastAsia="ru-RU"/>
        </w:rPr>
        <w:t xml:space="preserve"> – 10,0 мг</w:t>
      </w:r>
    </w:p>
    <w:p w14:paraId="14348A52" w14:textId="77777777" w:rsidR="006B3830" w:rsidRPr="009E6200" w:rsidRDefault="006B3830" w:rsidP="007B46F5">
      <w:pPr>
        <w:pStyle w:val="SDText"/>
        <w:jc w:val="both"/>
        <w:rPr>
          <w:lang w:eastAsia="ru-RU"/>
        </w:rPr>
      </w:pPr>
      <w:r w:rsidRPr="009E6200">
        <w:rPr>
          <w:lang w:eastAsia="ru-RU"/>
        </w:rPr>
        <w:t xml:space="preserve">Вспомогательное вещество: </w:t>
      </w:r>
      <w:r w:rsidRPr="009E6200">
        <w:rPr>
          <w:rFonts w:cs="Times New Roman"/>
          <w:lang w:eastAsia="ru-RU"/>
        </w:rPr>
        <w:t>вода для инъекций до 1 мл.</w:t>
      </w:r>
    </w:p>
    <w:p w14:paraId="32AD6D44" w14:textId="77777777" w:rsidR="00E27DD9" w:rsidRDefault="00E27DD9" w:rsidP="007B46F5">
      <w:pPr>
        <w:pStyle w:val="SDText"/>
        <w:jc w:val="both"/>
        <w:rPr>
          <w:b/>
          <w:i/>
        </w:rPr>
      </w:pPr>
    </w:p>
    <w:p w14:paraId="3EAB31B3" w14:textId="0DE20383" w:rsidR="006B3830" w:rsidRPr="009E6200" w:rsidRDefault="006B3830" w:rsidP="007B46F5">
      <w:pPr>
        <w:pStyle w:val="SDText"/>
        <w:jc w:val="both"/>
      </w:pPr>
      <w:r w:rsidRPr="009E6200">
        <w:rPr>
          <w:b/>
          <w:i/>
        </w:rPr>
        <w:t>Описание:</w:t>
      </w:r>
      <w:r w:rsidRPr="009E6200">
        <w:t xml:space="preserve"> </w:t>
      </w:r>
      <w:r w:rsidRPr="009E6200">
        <w:rPr>
          <w:lang w:eastAsia="ru-RU"/>
        </w:rPr>
        <w:t>прозрачный раствор от бесцветного до светло-желтого цвета.</w:t>
      </w:r>
    </w:p>
    <w:p w14:paraId="0B1036A3" w14:textId="77777777" w:rsidR="00E27DD9" w:rsidRDefault="00E27DD9" w:rsidP="007B46F5">
      <w:pPr>
        <w:pStyle w:val="SDText"/>
        <w:jc w:val="both"/>
        <w:rPr>
          <w:b/>
          <w:i/>
        </w:rPr>
      </w:pPr>
    </w:p>
    <w:p w14:paraId="489E6590" w14:textId="6E2B37FF" w:rsidR="006B3830" w:rsidRPr="009E6200" w:rsidRDefault="006B3830" w:rsidP="007B46F5">
      <w:pPr>
        <w:pStyle w:val="SDText"/>
        <w:jc w:val="both"/>
      </w:pPr>
      <w:r w:rsidRPr="009E6200">
        <w:rPr>
          <w:b/>
          <w:i/>
        </w:rPr>
        <w:t>Путь введения:</w:t>
      </w:r>
      <w:r w:rsidRPr="009E6200">
        <w:t xml:space="preserve"> Препарат вводят только внутривенно капельно.</w:t>
      </w:r>
    </w:p>
    <w:p w14:paraId="06655377" w14:textId="77777777" w:rsidR="00E27DD9" w:rsidRDefault="00E27DD9" w:rsidP="007B46F5">
      <w:pPr>
        <w:pStyle w:val="SDText"/>
        <w:jc w:val="both"/>
        <w:rPr>
          <w:b/>
          <w:i/>
        </w:rPr>
      </w:pPr>
    </w:p>
    <w:p w14:paraId="7FAB0E5D" w14:textId="24BD1F45" w:rsidR="006B3830" w:rsidRPr="009E6200" w:rsidRDefault="006B3830" w:rsidP="007B46F5">
      <w:pPr>
        <w:pStyle w:val="SDText"/>
        <w:jc w:val="both"/>
        <w:rPr>
          <w:b/>
          <w:i/>
        </w:rPr>
      </w:pPr>
      <w:r w:rsidRPr="009E6200">
        <w:rPr>
          <w:b/>
          <w:i/>
        </w:rPr>
        <w:t>Форма выпуска:</w:t>
      </w:r>
    </w:p>
    <w:p w14:paraId="605309CF" w14:textId="2240CCB6" w:rsidR="006B3830" w:rsidRDefault="006B3830" w:rsidP="007B46F5">
      <w:pPr>
        <w:pStyle w:val="SDText"/>
        <w:jc w:val="both"/>
      </w:pPr>
      <w:r w:rsidRPr="009E6200">
        <w:t>Концентрат для приготовления раствора для инфузий 10 мг/мл.</w:t>
      </w:r>
    </w:p>
    <w:p w14:paraId="5464C37D" w14:textId="77777777" w:rsidR="007D135F" w:rsidRPr="00B43258" w:rsidRDefault="007D135F" w:rsidP="007B46F5">
      <w:pPr>
        <w:jc w:val="both"/>
        <w:rPr>
          <w:rFonts w:cs="Times New Roman"/>
          <w:szCs w:val="24"/>
        </w:rPr>
      </w:pPr>
      <w:r w:rsidRPr="007D135F">
        <w:rPr>
          <w:rFonts w:cs="Times New Roman"/>
          <w:i/>
          <w:szCs w:val="24"/>
        </w:rPr>
        <w:t>Первичная упаковка лекарственного препарата</w:t>
      </w:r>
      <w:r w:rsidRPr="00B43258">
        <w:rPr>
          <w:rFonts w:cs="Times New Roman"/>
          <w:szCs w:val="24"/>
        </w:rPr>
        <w:t>. По 5 мл, 15 мл, 25 мл, 45 мл или 60 мл препарата в стеклянные флаконы типа 1, герметично укупоренные пробками из бромбутиловой, хлорбутиловой или другой резины, и закрытые алюминиевыми колпачками типа «flip-off» или алюминиевыми колпачками с защитными полимерными крышками/дисками. На каждый флакон наклеивают этикетки из бумаги этикеточной или писчей или из полимерных материалов, самоклеящиеся. Допускается покрытие флаконов прозрачной пленкой из п/э.</w:t>
      </w:r>
    </w:p>
    <w:p w14:paraId="38AC7B16" w14:textId="77777777" w:rsidR="007D135F" w:rsidRPr="00B43258" w:rsidRDefault="007D135F" w:rsidP="007B46F5">
      <w:pPr>
        <w:jc w:val="both"/>
        <w:rPr>
          <w:rFonts w:cs="Times New Roman"/>
          <w:szCs w:val="24"/>
        </w:rPr>
      </w:pPr>
      <w:r w:rsidRPr="007D135F">
        <w:rPr>
          <w:rFonts w:cs="Times New Roman"/>
          <w:i/>
          <w:szCs w:val="24"/>
        </w:rPr>
        <w:t>Вторичная упаковка лекарственного препарата.</w:t>
      </w:r>
      <w:r w:rsidRPr="00B43258">
        <w:rPr>
          <w:rFonts w:cs="Times New Roman"/>
          <w:szCs w:val="24"/>
        </w:rPr>
        <w:t xml:space="preserve"> По 1 флакону с препаратом вместе с инструкцией по применению помещают в пачку из картона для потребительской тары.</w:t>
      </w:r>
    </w:p>
    <w:p w14:paraId="2AFA37FD" w14:textId="4BFACB51" w:rsidR="007D135F" w:rsidRPr="009E6200" w:rsidRDefault="007D135F" w:rsidP="007B46F5">
      <w:pPr>
        <w:pStyle w:val="SDText"/>
        <w:jc w:val="both"/>
      </w:pPr>
      <w:r w:rsidRPr="00B43258">
        <w:rPr>
          <w:rFonts w:cs="Times New Roman"/>
          <w:szCs w:val="24"/>
        </w:rPr>
        <w:t>Пачки помещают в групповую упаковку</w:t>
      </w:r>
    </w:p>
    <w:p w14:paraId="14B404FB" w14:textId="77777777" w:rsidR="00E27DD9" w:rsidRDefault="00E27DD9" w:rsidP="007B46F5">
      <w:pPr>
        <w:pStyle w:val="SDText"/>
        <w:jc w:val="both"/>
        <w:rPr>
          <w:b/>
        </w:rPr>
      </w:pPr>
    </w:p>
    <w:p w14:paraId="27C222FA" w14:textId="2B486E16" w:rsidR="006B3830" w:rsidRPr="009E6200" w:rsidRDefault="006B3830" w:rsidP="007B46F5">
      <w:pPr>
        <w:pStyle w:val="SDText"/>
        <w:jc w:val="both"/>
        <w:rPr>
          <w:b/>
        </w:rPr>
      </w:pPr>
      <w:r w:rsidRPr="009E6200">
        <w:rPr>
          <w:b/>
        </w:rPr>
        <w:t>Условия хранения:</w:t>
      </w:r>
    </w:p>
    <w:p w14:paraId="5DC49C1F" w14:textId="77777777" w:rsidR="006B3830" w:rsidRPr="009E6200" w:rsidRDefault="006B3830" w:rsidP="007B46F5">
      <w:pPr>
        <w:pStyle w:val="SDText"/>
        <w:jc w:val="both"/>
      </w:pPr>
      <w:r w:rsidRPr="009E6200">
        <w:t>Хранить в защищенном от света месте при температуре от 15 до 25°</w:t>
      </w:r>
      <w:r w:rsidRPr="009E6200">
        <w:rPr>
          <w:lang w:val="en-US"/>
        </w:rPr>
        <w:t>C</w:t>
      </w:r>
      <w:r w:rsidRPr="009E6200">
        <w:t>.</w:t>
      </w:r>
    </w:p>
    <w:p w14:paraId="5AA64027" w14:textId="77777777" w:rsidR="006B3830" w:rsidRPr="009E6200" w:rsidRDefault="006B3830" w:rsidP="007B46F5">
      <w:pPr>
        <w:pStyle w:val="SDText"/>
        <w:jc w:val="both"/>
      </w:pPr>
      <w:r w:rsidRPr="009E6200">
        <w:t>Хранить в недоступном для детей месте.</w:t>
      </w:r>
    </w:p>
    <w:p w14:paraId="36F811C7" w14:textId="77777777" w:rsidR="006B3830" w:rsidRPr="009E6200" w:rsidRDefault="006B3830" w:rsidP="007B46F5">
      <w:pPr>
        <w:pStyle w:val="SDText"/>
        <w:jc w:val="both"/>
      </w:pPr>
      <w:r w:rsidRPr="009E6200">
        <w:t>Не замораживать!</w:t>
      </w:r>
    </w:p>
    <w:p w14:paraId="2E418C56" w14:textId="77777777" w:rsidR="00E27DD9" w:rsidRDefault="00E27DD9" w:rsidP="007B46F5">
      <w:pPr>
        <w:pStyle w:val="SDText"/>
        <w:jc w:val="both"/>
        <w:rPr>
          <w:b/>
        </w:rPr>
      </w:pPr>
    </w:p>
    <w:p w14:paraId="65CED190" w14:textId="65BD67BC" w:rsidR="003620CD" w:rsidRPr="009E6200" w:rsidRDefault="006B3830" w:rsidP="007B46F5">
      <w:pPr>
        <w:pStyle w:val="SDText"/>
        <w:jc w:val="both"/>
        <w:rPr>
          <w:b/>
        </w:rPr>
      </w:pPr>
      <w:r w:rsidRPr="009E6200">
        <w:rPr>
          <w:b/>
        </w:rPr>
        <w:t>Срок годности:</w:t>
      </w:r>
    </w:p>
    <w:p w14:paraId="4A4A6C16" w14:textId="77777777" w:rsidR="003620CD" w:rsidRPr="009E6200" w:rsidRDefault="006B3830" w:rsidP="007B46F5">
      <w:pPr>
        <w:pStyle w:val="SDText"/>
        <w:jc w:val="both"/>
      </w:pPr>
      <w:r w:rsidRPr="009E6200">
        <w:t>2 года. Не применять препарат после истечения срока годности, указанного на упаковке.</w:t>
      </w:r>
    </w:p>
    <w:p w14:paraId="62EFCC90" w14:textId="77777777" w:rsidR="00E27DD9" w:rsidRDefault="00E27DD9" w:rsidP="007B46F5">
      <w:pPr>
        <w:pStyle w:val="SDText"/>
        <w:jc w:val="both"/>
        <w:rPr>
          <w:b/>
        </w:rPr>
      </w:pPr>
    </w:p>
    <w:p w14:paraId="24215B9D" w14:textId="66C9B348" w:rsidR="006B3830" w:rsidRPr="009E6200" w:rsidRDefault="006B3830" w:rsidP="007B46F5">
      <w:pPr>
        <w:pStyle w:val="SDText"/>
        <w:jc w:val="both"/>
        <w:rPr>
          <w:b/>
        </w:rPr>
      </w:pPr>
      <w:r w:rsidRPr="009E6200">
        <w:rPr>
          <w:b/>
        </w:rPr>
        <w:t>Условия отпуска</w:t>
      </w:r>
    </w:p>
    <w:p w14:paraId="2EC464C9" w14:textId="38E11ECD" w:rsidR="006B3830" w:rsidRDefault="006B3830" w:rsidP="007B46F5">
      <w:pPr>
        <w:pStyle w:val="SDText"/>
        <w:jc w:val="both"/>
      </w:pPr>
      <w:r w:rsidRPr="009E6200">
        <w:t>По рецепту</w:t>
      </w:r>
    </w:p>
    <w:p w14:paraId="2F67752B" w14:textId="77777777" w:rsidR="00E27DD9" w:rsidRPr="009E6200" w:rsidRDefault="00E27DD9" w:rsidP="007B46F5">
      <w:pPr>
        <w:pStyle w:val="SDText"/>
        <w:jc w:val="both"/>
      </w:pPr>
    </w:p>
    <w:p w14:paraId="3F5B4930" w14:textId="69B6676C" w:rsidR="00AF1479" w:rsidRDefault="00811339" w:rsidP="007B46F5">
      <w:pPr>
        <w:pStyle w:val="Heading2"/>
      </w:pPr>
      <w:bookmarkStart w:id="180" w:name="_Ref12623652"/>
      <w:bookmarkStart w:id="181" w:name="_Toc120865280"/>
      <w:r w:rsidRPr="009E6200">
        <w:t>Особенности использования препаратов исследования</w:t>
      </w:r>
      <w:bookmarkEnd w:id="180"/>
      <w:bookmarkEnd w:id="181"/>
    </w:p>
    <w:p w14:paraId="15AA8071" w14:textId="77777777" w:rsidR="00E27DD9" w:rsidRPr="00E27DD9" w:rsidRDefault="00E27DD9" w:rsidP="007B46F5">
      <w:pPr>
        <w:pStyle w:val="SDText"/>
        <w:rPr>
          <w:lang w:eastAsia="ru-RU"/>
        </w:rPr>
      </w:pPr>
    </w:p>
    <w:p w14:paraId="2C138BEF" w14:textId="0592701C" w:rsidR="00811339" w:rsidRPr="009E6200" w:rsidRDefault="00811339" w:rsidP="007B46F5">
      <w:pPr>
        <w:pStyle w:val="Heading3"/>
        <w:spacing w:before="0" w:after="0" w:line="240" w:lineRule="auto"/>
        <w:ind w:left="709" w:hanging="709"/>
        <w:jc w:val="both"/>
        <w:rPr>
          <w:color w:val="auto"/>
        </w:rPr>
      </w:pPr>
      <w:bookmarkStart w:id="182" w:name="_Toc120865281"/>
      <w:r w:rsidRPr="00E27DD9">
        <w:rPr>
          <w:color w:val="auto"/>
          <w:sz w:val="24"/>
        </w:rPr>
        <w:t>Премедикация</w:t>
      </w:r>
      <w:bookmarkEnd w:id="182"/>
    </w:p>
    <w:p w14:paraId="310F33EF" w14:textId="77777777" w:rsidR="00E27DD9" w:rsidRDefault="00E27DD9" w:rsidP="007B46F5">
      <w:pPr>
        <w:pStyle w:val="SDText"/>
        <w:ind w:firstLine="709"/>
        <w:jc w:val="both"/>
        <w:rPr>
          <w:lang w:eastAsia="ru-RU"/>
        </w:rPr>
      </w:pPr>
    </w:p>
    <w:p w14:paraId="04EC0CF8" w14:textId="0A4C887F" w:rsidR="002B5CAA" w:rsidRDefault="002B5CAA" w:rsidP="007B46F5">
      <w:pPr>
        <w:pStyle w:val="SDText"/>
        <w:ind w:firstLine="709"/>
        <w:jc w:val="both"/>
        <w:rPr>
          <w:lang w:eastAsia="ru-RU"/>
        </w:rPr>
      </w:pPr>
      <w:r w:rsidRPr="009E6200">
        <w:rPr>
          <w:lang w:eastAsia="ru-RU"/>
        </w:rPr>
        <w:t>При использовании исследуемого препарата и препарата сравнения премедикация не требуется</w:t>
      </w:r>
    </w:p>
    <w:p w14:paraId="351D22A4" w14:textId="77777777" w:rsidR="00E27DD9" w:rsidRPr="009E6200" w:rsidRDefault="00E27DD9" w:rsidP="007B46F5">
      <w:pPr>
        <w:pStyle w:val="SDText"/>
        <w:ind w:firstLine="709"/>
        <w:jc w:val="both"/>
        <w:rPr>
          <w:lang w:eastAsia="ru-RU"/>
        </w:rPr>
      </w:pPr>
    </w:p>
    <w:p w14:paraId="6EBA41F5" w14:textId="5C7D45F3" w:rsidR="00C26418" w:rsidRDefault="00C26418" w:rsidP="007B46F5">
      <w:pPr>
        <w:pStyle w:val="Heading3"/>
        <w:spacing w:before="0" w:after="0" w:line="240" w:lineRule="auto"/>
        <w:ind w:left="709" w:hanging="709"/>
        <w:jc w:val="both"/>
        <w:rPr>
          <w:color w:val="auto"/>
          <w:sz w:val="24"/>
        </w:rPr>
      </w:pPr>
      <w:bookmarkStart w:id="183" w:name="_Toc120865282"/>
      <w:r w:rsidRPr="00E27DD9">
        <w:rPr>
          <w:color w:val="auto"/>
          <w:sz w:val="24"/>
        </w:rPr>
        <w:t xml:space="preserve">Правила </w:t>
      </w:r>
      <w:r w:rsidR="002B5CAA" w:rsidRPr="00E27DD9">
        <w:rPr>
          <w:color w:val="auto"/>
          <w:sz w:val="24"/>
        </w:rPr>
        <w:t>введения</w:t>
      </w:r>
      <w:r w:rsidRPr="00E27DD9">
        <w:rPr>
          <w:color w:val="auto"/>
          <w:sz w:val="24"/>
        </w:rPr>
        <w:t xml:space="preserve"> исследуемого препарата и препарата сравнения</w:t>
      </w:r>
      <w:bookmarkEnd w:id="183"/>
    </w:p>
    <w:p w14:paraId="4CF16CDE" w14:textId="77777777" w:rsidR="00E27DD9" w:rsidRPr="00E27DD9" w:rsidRDefault="00E27DD9" w:rsidP="007B46F5">
      <w:pPr>
        <w:pStyle w:val="SDText"/>
        <w:rPr>
          <w:lang w:eastAsia="ru-RU"/>
        </w:rPr>
      </w:pPr>
    </w:p>
    <w:p w14:paraId="7A815939" w14:textId="6647B2A0" w:rsidR="00C26418" w:rsidRPr="009E6200" w:rsidRDefault="00162354" w:rsidP="007B46F5">
      <w:pPr>
        <w:pStyle w:val="SDText"/>
        <w:ind w:firstLine="709"/>
        <w:jc w:val="both"/>
      </w:pPr>
      <w:r w:rsidRPr="009E6200">
        <w:rPr>
          <w:lang w:eastAsia="ru-RU"/>
        </w:rPr>
        <w:t>Исследуемый препарат</w:t>
      </w:r>
      <w:r w:rsidR="00C26418" w:rsidRPr="009E6200">
        <w:rPr>
          <w:lang w:eastAsia="ru-RU"/>
        </w:rPr>
        <w:t xml:space="preserve"> </w:t>
      </w:r>
      <w:r w:rsidR="00C26418" w:rsidRPr="009E6200">
        <w:t>RPH-001 и препарат сравнения Авастин</w:t>
      </w:r>
      <w:r w:rsidR="00121FA5" w:rsidRPr="009E6200">
        <w:rPr>
          <w:vertAlign w:val="superscript"/>
        </w:rPr>
        <w:t>®</w:t>
      </w:r>
      <w:r w:rsidR="00C26418" w:rsidRPr="009E6200">
        <w:t xml:space="preserve"> вводят только в виде внутривенных капельных инфузий.</w:t>
      </w:r>
      <w:r w:rsidR="00210EE5" w:rsidRPr="009E6200">
        <w:t xml:space="preserve"> Необходимое количество </w:t>
      </w:r>
      <w:r w:rsidRPr="009E6200">
        <w:t>исследуемого препарата RPH-001</w:t>
      </w:r>
      <w:r w:rsidR="007B13CD" w:rsidRPr="009E6200">
        <w:t>/</w:t>
      </w:r>
      <w:r w:rsidR="00210EE5" w:rsidRPr="009E6200">
        <w:t>препарата Авастин</w:t>
      </w:r>
      <w:r w:rsidR="00210EE5" w:rsidRPr="009E6200">
        <w:rPr>
          <w:vertAlign w:val="superscript"/>
        </w:rPr>
        <w:t>®</w:t>
      </w:r>
      <w:r w:rsidR="00210EE5" w:rsidRPr="009E6200">
        <w:t xml:space="preserve"> разводят до требуемого объема 0,9% раствором натрия хлорида с соблюдением правил асептики. Концентрация бевацизумаба в приготовленном растворе должна находиться в пределах 1,4–16,5 мг/мл.</w:t>
      </w:r>
      <w:r w:rsidR="00C26418" w:rsidRPr="009E6200">
        <w:t xml:space="preserve"> Первую внутривенную инфузию препарата проводят в течение не менее 90 мин перед введением химиопрепаратов. Если пациент хорошо переносит первую инфузию препарата RPH-001, то последующие инфузии можно проводить сначала в течение не менее 60 мин, а все последующие сократить до 30 мин.</w:t>
      </w:r>
    </w:p>
    <w:p w14:paraId="4F48DE69" w14:textId="697BB2CB" w:rsidR="00C26418" w:rsidRDefault="00C26418" w:rsidP="007B46F5">
      <w:pPr>
        <w:pStyle w:val="SDText"/>
        <w:ind w:firstLine="709"/>
        <w:jc w:val="both"/>
      </w:pPr>
      <w:r w:rsidRPr="009E6200">
        <w:t>Нельзя вводить или смешивать препараты RPH-001 и Авастин</w:t>
      </w:r>
      <w:r w:rsidR="00121FA5" w:rsidRPr="009E6200">
        <w:rPr>
          <w:vertAlign w:val="superscript"/>
        </w:rPr>
        <w:t>®</w:t>
      </w:r>
      <w:r w:rsidRPr="009E6200">
        <w:t xml:space="preserve"> с растворами декстрозы!</w:t>
      </w:r>
    </w:p>
    <w:p w14:paraId="49870BAF" w14:textId="77777777" w:rsidR="00E27DD9" w:rsidRPr="009E6200" w:rsidRDefault="00E27DD9" w:rsidP="007B46F5">
      <w:pPr>
        <w:pStyle w:val="SDText"/>
        <w:ind w:firstLine="709"/>
        <w:jc w:val="both"/>
      </w:pPr>
    </w:p>
    <w:p w14:paraId="398941FB" w14:textId="6E0E91E4" w:rsidR="00C26418" w:rsidRDefault="00C26418" w:rsidP="007B46F5">
      <w:pPr>
        <w:pStyle w:val="Heading3"/>
        <w:spacing w:before="0" w:after="0" w:line="240" w:lineRule="auto"/>
        <w:ind w:left="709" w:hanging="709"/>
        <w:jc w:val="both"/>
        <w:rPr>
          <w:color w:val="auto"/>
          <w:sz w:val="24"/>
        </w:rPr>
      </w:pPr>
      <w:bookmarkStart w:id="184" w:name="_Ref12617991"/>
      <w:bookmarkStart w:id="185" w:name="_Toc120865283"/>
      <w:r w:rsidRPr="00E27DD9">
        <w:rPr>
          <w:color w:val="auto"/>
          <w:sz w:val="24"/>
        </w:rPr>
        <w:t>Режим дозирования исследуемого препарата и препарат</w:t>
      </w:r>
      <w:r w:rsidR="00B616C9" w:rsidRPr="00E27DD9">
        <w:rPr>
          <w:color w:val="auto"/>
          <w:sz w:val="24"/>
        </w:rPr>
        <w:t>а</w:t>
      </w:r>
      <w:r w:rsidRPr="00E27DD9">
        <w:rPr>
          <w:color w:val="auto"/>
          <w:sz w:val="24"/>
        </w:rPr>
        <w:t xml:space="preserve"> сравнения</w:t>
      </w:r>
      <w:bookmarkEnd w:id="184"/>
      <w:bookmarkEnd w:id="185"/>
    </w:p>
    <w:p w14:paraId="3FFFBF61" w14:textId="77777777" w:rsidR="00E27DD9" w:rsidRPr="00E27DD9" w:rsidRDefault="00E27DD9" w:rsidP="007B46F5">
      <w:pPr>
        <w:pStyle w:val="SDText"/>
        <w:rPr>
          <w:lang w:eastAsia="ru-RU"/>
        </w:rPr>
      </w:pPr>
    </w:p>
    <w:p w14:paraId="61B4F9DF" w14:textId="354B3674" w:rsidR="00C359B0" w:rsidRDefault="00C359B0" w:rsidP="007B46F5">
      <w:pPr>
        <w:jc w:val="both"/>
        <w:rPr>
          <w:lang w:eastAsia="ru-RU"/>
        </w:rPr>
      </w:pPr>
      <w:r w:rsidRPr="009E6200">
        <w:rPr>
          <w:b/>
          <w:lang w:eastAsia="ru-RU"/>
        </w:rPr>
        <w:t>Исследуемый препарат RPH-001:</w:t>
      </w:r>
      <w:r w:rsidRPr="009E6200">
        <w:rPr>
          <w:lang w:eastAsia="ru-RU"/>
        </w:rPr>
        <w:t xml:space="preserve"> в дозе 15 мг/кг один раз в 3 недели в виде внутривенной инфузии;</w:t>
      </w:r>
    </w:p>
    <w:p w14:paraId="76E2C8FC" w14:textId="10F1DA08" w:rsidR="00C359B0" w:rsidRDefault="00C359B0" w:rsidP="007B46F5">
      <w:pPr>
        <w:jc w:val="both"/>
        <w:rPr>
          <w:lang w:eastAsia="ru-RU"/>
        </w:rPr>
      </w:pPr>
      <w:r w:rsidRPr="009E6200">
        <w:rPr>
          <w:b/>
          <w:lang w:eastAsia="ru-RU"/>
        </w:rPr>
        <w:t>Препарат сравнения Авастин</w:t>
      </w:r>
      <w:r w:rsidR="00121FA5" w:rsidRPr="009E6200">
        <w:rPr>
          <w:b/>
          <w:vertAlign w:val="superscript"/>
          <w:lang w:eastAsia="ru-RU"/>
        </w:rPr>
        <w:t>®</w:t>
      </w:r>
      <w:r w:rsidRPr="009E6200">
        <w:rPr>
          <w:b/>
          <w:lang w:eastAsia="ru-RU"/>
        </w:rPr>
        <w:t>:</w:t>
      </w:r>
      <w:r w:rsidRPr="009E6200">
        <w:rPr>
          <w:lang w:eastAsia="ru-RU"/>
        </w:rPr>
        <w:t xml:space="preserve"> в дозе 15 мг/кг один раз в 3 недели в виде внутривенной инфузии.</w:t>
      </w:r>
    </w:p>
    <w:p w14:paraId="754557BE" w14:textId="77777777" w:rsidR="00125FB0" w:rsidRPr="009E6200" w:rsidRDefault="00125FB0" w:rsidP="007B46F5">
      <w:pPr>
        <w:ind w:firstLine="709"/>
        <w:jc w:val="both"/>
        <w:rPr>
          <w:lang w:eastAsia="ru-RU"/>
        </w:rPr>
      </w:pPr>
      <w:r w:rsidRPr="009E6200">
        <w:rPr>
          <w:lang w:eastAsia="ru-RU"/>
        </w:rPr>
        <w:t xml:space="preserve">Лечение исследуемым препаратом/препаратом сравнения будет продолжено до прогрессирования заболевания (в соответствии с критериями </w:t>
      </w:r>
      <w:r w:rsidRPr="009E6200">
        <w:t>ответа солидных опухолей  [response evaluation criteria in solid tumors,</w:t>
      </w:r>
      <w:r w:rsidR="00BD64B7" w:rsidRPr="009E6200">
        <w:rPr>
          <w:lang w:eastAsia="ru-RU"/>
        </w:rPr>
        <w:t xml:space="preserve"> </w:t>
      </w:r>
      <w:r w:rsidR="00492F0B" w:rsidRPr="009E6200">
        <w:rPr>
          <w:lang w:val="en-US" w:eastAsia="ru-RU"/>
        </w:rPr>
        <w:t>RECIST</w:t>
      </w:r>
      <w:r w:rsidR="00492F0B" w:rsidRPr="009E6200">
        <w:rPr>
          <w:lang w:eastAsia="ru-RU"/>
        </w:rPr>
        <w:t xml:space="preserve"> версии 1.1] и/или развития неприемлемой токсичности и/или решения исследователя о необходимости выведения пациента из исследования в интересах пациента и/или отзыва</w:t>
      </w:r>
      <w:r w:rsidRPr="009E6200">
        <w:rPr>
          <w:lang w:eastAsia="ru-RU"/>
        </w:rPr>
        <w:t xml:space="preserve"> информированного согласия или смерти пациента, в зависимости от того, что произойдет раньше.</w:t>
      </w:r>
    </w:p>
    <w:p w14:paraId="0043F8F5" w14:textId="77777777" w:rsidR="00E26006" w:rsidRPr="009E6200" w:rsidRDefault="00C359B0" w:rsidP="007B46F5">
      <w:pPr>
        <w:pStyle w:val="SDText"/>
        <w:jc w:val="both"/>
      </w:pPr>
      <w:r w:rsidRPr="009E6200">
        <w:t xml:space="preserve">Не рекомендуется снижать дозу бевацизумаба из-за НЯ. В случае необходимости лечение препаратами </w:t>
      </w:r>
      <w:r w:rsidRPr="009E6200">
        <w:rPr>
          <w:lang w:val="en-US"/>
        </w:rPr>
        <w:t>RPH</w:t>
      </w:r>
      <w:r w:rsidRPr="009E6200">
        <w:t>-001 или Авастин</w:t>
      </w:r>
      <w:r w:rsidR="00121FA5" w:rsidRPr="009E6200">
        <w:rPr>
          <w:vertAlign w:val="superscript"/>
        </w:rPr>
        <w:t>®</w:t>
      </w:r>
      <w:r w:rsidRPr="009E6200">
        <w:t xml:space="preserve"> следует полностью прекратить.</w:t>
      </w:r>
    </w:p>
    <w:p w14:paraId="4AB275E4" w14:textId="77777777" w:rsidR="00E26006" w:rsidRPr="009E6200" w:rsidRDefault="00E26006" w:rsidP="007B46F5">
      <w:pPr>
        <w:pStyle w:val="SDText"/>
        <w:ind w:firstLine="360"/>
        <w:jc w:val="both"/>
      </w:pPr>
      <w:r w:rsidRPr="009E6200">
        <w:t>Препарат отменяют в случаях развития:</w:t>
      </w:r>
    </w:p>
    <w:p w14:paraId="3B619016" w14:textId="77777777" w:rsidR="00E26006" w:rsidRPr="009E6200" w:rsidRDefault="00E26006" w:rsidP="007B46F5">
      <w:pPr>
        <w:pStyle w:val="SDText"/>
        <w:numPr>
          <w:ilvl w:val="0"/>
          <w:numId w:val="13"/>
        </w:numPr>
        <w:jc w:val="both"/>
      </w:pPr>
      <w:r w:rsidRPr="009E6200">
        <w:t xml:space="preserve">Перфораций </w:t>
      </w:r>
      <w:r w:rsidR="00EB2516" w:rsidRPr="009E6200">
        <w:t>стенок желудочно-кишечного тракта</w:t>
      </w:r>
      <w:r w:rsidRPr="009E6200">
        <w:t>;</w:t>
      </w:r>
    </w:p>
    <w:p w14:paraId="28E15F34" w14:textId="77777777" w:rsidR="00E26006" w:rsidRPr="009E6200" w:rsidRDefault="00E26006" w:rsidP="007B46F5">
      <w:pPr>
        <w:pStyle w:val="SDText"/>
        <w:numPr>
          <w:ilvl w:val="0"/>
          <w:numId w:val="13"/>
        </w:numPr>
        <w:jc w:val="both"/>
      </w:pPr>
      <w:r w:rsidRPr="009E6200">
        <w:t>Свищей внутренних органов;</w:t>
      </w:r>
    </w:p>
    <w:p w14:paraId="690E251B" w14:textId="77777777" w:rsidR="00E26006" w:rsidRPr="009E6200" w:rsidRDefault="00E26006" w:rsidP="007B46F5">
      <w:pPr>
        <w:pStyle w:val="SDText"/>
        <w:numPr>
          <w:ilvl w:val="0"/>
          <w:numId w:val="13"/>
        </w:numPr>
        <w:jc w:val="both"/>
      </w:pPr>
      <w:r w:rsidRPr="009E6200">
        <w:t>Расхождения краев операционной раны и осложнения заживления ран, требующих медицинского вмешательства;</w:t>
      </w:r>
    </w:p>
    <w:p w14:paraId="5EB26721" w14:textId="77777777" w:rsidR="00E26006" w:rsidRPr="009E6200" w:rsidRDefault="00E26006" w:rsidP="007B46F5">
      <w:pPr>
        <w:pStyle w:val="SDText"/>
        <w:numPr>
          <w:ilvl w:val="0"/>
          <w:numId w:val="13"/>
        </w:numPr>
        <w:jc w:val="both"/>
      </w:pPr>
      <w:r w:rsidRPr="009E6200">
        <w:t>Серьезных кровотечений, требующий медицинского вмешательства;</w:t>
      </w:r>
    </w:p>
    <w:p w14:paraId="7D2B5385" w14:textId="77777777" w:rsidR="00E26006" w:rsidRPr="009E6200" w:rsidRDefault="000010A1" w:rsidP="007B46F5">
      <w:pPr>
        <w:pStyle w:val="SDText"/>
        <w:numPr>
          <w:ilvl w:val="0"/>
          <w:numId w:val="13"/>
        </w:numPr>
        <w:jc w:val="both"/>
      </w:pPr>
      <w:r w:rsidRPr="009E6200">
        <w:t>Артериального или венозного тромбоза или эмболии;</w:t>
      </w:r>
    </w:p>
    <w:p w14:paraId="02302329" w14:textId="77777777" w:rsidR="00E26006" w:rsidRPr="009E6200" w:rsidRDefault="00E26006" w:rsidP="007B46F5">
      <w:pPr>
        <w:pStyle w:val="SDText"/>
        <w:numPr>
          <w:ilvl w:val="0"/>
          <w:numId w:val="13"/>
        </w:numPr>
        <w:jc w:val="both"/>
      </w:pPr>
      <w:r w:rsidRPr="009E6200">
        <w:t>Гипертонического криза или гипертензивной энцефалопатии;</w:t>
      </w:r>
    </w:p>
    <w:p w14:paraId="0BC18988" w14:textId="77777777" w:rsidR="00E26006" w:rsidRPr="009E6200" w:rsidRDefault="00E26006" w:rsidP="007B46F5">
      <w:pPr>
        <w:pStyle w:val="SDText"/>
        <w:numPr>
          <w:ilvl w:val="0"/>
          <w:numId w:val="13"/>
        </w:numPr>
        <w:jc w:val="both"/>
      </w:pPr>
      <w:r w:rsidRPr="009E6200">
        <w:t>Нефротического синдрома;</w:t>
      </w:r>
    </w:p>
    <w:p w14:paraId="1AC5CB47" w14:textId="77777777" w:rsidR="00E26006" w:rsidRPr="009E6200" w:rsidRDefault="00E26006" w:rsidP="007B46F5">
      <w:pPr>
        <w:pStyle w:val="SDText"/>
        <w:numPr>
          <w:ilvl w:val="0"/>
          <w:numId w:val="13"/>
        </w:numPr>
        <w:jc w:val="both"/>
      </w:pPr>
      <w:r w:rsidRPr="009E6200">
        <w:t>СЗОЭ;</w:t>
      </w:r>
    </w:p>
    <w:p w14:paraId="311414FD" w14:textId="77777777" w:rsidR="00E26006" w:rsidRPr="009E6200" w:rsidRDefault="00E26006" w:rsidP="007B46F5">
      <w:pPr>
        <w:pStyle w:val="SDText"/>
        <w:numPr>
          <w:ilvl w:val="0"/>
          <w:numId w:val="13"/>
        </w:numPr>
        <w:jc w:val="both"/>
      </w:pPr>
      <w:r w:rsidRPr="009E6200">
        <w:t>Застойной сердечной недостаточности</w:t>
      </w:r>
      <w:r w:rsidR="009263F0" w:rsidRPr="009E6200">
        <w:t>;</w:t>
      </w:r>
    </w:p>
    <w:p w14:paraId="6A75ECF6" w14:textId="77777777" w:rsidR="009263F0" w:rsidRPr="009E6200" w:rsidRDefault="009263F0" w:rsidP="007B46F5">
      <w:pPr>
        <w:pStyle w:val="SDText"/>
        <w:numPr>
          <w:ilvl w:val="0"/>
          <w:numId w:val="13"/>
        </w:numPr>
        <w:jc w:val="both"/>
      </w:pPr>
      <w:r w:rsidRPr="009E6200">
        <w:t>В случаях развития тяжелой артериальной гипертонии, не поддающейся медикаментозному лечению;</w:t>
      </w:r>
    </w:p>
    <w:p w14:paraId="491080A8" w14:textId="77777777" w:rsidR="009263F0" w:rsidRPr="009E6200" w:rsidRDefault="009263F0" w:rsidP="007B46F5">
      <w:pPr>
        <w:pStyle w:val="SDText"/>
        <w:numPr>
          <w:ilvl w:val="0"/>
          <w:numId w:val="13"/>
        </w:numPr>
        <w:jc w:val="both"/>
      </w:pPr>
      <w:r w:rsidRPr="009E6200">
        <w:t>В случаях развития протеинурии средней и тяжелой степени (&gt; 2 г/сут);</w:t>
      </w:r>
    </w:p>
    <w:p w14:paraId="192482C0" w14:textId="77777777" w:rsidR="009263F0" w:rsidRPr="009E6200" w:rsidRDefault="009263F0" w:rsidP="007B46F5">
      <w:pPr>
        <w:pStyle w:val="SDText"/>
        <w:numPr>
          <w:ilvl w:val="0"/>
          <w:numId w:val="13"/>
        </w:numPr>
        <w:jc w:val="both"/>
      </w:pPr>
      <w:r w:rsidRPr="009E6200">
        <w:t>В случаях развития тяжелых инфузионных реакций.</w:t>
      </w:r>
    </w:p>
    <w:p w14:paraId="28B8D1CC" w14:textId="664E5C3E" w:rsidR="00075CD9" w:rsidRDefault="00C359B0" w:rsidP="007B46F5">
      <w:pPr>
        <w:pStyle w:val="SDText"/>
        <w:ind w:firstLine="360"/>
        <w:jc w:val="both"/>
      </w:pPr>
      <w:r w:rsidRPr="009E6200">
        <w:t>Если масса пациентов в ходе исследования изменяется более чем на 10%</w:t>
      </w:r>
      <w:r w:rsidR="00077013" w:rsidRPr="009E6200">
        <w:t xml:space="preserve"> от значения на визите рандомизации</w:t>
      </w:r>
      <w:r w:rsidRPr="009E6200">
        <w:t xml:space="preserve">, то доза RPH-001 </w:t>
      </w:r>
      <w:r w:rsidR="006B6B53" w:rsidRPr="009E6200">
        <w:t>или Авастина</w:t>
      </w:r>
      <w:r w:rsidR="00121FA5" w:rsidRPr="009E6200">
        <w:rPr>
          <w:vertAlign w:val="superscript"/>
        </w:rPr>
        <w:t>®</w:t>
      </w:r>
      <w:r w:rsidR="006B6B53" w:rsidRPr="009E6200">
        <w:t xml:space="preserve"> </w:t>
      </w:r>
      <w:r w:rsidRPr="009E6200">
        <w:t>для пациента должна быть рассчитана заново.</w:t>
      </w:r>
    </w:p>
    <w:p w14:paraId="6735A976" w14:textId="77777777" w:rsidR="00E27DD9" w:rsidRPr="009E6200" w:rsidRDefault="00E27DD9" w:rsidP="007B46F5">
      <w:pPr>
        <w:pStyle w:val="SDText"/>
        <w:ind w:firstLine="360"/>
        <w:jc w:val="both"/>
      </w:pPr>
    </w:p>
    <w:p w14:paraId="555554FA" w14:textId="651A3742" w:rsidR="00C359B0" w:rsidRDefault="00BD473F" w:rsidP="007B46F5">
      <w:pPr>
        <w:pStyle w:val="Heading3"/>
        <w:spacing w:before="0" w:after="0" w:line="240" w:lineRule="auto"/>
        <w:ind w:left="709" w:hanging="709"/>
        <w:jc w:val="both"/>
        <w:rPr>
          <w:color w:val="auto"/>
          <w:sz w:val="24"/>
        </w:rPr>
      </w:pPr>
      <w:bookmarkStart w:id="186" w:name="_Toc120865284"/>
      <w:r w:rsidRPr="00E27DD9">
        <w:rPr>
          <w:color w:val="auto"/>
          <w:sz w:val="24"/>
        </w:rPr>
        <w:t>Сведения о режимах дозирования и корректировк</w:t>
      </w:r>
      <w:r w:rsidR="00E471FF" w:rsidRPr="00E27DD9">
        <w:rPr>
          <w:color w:val="auto"/>
          <w:sz w:val="24"/>
        </w:rPr>
        <w:t>е</w:t>
      </w:r>
      <w:r w:rsidRPr="00E27DD9">
        <w:rPr>
          <w:color w:val="auto"/>
          <w:sz w:val="24"/>
        </w:rPr>
        <w:t xml:space="preserve"> дозы в зависимости от выраженности токсичности препаратов</w:t>
      </w:r>
      <w:r w:rsidR="002B5CAA" w:rsidRPr="00E27DD9">
        <w:rPr>
          <w:color w:val="auto"/>
          <w:sz w:val="24"/>
        </w:rPr>
        <w:t xml:space="preserve"> сопутствующей химиотерапии</w:t>
      </w:r>
      <w:bookmarkEnd w:id="186"/>
    </w:p>
    <w:p w14:paraId="39C6CA80" w14:textId="77777777" w:rsidR="00E27DD9" w:rsidRPr="00E27DD9" w:rsidRDefault="00E27DD9" w:rsidP="007B46F5">
      <w:pPr>
        <w:pStyle w:val="SDText"/>
        <w:rPr>
          <w:lang w:eastAsia="ru-RU"/>
        </w:rPr>
      </w:pPr>
    </w:p>
    <w:p w14:paraId="45A9DACE" w14:textId="2A975EEE" w:rsidR="002B5CAA" w:rsidRDefault="002B5CAA" w:rsidP="007B46F5">
      <w:pPr>
        <w:pStyle w:val="Heading4"/>
        <w:spacing w:before="0" w:after="0"/>
        <w:jc w:val="both"/>
        <w:rPr>
          <w:color w:val="auto"/>
        </w:rPr>
      </w:pPr>
      <w:bookmarkStart w:id="187" w:name="_Ref12614195"/>
      <w:bookmarkStart w:id="188" w:name="_Ref12617243"/>
      <w:bookmarkStart w:id="189" w:name="_Ref12617749"/>
      <w:bookmarkStart w:id="190" w:name="_Toc120865285"/>
      <w:r w:rsidRPr="009E6200">
        <w:rPr>
          <w:color w:val="auto"/>
        </w:rPr>
        <w:t>Паклитаксел</w:t>
      </w:r>
      <w:bookmarkEnd w:id="187"/>
      <w:bookmarkEnd w:id="188"/>
      <w:bookmarkEnd w:id="189"/>
      <w:bookmarkEnd w:id="190"/>
    </w:p>
    <w:p w14:paraId="0C21A49C" w14:textId="77777777" w:rsidR="00E27DD9" w:rsidRPr="00E27DD9" w:rsidRDefault="00E27DD9" w:rsidP="007B46F5">
      <w:pPr>
        <w:rPr>
          <w:lang w:eastAsia="ru-RU"/>
        </w:rPr>
      </w:pPr>
    </w:p>
    <w:p w14:paraId="203BDE77" w14:textId="77777777" w:rsidR="002B5CAA" w:rsidRPr="009E6200" w:rsidRDefault="00710A31" w:rsidP="007B46F5">
      <w:pPr>
        <w:pStyle w:val="SDText"/>
        <w:ind w:firstLine="709"/>
        <w:jc w:val="both"/>
      </w:pPr>
      <w:r w:rsidRPr="009E6200">
        <w:rPr>
          <w:i/>
        </w:rPr>
        <w:t>Режим дозирования:</w:t>
      </w:r>
      <w:r w:rsidRPr="009E6200">
        <w:t xml:space="preserve"> п</w:t>
      </w:r>
      <w:r w:rsidR="002B5CAA" w:rsidRPr="009E6200">
        <w:t xml:space="preserve">репарат будет вводиться </w:t>
      </w:r>
      <w:r w:rsidR="002B5CAA" w:rsidRPr="009E6200">
        <w:rPr>
          <w:lang w:eastAsia="ru-RU"/>
        </w:rPr>
        <w:t>в дозе 175 мг/м</w:t>
      </w:r>
      <w:r w:rsidR="002B5CAA" w:rsidRPr="009E6200">
        <w:rPr>
          <w:vertAlign w:val="superscript"/>
          <w:lang w:eastAsia="ru-RU"/>
        </w:rPr>
        <w:t>2</w:t>
      </w:r>
      <w:r w:rsidR="002B5CAA" w:rsidRPr="009E6200">
        <w:rPr>
          <w:lang w:eastAsia="ru-RU"/>
        </w:rPr>
        <w:t xml:space="preserve"> в виде внутривенной инфузии продолжительностью 3 ч в день 1 каждого 21-дневного цикла (от 4 до 6 циклов). Допускается снижение дозы с учетом выраженности токсических проявлений</w:t>
      </w:r>
    </w:p>
    <w:p w14:paraId="33D2359A" w14:textId="77777777" w:rsidR="002B5CAA" w:rsidRPr="009E6200" w:rsidRDefault="002B5CAA" w:rsidP="007B46F5">
      <w:pPr>
        <w:pStyle w:val="SDText"/>
        <w:jc w:val="both"/>
        <w:rPr>
          <w:lang w:eastAsia="ru-RU"/>
        </w:rPr>
      </w:pPr>
      <w:r w:rsidRPr="009E6200">
        <w:rPr>
          <w:lang w:eastAsia="ru-RU"/>
        </w:rPr>
        <w:t>При введении паклитаксела во избежание тяжелых реакций гиперчувствительности всем пациентам следует проводить премедикацию глюкокортикостероидами, блокаторами Н</w:t>
      </w:r>
      <w:r w:rsidRPr="009E6200">
        <w:rPr>
          <w:vertAlign w:val="subscript"/>
          <w:lang w:eastAsia="ru-RU"/>
        </w:rPr>
        <w:t>1</w:t>
      </w:r>
      <w:r w:rsidRPr="009E6200">
        <w:rPr>
          <w:lang w:eastAsia="ru-RU"/>
        </w:rPr>
        <w:t>- и Н</w:t>
      </w:r>
      <w:r w:rsidRPr="009E6200">
        <w:rPr>
          <w:vertAlign w:val="subscript"/>
          <w:lang w:eastAsia="ru-RU"/>
        </w:rPr>
        <w:t>2</w:t>
      </w:r>
      <w:r w:rsidRPr="009E6200">
        <w:rPr>
          <w:lang w:eastAsia="ru-RU"/>
        </w:rPr>
        <w:t>-гистаминовых рецепторов:</w:t>
      </w:r>
    </w:p>
    <w:p w14:paraId="225F1B88" w14:textId="77777777" w:rsidR="002B5CAA" w:rsidRPr="009E6200" w:rsidRDefault="002B5CAA" w:rsidP="007B46F5">
      <w:pPr>
        <w:pStyle w:val="SDText"/>
        <w:numPr>
          <w:ilvl w:val="0"/>
          <w:numId w:val="18"/>
        </w:numPr>
        <w:ind w:left="1141"/>
        <w:jc w:val="both"/>
        <w:rPr>
          <w:lang w:eastAsia="ru-RU"/>
        </w:rPr>
      </w:pPr>
      <w:r w:rsidRPr="009E6200">
        <w:rPr>
          <w:lang w:eastAsia="ru-RU"/>
        </w:rPr>
        <w:t>20 мг дексаметазона внутривенно примерно за 30–60 мин до введения препарата, 50 мг дифенгидрамина (или его эквивалент) внутривенно и 50 мг рани</w:t>
      </w:r>
      <w:r w:rsidR="005E4A79" w:rsidRPr="009E6200">
        <w:rPr>
          <w:lang w:eastAsia="ru-RU"/>
        </w:rPr>
        <w:t>т</w:t>
      </w:r>
      <w:r w:rsidRPr="009E6200">
        <w:rPr>
          <w:lang w:eastAsia="ru-RU"/>
        </w:rPr>
        <w:t>идина внутривенно за 30-60 минут до введения препарата.</w:t>
      </w:r>
    </w:p>
    <w:p w14:paraId="35AFE7EE" w14:textId="77777777" w:rsidR="009263F0" w:rsidRPr="009E6200" w:rsidRDefault="009263F0" w:rsidP="007B46F5">
      <w:pPr>
        <w:pStyle w:val="SDText"/>
        <w:ind w:firstLine="709"/>
        <w:jc w:val="both"/>
      </w:pPr>
      <w:r w:rsidRPr="009E6200">
        <w:t>Паклитаксел назначается только при достижении количества нейтрофилов более 1500/мкл и тромбоцитов более 100000/мкл.</w:t>
      </w:r>
    </w:p>
    <w:p w14:paraId="38615FCA" w14:textId="77777777" w:rsidR="009263F0" w:rsidRPr="009E6200" w:rsidRDefault="009263F0" w:rsidP="007B46F5">
      <w:pPr>
        <w:pStyle w:val="SDText"/>
        <w:ind w:firstLine="709"/>
        <w:jc w:val="both"/>
      </w:pPr>
      <w:r w:rsidRPr="009E6200">
        <w:t>У пациентов с выявленной тяжелой нейтропенией (количество нейтрофилов &lt; 500/мкл в течение более, чем одной недели) или с тяжелой периферической нейропатией при последующих курсах следует снизить дозу препарата на 20% (до 140 мг/м</w:t>
      </w:r>
      <w:r w:rsidRPr="009E6200">
        <w:rPr>
          <w:vertAlign w:val="superscript"/>
        </w:rPr>
        <w:t>2</w:t>
      </w:r>
      <w:r w:rsidRPr="009E6200">
        <w:t>).</w:t>
      </w:r>
    </w:p>
    <w:p w14:paraId="0AA4A96B" w14:textId="141AD5BD" w:rsidR="00DF29DE" w:rsidRPr="009E6200" w:rsidRDefault="00412F63" w:rsidP="007B46F5">
      <w:pPr>
        <w:pStyle w:val="SDText"/>
        <w:ind w:firstLine="709"/>
        <w:jc w:val="both"/>
      </w:pPr>
      <w:r w:rsidRPr="009E6200">
        <w:t xml:space="preserve">В случае повышения уровня </w:t>
      </w:r>
      <w:r w:rsidR="00022B18" w:rsidRPr="009E6200">
        <w:t xml:space="preserve">общего </w:t>
      </w:r>
      <w:r w:rsidRPr="009E6200">
        <w:t>билирубина более 80 мкмоль/л или АЛТ/АСТ более 5 верхних границ нормы, необходимо отсрочить лечение до снижения уровня</w:t>
      </w:r>
      <w:r w:rsidR="00116348" w:rsidRPr="009E6200">
        <w:t xml:space="preserve"> общего</w:t>
      </w:r>
      <w:r w:rsidRPr="009E6200">
        <w:t xml:space="preserve"> билирубина менее 30 мкмоль/л, а АЛТ/АСТ менее 2 верхних границ нормы.</w:t>
      </w:r>
      <w:r w:rsidR="002E59DD" w:rsidRPr="009E6200">
        <w:t xml:space="preserve"> В случае повышения уровня АЛТ или АСТ до 10 ВГН и более или уровня билирубин до 5 ВГН и более дальнейшее введение препарата не показано.</w:t>
      </w:r>
    </w:p>
    <w:p w14:paraId="6A0429F6" w14:textId="0F797EEE" w:rsidR="007511E6" w:rsidRPr="009E6200" w:rsidRDefault="00680E51" w:rsidP="007B46F5">
      <w:pPr>
        <w:pStyle w:val="SDText"/>
        <w:ind w:firstLine="709"/>
        <w:jc w:val="both"/>
      </w:pPr>
      <w:r w:rsidRPr="009E6200">
        <w:t xml:space="preserve">При развитии нейропатии </w:t>
      </w:r>
      <w:r w:rsidRPr="009E6200">
        <w:rPr>
          <w:lang w:val="en-US"/>
        </w:rPr>
        <w:t>III</w:t>
      </w:r>
      <w:r w:rsidRPr="009E6200">
        <w:t>-</w:t>
      </w:r>
      <w:r w:rsidRPr="009E6200">
        <w:rPr>
          <w:lang w:val="en-US"/>
        </w:rPr>
        <w:t>IV</w:t>
      </w:r>
      <w:r w:rsidRPr="009E6200">
        <w:t xml:space="preserve"> степени по </w:t>
      </w:r>
      <w:r w:rsidRPr="009E6200">
        <w:rPr>
          <w:lang w:val="en-US"/>
        </w:rPr>
        <w:t>CTCAE</w:t>
      </w:r>
      <w:r w:rsidRPr="009E6200">
        <w:t xml:space="preserve"> </w:t>
      </w:r>
      <w:r w:rsidR="00776730" w:rsidRPr="009E6200">
        <w:t>(версия 5.0)</w:t>
      </w:r>
      <w:r w:rsidRPr="009E6200">
        <w:t>, паклитаксел должен быть отменен.</w:t>
      </w:r>
      <w:r w:rsidR="00CF2388" w:rsidRPr="009E6200">
        <w:t xml:space="preserve"> Также препарат должен быть отменен при развитии тяжелых </w:t>
      </w:r>
      <w:r w:rsidR="00A3402B" w:rsidRPr="009E6200">
        <w:t>реакций гиперчувствительности (генерализованная крапивница, ангионевротический отек,</w:t>
      </w:r>
      <w:r w:rsidR="00245520" w:rsidRPr="009E6200">
        <w:t xml:space="preserve"> анафилактическ</w:t>
      </w:r>
      <w:r w:rsidR="00987891" w:rsidRPr="009E6200">
        <w:t>ий шок), тяжелых кожных реакций</w:t>
      </w:r>
      <w:r w:rsidR="00885554" w:rsidRPr="009E6200">
        <w:t xml:space="preserve"> (синдром Лайела, Стивенса-Джонсона), при кардиотоксических эффектах </w:t>
      </w:r>
      <w:r w:rsidR="00885554" w:rsidRPr="009E6200">
        <w:rPr>
          <w:lang w:val="en-US"/>
        </w:rPr>
        <w:t>III</w:t>
      </w:r>
      <w:r w:rsidR="00885554" w:rsidRPr="009E6200">
        <w:t>-</w:t>
      </w:r>
      <w:r w:rsidR="00885554" w:rsidRPr="009E6200">
        <w:rPr>
          <w:lang w:val="en-US"/>
        </w:rPr>
        <w:t>IV</w:t>
      </w:r>
      <w:r w:rsidR="00885554" w:rsidRPr="009E6200">
        <w:t xml:space="preserve"> степени</w:t>
      </w:r>
      <w:r w:rsidR="00A3402B" w:rsidRPr="009E6200">
        <w:t>.</w:t>
      </w:r>
    </w:p>
    <w:p w14:paraId="3CCAB622" w14:textId="57726EC4" w:rsidR="00AF00DD" w:rsidRPr="009E6200" w:rsidRDefault="00AF00DD" w:rsidP="007B46F5">
      <w:pPr>
        <w:pStyle w:val="SDText"/>
        <w:ind w:firstLine="709"/>
        <w:jc w:val="both"/>
      </w:pPr>
      <w:r w:rsidRPr="009E6200">
        <w:t xml:space="preserve">При развитии других видов токсичности </w:t>
      </w:r>
      <w:r w:rsidRPr="009E6200">
        <w:rPr>
          <w:lang w:val="en-US"/>
        </w:rPr>
        <w:t>III</w:t>
      </w:r>
      <w:r w:rsidRPr="009E6200">
        <w:t>-</w:t>
      </w:r>
      <w:r w:rsidRPr="009E6200">
        <w:rPr>
          <w:lang w:val="en-US"/>
        </w:rPr>
        <w:t>IV</w:t>
      </w:r>
      <w:r w:rsidRPr="009E6200">
        <w:t xml:space="preserve"> степени по </w:t>
      </w:r>
      <w:r w:rsidRPr="009E6200">
        <w:rPr>
          <w:lang w:val="en-US"/>
        </w:rPr>
        <w:t>CTCAE</w:t>
      </w:r>
      <w:r w:rsidRPr="009E6200">
        <w:t xml:space="preserve"> </w:t>
      </w:r>
      <w:r w:rsidR="00776730" w:rsidRPr="009E6200">
        <w:t>(версия 5.0)</w:t>
      </w:r>
      <w:r w:rsidRPr="009E6200">
        <w:t xml:space="preserve"> возможно продолжение лечения в прежней дозе только после их разрешения или снижения до </w:t>
      </w:r>
      <w:r w:rsidRPr="009E6200">
        <w:rPr>
          <w:lang w:val="en-US"/>
        </w:rPr>
        <w:t>I</w:t>
      </w:r>
      <w:r w:rsidRPr="009E6200">
        <w:t xml:space="preserve"> степени, если перерыв в лечении составляет не более 2 недель от плановой даты введения. Если перерыв превышает 2 недели и пациент получил менее 4 циклов химиотерапии комбинацией паклитаксел/карбоплатин, он </w:t>
      </w:r>
      <w:r w:rsidR="00EF06A8" w:rsidRPr="009E6200">
        <w:t xml:space="preserve">прекращает терапию в рамках </w:t>
      </w:r>
      <w:r w:rsidRPr="009E6200">
        <w:t xml:space="preserve"> исследования.</w:t>
      </w:r>
      <w:r w:rsidR="0002158E" w:rsidRPr="009E6200">
        <w:t xml:space="preserve"> </w:t>
      </w:r>
      <w:r w:rsidR="00EF06A8" w:rsidRPr="009E6200">
        <w:t>П</w:t>
      </w:r>
      <w:r w:rsidR="0002158E" w:rsidRPr="009E6200">
        <w:t xml:space="preserve">осле этого для оценки дожития с пациентом будет поддерживаться телефонный контакт каждые 2 месяца (±14 дней) </w:t>
      </w:r>
      <w:r w:rsidR="00022B18" w:rsidRPr="009E6200">
        <w:t>до 12 месяцев от момента рандомизации</w:t>
      </w:r>
      <w:r w:rsidR="0002158E" w:rsidRPr="009E6200">
        <w:t>.</w:t>
      </w:r>
    </w:p>
    <w:p w14:paraId="47BA022E" w14:textId="754ECD2E" w:rsidR="00C26418" w:rsidRDefault="009263F0" w:rsidP="007B46F5">
      <w:pPr>
        <w:pStyle w:val="SDText"/>
        <w:jc w:val="both"/>
      </w:pPr>
      <w:r w:rsidRPr="009E6200">
        <w:t>Повышение дозы после предшествующего снижения не допускается. В рамках данного исследования допускается не более 2 эпизодов снижения дозы</w:t>
      </w:r>
      <w:r w:rsidR="00AA63D8" w:rsidRPr="009E6200">
        <w:t xml:space="preserve"> препаратов химиотерапии (паклитаксела, карбоплатина - обоих препаратов одновременно или любого из них по отдельности)</w:t>
      </w:r>
      <w:r w:rsidRPr="009E6200">
        <w:t xml:space="preserve">, при необходимости дальнейшего снижения дозы пациент </w:t>
      </w:r>
      <w:r w:rsidR="00EF06A8" w:rsidRPr="009E6200">
        <w:t>завершает терапию в рамках</w:t>
      </w:r>
      <w:r w:rsidRPr="009E6200">
        <w:t xml:space="preserve"> исследования</w:t>
      </w:r>
      <w:r w:rsidR="002B5CAA" w:rsidRPr="009E6200">
        <w:t>.</w:t>
      </w:r>
      <w:r w:rsidR="0002158E" w:rsidRPr="009E6200">
        <w:t xml:space="preserve"> </w:t>
      </w:r>
      <w:r w:rsidR="00EF06A8" w:rsidRPr="009E6200">
        <w:t>П</w:t>
      </w:r>
      <w:r w:rsidR="0002158E" w:rsidRPr="009E6200">
        <w:t xml:space="preserve">осле этого для оценки дожития с пациентом будет поддерживаться телефонный контакт каждые 2 месяца (±14 дней) </w:t>
      </w:r>
      <w:r w:rsidR="00EF06A8" w:rsidRPr="009E6200">
        <w:t>от момента рандомизации</w:t>
      </w:r>
      <w:r w:rsidR="0002158E" w:rsidRPr="009E6200">
        <w:t>.</w:t>
      </w:r>
    </w:p>
    <w:p w14:paraId="6B225C30" w14:textId="77777777" w:rsidR="00E27DD9" w:rsidRPr="009E6200" w:rsidRDefault="00E27DD9" w:rsidP="007B46F5">
      <w:pPr>
        <w:pStyle w:val="SDText"/>
        <w:jc w:val="both"/>
      </w:pPr>
    </w:p>
    <w:p w14:paraId="45F271A8" w14:textId="7456BD60" w:rsidR="00C26418" w:rsidRDefault="00710A31" w:rsidP="007B46F5">
      <w:pPr>
        <w:pStyle w:val="Heading4"/>
        <w:spacing w:before="0" w:after="0"/>
        <w:jc w:val="both"/>
        <w:rPr>
          <w:color w:val="auto"/>
        </w:rPr>
      </w:pPr>
      <w:bookmarkStart w:id="191" w:name="_Ref12617244"/>
      <w:bookmarkStart w:id="192" w:name="_Ref12617750"/>
      <w:bookmarkStart w:id="193" w:name="_Toc120865286"/>
      <w:r w:rsidRPr="009E6200">
        <w:rPr>
          <w:color w:val="auto"/>
        </w:rPr>
        <w:t>Карбоплатин</w:t>
      </w:r>
      <w:bookmarkEnd w:id="191"/>
      <w:bookmarkEnd w:id="192"/>
      <w:bookmarkEnd w:id="193"/>
    </w:p>
    <w:p w14:paraId="3EAC124C" w14:textId="77777777" w:rsidR="00E27DD9" w:rsidRPr="00E27DD9" w:rsidRDefault="00E27DD9" w:rsidP="007B46F5">
      <w:pPr>
        <w:rPr>
          <w:lang w:eastAsia="ru-RU"/>
        </w:rPr>
      </w:pPr>
    </w:p>
    <w:p w14:paraId="69E2B66D" w14:textId="77777777" w:rsidR="002F3FFE" w:rsidRDefault="002F3FFE" w:rsidP="007B46F5">
      <w:pPr>
        <w:pStyle w:val="SDText"/>
        <w:ind w:firstLine="709"/>
        <w:jc w:val="both"/>
        <w:rPr>
          <w:rFonts w:cs="Times New Roman"/>
          <w:szCs w:val="24"/>
        </w:rPr>
      </w:pPr>
      <w:r w:rsidRPr="00EE650A">
        <w:rPr>
          <w:rFonts w:cs="Times New Roman"/>
          <w:i/>
          <w:szCs w:val="24"/>
        </w:rPr>
        <w:t>Режим дозирования:</w:t>
      </w:r>
      <w:r w:rsidRPr="00EE650A">
        <w:rPr>
          <w:rFonts w:cs="Times New Roman"/>
          <w:szCs w:val="24"/>
        </w:rPr>
        <w:t xml:space="preserve"> карбоплатин AUC 6 мг/мл/мин (max = 900 мг) /в инфузия продолжительностью 15-30 мин сразу после завершения инфузии паклитаксела (от 4 до 6 циклов). Допускается снижение дозы с учетом выраженности токсических проявлений.</w:t>
      </w:r>
    </w:p>
    <w:p w14:paraId="551A3EA4" w14:textId="2B40A410" w:rsidR="00710A31" w:rsidRPr="009E6200" w:rsidRDefault="00710A31" w:rsidP="007B46F5">
      <w:pPr>
        <w:pStyle w:val="SDText"/>
        <w:jc w:val="both"/>
        <w:rPr>
          <w:lang w:eastAsia="ru-RU"/>
        </w:rPr>
      </w:pPr>
      <w:r w:rsidRPr="009E6200">
        <w:rPr>
          <w:lang w:eastAsia="ru-RU"/>
        </w:rPr>
        <w:t>Расчет дозы препарата будет проводиться по формуле Кальверта, описывающей зависимость значений скорости клубочковой фильтрации (СКФ, мл/мин) и желаемой концентрации карбоплатина от времени (</w:t>
      </w:r>
      <w:r w:rsidRPr="009E6200">
        <w:rPr>
          <w:lang w:val="en-US" w:eastAsia="ru-RU"/>
        </w:rPr>
        <w:t>AUC</w:t>
      </w:r>
      <w:r w:rsidRPr="009E6200">
        <w:rPr>
          <w:lang w:eastAsia="ru-RU"/>
        </w:rPr>
        <w:t>, мг/мл*мин):</w:t>
      </w:r>
    </w:p>
    <w:p w14:paraId="6AE1EBB3" w14:textId="77777777" w:rsidR="00710A31" w:rsidRPr="009E6200" w:rsidRDefault="00E767EF" w:rsidP="007B46F5">
      <w:pPr>
        <w:pStyle w:val="SDText"/>
        <w:jc w:val="both"/>
        <w:rPr>
          <w:lang w:eastAsia="ru-RU"/>
        </w:rPr>
      </w:pPr>
      <w:sdt>
        <w:sdtPr>
          <w:rPr>
            <w:rFonts w:ascii="Cambria Math" w:hAnsi="Cambria Math"/>
            <w:i/>
            <w:lang w:eastAsia="ru-RU"/>
          </w:rPr>
          <w:id w:val="-1602103855"/>
          <w:placeholder>
            <w:docPart w:val="034B7A770E8649ABB1D4C952F514C304"/>
          </w:placeholder>
          <w:temporary/>
          <w:showingPlcHdr/>
          <w:equation/>
        </w:sdtPr>
        <w:sdtEndPr/>
        <w:sdtContent>
          <m:oMathPara>
            <m:oMath>
              <m:r>
                <m:rPr>
                  <m:sty m:val="p"/>
                </m:rPr>
                <w:rPr>
                  <w:rFonts w:ascii="Cambria Math" w:hAnsi="Cambria Math"/>
                  <w:lang w:eastAsia="ru-RU"/>
                </w:rPr>
                <m:t xml:space="preserve">Общая доза </m:t>
              </m:r>
              <m:d>
                <m:dPr>
                  <m:ctrlPr>
                    <w:rPr>
                      <w:rFonts w:ascii="Cambria Math" w:hAnsi="Cambria Math"/>
                      <w:i/>
                      <w:lang w:eastAsia="ru-RU"/>
                    </w:rPr>
                  </m:ctrlPr>
                </m:dPr>
                <m:e>
                  <m:r>
                    <m:rPr>
                      <m:sty m:val="p"/>
                    </m:rPr>
                    <w:rPr>
                      <w:rFonts w:ascii="Cambria Math" w:hAnsi="Cambria Math"/>
                      <w:lang w:eastAsia="ru-RU"/>
                    </w:rPr>
                    <m:t>мг</m:t>
                  </m:r>
                </m:e>
              </m:d>
              <m:r>
                <m:rPr>
                  <m:sty m:val="p"/>
                </m:rPr>
                <w:rPr>
                  <w:rFonts w:ascii="Cambria Math" w:hAnsi="Cambria Math"/>
                  <w:lang w:eastAsia="ru-RU"/>
                </w:rPr>
                <m:t xml:space="preserve"> = </m:t>
              </m:r>
              <m:r>
                <m:rPr>
                  <m:sty m:val="p"/>
                </m:rPr>
                <w:rPr>
                  <w:rFonts w:ascii="Cambria Math" w:hAnsi="Cambria Math"/>
                  <w:lang w:val="en-US" w:eastAsia="ru-RU"/>
                </w:rPr>
                <m:t>AUC ×(</m:t>
              </m:r>
              <m:r>
                <m:rPr>
                  <m:sty m:val="p"/>
                </m:rPr>
                <w:rPr>
                  <w:rFonts w:ascii="Cambria Math" w:hAnsi="Cambria Math"/>
                  <w:lang w:eastAsia="ru-RU"/>
                </w:rPr>
                <m:t>СКФ+25)</m:t>
              </m:r>
            </m:oMath>
          </m:oMathPara>
        </w:sdtContent>
      </w:sdt>
    </w:p>
    <w:p w14:paraId="781C1A53" w14:textId="77777777" w:rsidR="00710A31" w:rsidRPr="009E6200" w:rsidRDefault="00710A31" w:rsidP="007B46F5">
      <w:pPr>
        <w:pStyle w:val="SDText"/>
        <w:ind w:firstLine="709"/>
        <w:jc w:val="both"/>
        <w:rPr>
          <w:lang w:eastAsia="ru-RU"/>
        </w:rPr>
      </w:pPr>
      <w:r w:rsidRPr="009E6200">
        <w:rPr>
          <w:lang w:eastAsia="ru-RU"/>
        </w:rPr>
        <w:t>Введение жидкости до или после применения препарата, а также форсированного диуреза не требуется.</w:t>
      </w:r>
    </w:p>
    <w:p w14:paraId="692ADC5C" w14:textId="77777777" w:rsidR="009263F0" w:rsidRPr="009E6200" w:rsidRDefault="009263F0" w:rsidP="007B46F5">
      <w:pPr>
        <w:pStyle w:val="SDText"/>
        <w:ind w:firstLine="709"/>
        <w:jc w:val="both"/>
        <w:rPr>
          <w:lang w:eastAsia="ru-RU"/>
        </w:rPr>
      </w:pPr>
      <w:r w:rsidRPr="009E6200">
        <w:rPr>
          <w:lang w:eastAsia="ru-RU"/>
        </w:rPr>
        <w:t xml:space="preserve">Для пациентов, у которых наблюдаются симптомы умеренной или тяжелой гематологической токсичности (т.е. количество тромбоцитов и нейтрофильных лейкоцитов меньше 50000 и 500/мкл соответственно), </w:t>
      </w:r>
      <w:r w:rsidR="006E5582" w:rsidRPr="009E6200">
        <w:rPr>
          <w:lang w:eastAsia="ru-RU"/>
        </w:rPr>
        <w:t>последующие дозы препарата не вводятся до тех пор, пока содержание тромбоцитов не достигнет 100000/мкл, а нейтрофилов - 2000/мкл</w:t>
      </w:r>
      <w:r w:rsidR="007638F1" w:rsidRPr="009E6200">
        <w:rPr>
          <w:lang w:eastAsia="ru-RU"/>
        </w:rPr>
        <w:t>. При последующей терапии при этом следует</w:t>
      </w:r>
      <w:r w:rsidRPr="009E6200">
        <w:rPr>
          <w:lang w:eastAsia="ru-RU"/>
        </w:rPr>
        <w:t xml:space="preserve"> снизить дозу на 25%.</w:t>
      </w:r>
    </w:p>
    <w:p w14:paraId="2C549927" w14:textId="77777777" w:rsidR="00234615" w:rsidRPr="009E6200" w:rsidRDefault="00234615" w:rsidP="007B46F5">
      <w:pPr>
        <w:pStyle w:val="SDText"/>
        <w:jc w:val="both"/>
        <w:rPr>
          <w:lang w:eastAsia="ru-RU"/>
        </w:rPr>
      </w:pPr>
      <w:r w:rsidRPr="009E6200">
        <w:rPr>
          <w:lang w:eastAsia="ru-RU"/>
        </w:rPr>
        <w:t>Препарат должен быть отменен при развитии тяжелых реакций гиперчувствительности (генерализованная крапивница, ангионевротический отек, анафилактический шок), тяжелых кожных реакций (синдром Лайела, Стивенса-Джонсона), при кардиотоксических эффектах III-IV степени.</w:t>
      </w:r>
    </w:p>
    <w:p w14:paraId="44843DF1" w14:textId="04937D67" w:rsidR="00234615" w:rsidRPr="009E6200" w:rsidRDefault="00234615" w:rsidP="007B46F5">
      <w:pPr>
        <w:pStyle w:val="SDText"/>
        <w:ind w:firstLine="709"/>
        <w:jc w:val="both"/>
        <w:rPr>
          <w:lang w:eastAsia="ru-RU"/>
        </w:rPr>
      </w:pPr>
      <w:r w:rsidRPr="009E6200">
        <w:rPr>
          <w:lang w:eastAsia="ru-RU"/>
        </w:rPr>
        <w:t xml:space="preserve">При развитии других видов токсичности III-IV степени по CTCAE </w:t>
      </w:r>
      <w:r w:rsidR="00776730" w:rsidRPr="009E6200">
        <w:rPr>
          <w:lang w:eastAsia="ru-RU"/>
        </w:rPr>
        <w:t>(версия 5.0)</w:t>
      </w:r>
      <w:r w:rsidRPr="009E6200">
        <w:rPr>
          <w:lang w:eastAsia="ru-RU"/>
        </w:rPr>
        <w:t xml:space="preserve"> возможно продолжение лечения </w:t>
      </w:r>
      <w:r w:rsidR="00467C12" w:rsidRPr="009E6200">
        <w:rPr>
          <w:lang w:eastAsia="ru-RU"/>
        </w:rPr>
        <w:t xml:space="preserve">в прежней дозе </w:t>
      </w:r>
      <w:r w:rsidRPr="009E6200">
        <w:rPr>
          <w:lang w:eastAsia="ru-RU"/>
        </w:rPr>
        <w:t>после их разрешения, если перерыв в лечении составляет не более 2 недель от плановой даты введения.</w:t>
      </w:r>
    </w:p>
    <w:p w14:paraId="2049190D" w14:textId="18E5E002" w:rsidR="00715D39" w:rsidRDefault="009263F0" w:rsidP="007B46F5">
      <w:pPr>
        <w:pStyle w:val="SDText"/>
        <w:ind w:firstLine="709"/>
        <w:jc w:val="both"/>
        <w:rPr>
          <w:lang w:eastAsia="ru-RU"/>
        </w:rPr>
      </w:pPr>
      <w:r w:rsidRPr="009E6200">
        <w:rPr>
          <w:lang w:eastAsia="ru-RU"/>
        </w:rPr>
        <w:t>Повышение дозы после предшествующего снижения не допускается. В рамках данного исследования допускается не более 2 эпизодов снижения дозы</w:t>
      </w:r>
      <w:r w:rsidR="00AA63D8" w:rsidRPr="009E6200">
        <w:rPr>
          <w:lang w:eastAsia="ru-RU"/>
        </w:rPr>
        <w:t xml:space="preserve"> препаратов химиотерапии (паклитаксела, карбоплатина - обоих препаратов одновременно или любого из них по отдельности)</w:t>
      </w:r>
      <w:r w:rsidRPr="009E6200">
        <w:rPr>
          <w:lang w:eastAsia="ru-RU"/>
        </w:rPr>
        <w:t>, при необходимости дальнейшего снижения дозы пациент выбывает из исследования</w:t>
      </w:r>
      <w:r w:rsidR="00715D39" w:rsidRPr="009E6200">
        <w:rPr>
          <w:lang w:eastAsia="ru-RU"/>
        </w:rPr>
        <w:t>.</w:t>
      </w:r>
    </w:p>
    <w:p w14:paraId="45CF7B1A" w14:textId="77777777" w:rsidR="00E27DD9" w:rsidRPr="009E6200" w:rsidRDefault="00E27DD9" w:rsidP="007B46F5">
      <w:pPr>
        <w:pStyle w:val="SDText"/>
        <w:ind w:firstLine="709"/>
        <w:jc w:val="both"/>
        <w:rPr>
          <w:lang w:eastAsia="ru-RU"/>
        </w:rPr>
      </w:pPr>
    </w:p>
    <w:p w14:paraId="2F52BAAD" w14:textId="7EA2C865" w:rsidR="00715D39" w:rsidRDefault="00715D39" w:rsidP="007B46F5">
      <w:pPr>
        <w:pStyle w:val="Heading3"/>
        <w:spacing w:before="0" w:after="0" w:line="240" w:lineRule="auto"/>
        <w:ind w:left="567" w:hanging="567"/>
        <w:jc w:val="both"/>
        <w:rPr>
          <w:color w:val="auto"/>
          <w:sz w:val="24"/>
        </w:rPr>
      </w:pPr>
      <w:bookmarkStart w:id="194" w:name="_Toc120865287"/>
      <w:r w:rsidRPr="00E27DD9">
        <w:rPr>
          <w:color w:val="auto"/>
          <w:sz w:val="24"/>
        </w:rPr>
        <w:t>Приготовления растворов препаратов сопутствующей химиотерапии</w:t>
      </w:r>
      <w:bookmarkEnd w:id="194"/>
    </w:p>
    <w:p w14:paraId="45EEC739" w14:textId="77777777" w:rsidR="00E27DD9" w:rsidRPr="00E27DD9" w:rsidRDefault="00E27DD9" w:rsidP="007B46F5">
      <w:pPr>
        <w:pStyle w:val="SDText"/>
        <w:rPr>
          <w:lang w:eastAsia="ru-RU"/>
        </w:rPr>
      </w:pPr>
    </w:p>
    <w:p w14:paraId="13D0461C" w14:textId="1A1E33E7" w:rsidR="00715D39" w:rsidRDefault="00715D39" w:rsidP="007B46F5">
      <w:pPr>
        <w:pStyle w:val="Heading4"/>
        <w:spacing w:before="0" w:after="0"/>
        <w:jc w:val="both"/>
        <w:rPr>
          <w:color w:val="auto"/>
        </w:rPr>
      </w:pPr>
      <w:bookmarkStart w:id="195" w:name="_Toc120865288"/>
      <w:r w:rsidRPr="00E27DD9">
        <w:rPr>
          <w:color w:val="auto"/>
        </w:rPr>
        <w:t>Паклитаксел</w:t>
      </w:r>
      <w:bookmarkEnd w:id="195"/>
    </w:p>
    <w:p w14:paraId="13B9D746" w14:textId="77777777" w:rsidR="00E27DD9" w:rsidRPr="00E27DD9" w:rsidRDefault="00E27DD9" w:rsidP="007B46F5">
      <w:pPr>
        <w:rPr>
          <w:lang w:eastAsia="ru-RU"/>
        </w:rPr>
      </w:pPr>
    </w:p>
    <w:p w14:paraId="381E49AF" w14:textId="77777777" w:rsidR="00715D39" w:rsidRPr="009E6200" w:rsidRDefault="00715D39" w:rsidP="007B46F5">
      <w:pPr>
        <w:pStyle w:val="SDText"/>
        <w:ind w:firstLine="432"/>
        <w:jc w:val="both"/>
      </w:pPr>
      <w:r w:rsidRPr="00E27DD9">
        <w:rPr>
          <w:szCs w:val="24"/>
        </w:rPr>
        <w:t>При разведении концентрата для инфузии из флакона с паклитакселом нельзя использовать иглы или подобные</w:t>
      </w:r>
      <w:r w:rsidRPr="009E6200">
        <w:t xml:space="preserve"> устройства, которые использовались с другими цитостатиками, поскольку эго может вызвать сжатие пробки, что приведет к потере стерильности раствора. Перед введением паклитаксел необходимо развести для получения готового к применению раствора для инфузии (0,3–1,2 мг/мл) с соблюдением правил асептики и используя один из следующих растворов:</w:t>
      </w:r>
    </w:p>
    <w:p w14:paraId="7CFD8A2C" w14:textId="77777777" w:rsidR="00715D39" w:rsidRPr="009E6200" w:rsidRDefault="00715D39" w:rsidP="007B46F5">
      <w:pPr>
        <w:pStyle w:val="SDText"/>
        <w:numPr>
          <w:ilvl w:val="0"/>
          <w:numId w:val="18"/>
        </w:numPr>
        <w:ind w:firstLine="135"/>
        <w:jc w:val="both"/>
      </w:pPr>
      <w:r w:rsidRPr="009E6200">
        <w:t>0,9 % раствор натрия хлорида для инъекций;</w:t>
      </w:r>
    </w:p>
    <w:p w14:paraId="25AAC4C1" w14:textId="77777777" w:rsidR="00715D39" w:rsidRPr="009E6200" w:rsidRDefault="00715D39" w:rsidP="007B46F5">
      <w:pPr>
        <w:pStyle w:val="SDText"/>
        <w:numPr>
          <w:ilvl w:val="0"/>
          <w:numId w:val="18"/>
        </w:numPr>
        <w:ind w:firstLine="135"/>
        <w:jc w:val="both"/>
      </w:pPr>
      <w:r w:rsidRPr="009E6200">
        <w:t>5 % раствор декстрозы для инфузии;</w:t>
      </w:r>
    </w:p>
    <w:p w14:paraId="234AE2E0" w14:textId="77777777" w:rsidR="00715D39" w:rsidRPr="009E6200" w:rsidRDefault="00715D39" w:rsidP="007B46F5">
      <w:pPr>
        <w:pStyle w:val="SDText"/>
        <w:numPr>
          <w:ilvl w:val="0"/>
          <w:numId w:val="18"/>
        </w:numPr>
        <w:ind w:firstLine="135"/>
        <w:jc w:val="both"/>
      </w:pPr>
      <w:r w:rsidRPr="009E6200">
        <w:t>5 % раствор декстрозы в 0,9% растворе натрия хлорида.</w:t>
      </w:r>
    </w:p>
    <w:p w14:paraId="0AEE7F26" w14:textId="77777777" w:rsidR="00715D39" w:rsidRPr="009E6200" w:rsidRDefault="00715D39" w:rsidP="007B46F5">
      <w:pPr>
        <w:pStyle w:val="SDText"/>
        <w:ind w:firstLine="432"/>
        <w:jc w:val="both"/>
      </w:pPr>
      <w:r w:rsidRPr="009E6200">
        <w:t>Готовый к применению раствор для инфузии следует визуально исследовать на наличие механических примесей и по изменению цвета.</w:t>
      </w:r>
    </w:p>
    <w:p w14:paraId="7A908B20" w14:textId="77777777" w:rsidR="00715D39" w:rsidRPr="009E6200" w:rsidRDefault="00715D39" w:rsidP="007B46F5">
      <w:pPr>
        <w:pStyle w:val="SDText"/>
        <w:ind w:firstLine="432"/>
        <w:jc w:val="both"/>
      </w:pPr>
      <w:r w:rsidRPr="009E6200">
        <w:t>После приготовления растворы для инфузии могут опалесцировать, что обусловлено составом основы-носителя и не устраняется путем фильтрования. Однако опалесценция не влияет на силу действия препарата. Раствор для инфузии следует вводить через имеющийся в инфузионной системе мембранный фильтр с размером пор &lt; 0,22 мкм.</w:t>
      </w:r>
    </w:p>
    <w:p w14:paraId="16363EEB" w14:textId="77777777" w:rsidR="00715D39" w:rsidRPr="009E6200" w:rsidRDefault="00715D39" w:rsidP="007B46F5">
      <w:pPr>
        <w:pStyle w:val="SDText"/>
        <w:jc w:val="both"/>
      </w:pPr>
      <w:r w:rsidRPr="009E6200">
        <w:t>Растворы, полученные разведением препарата 0,9 % раствором натрия хлорида, 5% раствором декстрозы и 5% раствор декстрозы в 0,9% растворе натрия хлорида стабильны в течение 27 ч при хранении при температуре 25 ± 2°С.</w:t>
      </w:r>
    </w:p>
    <w:p w14:paraId="3A186D40" w14:textId="77777777" w:rsidR="00715D39" w:rsidRPr="009E6200" w:rsidRDefault="00715D39" w:rsidP="007B46F5">
      <w:pPr>
        <w:pStyle w:val="SDText"/>
        <w:ind w:firstLine="709"/>
        <w:jc w:val="both"/>
      </w:pPr>
      <w:r w:rsidRPr="009E6200">
        <w:t>При введении через такую систему заметных потерь активности препарата не наблюдается. Сообщалось о случаях выпадения осадка при введении паклигаксела путем инфузии, что происходило обычно в конце 24-часовой инфузии. Для уменьшения риска выпадения осадка паклитаксел необходимо применять сразу после разведения, следует не допускать сильного встряхивания или перемешивания раствора. Внешний вид раствора для инфузии нужно постоянно контролировать во время проведения инфузии, в случае выпадения осадка введение препарата следует прекратить.</w:t>
      </w:r>
    </w:p>
    <w:p w14:paraId="56240CB6" w14:textId="26F3D940" w:rsidR="00FE1055" w:rsidRDefault="00715D39" w:rsidP="007B46F5">
      <w:pPr>
        <w:pStyle w:val="SDText"/>
        <w:ind w:firstLine="709"/>
        <w:jc w:val="both"/>
      </w:pPr>
      <w:r w:rsidRPr="009E6200">
        <w:t>С целью минимизации воздействия на пациентов диэтилгексилфталата (ДЕГФ), который может выделяться из инфузионных систем или другого медицинского оборудования из пластифицированного ПВХ, разбавленный раствор паклитаксела следует хранить во флаконах из материалов, не содержащих ПВХ (стекло, полипропилен), или пластиковых пакетах из материалов, не содержащих ПВХ (полипропилен, полиолефин), и вводить через инфузионные системы из полиэтилена. Использование фильтров, которые имеют встроенные короткие входные и/или выходные трубки из пластифицированного ПВХ, не приводили к значительному выщелачиванию ДЕГФ.</w:t>
      </w:r>
    </w:p>
    <w:p w14:paraId="73E2359A" w14:textId="77777777" w:rsidR="00E27DD9" w:rsidRPr="009E6200" w:rsidRDefault="00E27DD9" w:rsidP="007B46F5">
      <w:pPr>
        <w:pStyle w:val="SDText"/>
        <w:ind w:firstLine="709"/>
        <w:jc w:val="both"/>
      </w:pPr>
    </w:p>
    <w:p w14:paraId="40088180" w14:textId="76A60EF6" w:rsidR="00715D39" w:rsidRDefault="00715D39" w:rsidP="007B46F5">
      <w:pPr>
        <w:pStyle w:val="Heading4"/>
        <w:spacing w:before="0" w:after="0"/>
        <w:jc w:val="both"/>
        <w:rPr>
          <w:color w:val="auto"/>
        </w:rPr>
      </w:pPr>
      <w:bookmarkStart w:id="196" w:name="_Toc120865289"/>
      <w:r w:rsidRPr="009E6200">
        <w:rPr>
          <w:color w:val="auto"/>
        </w:rPr>
        <w:t>Карбоплатин</w:t>
      </w:r>
      <w:bookmarkEnd w:id="196"/>
    </w:p>
    <w:p w14:paraId="5B98E93B" w14:textId="77777777" w:rsidR="00E27DD9" w:rsidRPr="00E27DD9" w:rsidRDefault="00E27DD9" w:rsidP="007B46F5">
      <w:pPr>
        <w:rPr>
          <w:lang w:eastAsia="ru-RU"/>
        </w:rPr>
      </w:pPr>
    </w:p>
    <w:p w14:paraId="215CEE1C" w14:textId="6606B0F5" w:rsidR="00715D39" w:rsidRDefault="00715D39" w:rsidP="007B46F5">
      <w:pPr>
        <w:pStyle w:val="SDText"/>
        <w:ind w:firstLine="709"/>
        <w:jc w:val="both"/>
      </w:pPr>
      <w:r w:rsidRPr="009E6200">
        <w:t>Содержимое флакона следует растворять непосредственно перед употреблением в стерильной воде для инъекций, 5% растворе декстрозы или 0,9 % растворе натрия хлорида до конечной концентрации 1,0-0,5 мг/мл. Приготовленный раствор необходимо использовать в течение 8 ч.</w:t>
      </w:r>
    </w:p>
    <w:p w14:paraId="29BFA389" w14:textId="77777777" w:rsidR="00E27DD9" w:rsidRPr="009E6200" w:rsidRDefault="00E27DD9" w:rsidP="007B46F5">
      <w:pPr>
        <w:pStyle w:val="SDText"/>
        <w:ind w:firstLine="709"/>
        <w:jc w:val="both"/>
      </w:pPr>
    </w:p>
    <w:p w14:paraId="05275D26" w14:textId="330F3B25" w:rsidR="00ED08F7" w:rsidRDefault="0007231D" w:rsidP="007B46F5">
      <w:pPr>
        <w:pStyle w:val="Heading2"/>
      </w:pPr>
      <w:bookmarkStart w:id="197" w:name="_Toc120865290"/>
      <w:r w:rsidRPr="009E6200">
        <w:t>К</w:t>
      </w:r>
      <w:r w:rsidR="00ED08F7" w:rsidRPr="009E6200">
        <w:t>онтроль комплаентности</w:t>
      </w:r>
      <w:bookmarkEnd w:id="197"/>
    </w:p>
    <w:p w14:paraId="6A5CDC5F" w14:textId="77777777" w:rsidR="00E27DD9" w:rsidRPr="00E27DD9" w:rsidRDefault="00E27DD9" w:rsidP="007B46F5">
      <w:pPr>
        <w:pStyle w:val="SDText"/>
        <w:rPr>
          <w:lang w:eastAsia="ru-RU"/>
        </w:rPr>
      </w:pPr>
    </w:p>
    <w:p w14:paraId="522D3E64" w14:textId="4B0C9C91" w:rsidR="00802806" w:rsidRDefault="002F3FFE" w:rsidP="007B46F5">
      <w:pPr>
        <w:pStyle w:val="SDText"/>
        <w:ind w:firstLine="709"/>
        <w:jc w:val="both"/>
        <w:rPr>
          <w:lang w:eastAsia="ru-RU"/>
        </w:rPr>
      </w:pPr>
      <w:r w:rsidRPr="00D35D55">
        <w:rPr>
          <w:rFonts w:cs="Times New Roman"/>
          <w:szCs w:val="24"/>
        </w:rPr>
        <w:t>Введение препарата проводится в присутствии исследователя</w:t>
      </w:r>
      <w:r w:rsidR="00D01C9D">
        <w:rPr>
          <w:rFonts w:cs="Times New Roman"/>
          <w:szCs w:val="24"/>
        </w:rPr>
        <w:t xml:space="preserve"> </w:t>
      </w:r>
      <w:r w:rsidR="00D01C9D" w:rsidRPr="00717B11">
        <w:rPr>
          <w:szCs w:val="24"/>
        </w:rPr>
        <w:t>в исследовательск</w:t>
      </w:r>
      <w:r w:rsidR="00D01C9D">
        <w:rPr>
          <w:szCs w:val="24"/>
        </w:rPr>
        <w:t>их центрах,</w:t>
      </w:r>
      <w:r w:rsidR="00D01C9D" w:rsidRPr="00717B11">
        <w:rPr>
          <w:szCs w:val="24"/>
        </w:rPr>
        <w:t xml:space="preserve"> под наб</w:t>
      </w:r>
      <w:r w:rsidR="00D01C9D">
        <w:rPr>
          <w:szCs w:val="24"/>
        </w:rPr>
        <w:t>людением медицинского персонала</w:t>
      </w:r>
      <w:r w:rsidRPr="00D35D55">
        <w:rPr>
          <w:rFonts w:cs="Times New Roman"/>
          <w:szCs w:val="24"/>
        </w:rPr>
        <w:t>. В связи с этим предполагается 100% комплаентность, контроль</w:t>
      </w:r>
      <w:r>
        <w:rPr>
          <w:rFonts w:cs="Times New Roman"/>
          <w:szCs w:val="24"/>
        </w:rPr>
        <w:t xml:space="preserve"> комплаентности не предусмотрен</w:t>
      </w:r>
      <w:r w:rsidR="00BC7D47" w:rsidRPr="009E6200">
        <w:rPr>
          <w:lang w:eastAsia="ru-RU"/>
        </w:rPr>
        <w:t>.</w:t>
      </w:r>
      <w:r w:rsidR="00D01C9D">
        <w:rPr>
          <w:lang w:eastAsia="ru-RU"/>
        </w:rPr>
        <w:t xml:space="preserve"> </w:t>
      </w:r>
    </w:p>
    <w:p w14:paraId="3DDF4AEE" w14:textId="77777777" w:rsidR="00E27DD9" w:rsidRPr="008306E4" w:rsidRDefault="00E27DD9" w:rsidP="007B46F5">
      <w:pPr>
        <w:pStyle w:val="SDText"/>
        <w:ind w:firstLine="709"/>
        <w:jc w:val="both"/>
        <w:rPr>
          <w:lang w:eastAsia="ru-RU"/>
        </w:rPr>
      </w:pPr>
    </w:p>
    <w:p w14:paraId="2CBF5606" w14:textId="7563AAF8" w:rsidR="00ED08F7" w:rsidRDefault="00ED08F7" w:rsidP="007B46F5">
      <w:pPr>
        <w:pStyle w:val="Heading2"/>
      </w:pPr>
      <w:bookmarkStart w:id="198" w:name="_Ref12190842"/>
      <w:bookmarkStart w:id="199" w:name="_Toc120865291"/>
      <w:r w:rsidRPr="009E6200">
        <w:t>Разрешенная сопутствующая терапия</w:t>
      </w:r>
      <w:bookmarkEnd w:id="198"/>
      <w:bookmarkEnd w:id="199"/>
    </w:p>
    <w:p w14:paraId="0BA2DBE4" w14:textId="77777777" w:rsidR="00E27DD9" w:rsidRPr="00E27DD9" w:rsidRDefault="00E27DD9" w:rsidP="007B46F5">
      <w:pPr>
        <w:pStyle w:val="SDText"/>
        <w:rPr>
          <w:lang w:eastAsia="ru-RU"/>
        </w:rPr>
      </w:pPr>
    </w:p>
    <w:p w14:paraId="4353F9E6" w14:textId="029C8332" w:rsidR="00ED08F7" w:rsidRPr="009E6200" w:rsidRDefault="000155D9" w:rsidP="007B46F5">
      <w:pPr>
        <w:pStyle w:val="SDText"/>
        <w:ind w:firstLine="709"/>
        <w:jc w:val="both"/>
        <w:rPr>
          <w:lang w:eastAsia="ru-RU"/>
        </w:rPr>
      </w:pPr>
      <w:r w:rsidRPr="009E6200">
        <w:rPr>
          <w:lang w:eastAsia="ru-RU"/>
        </w:rPr>
        <w:t xml:space="preserve">Разрешено применение любых лекарственных препаратов, кроме перечисленных в разделе </w:t>
      </w:r>
      <w:r w:rsidRPr="009E6200">
        <w:rPr>
          <w:lang w:eastAsia="ru-RU"/>
        </w:rPr>
        <w:fldChar w:fldCharType="begin"/>
      </w:r>
      <w:r w:rsidRPr="009E6200">
        <w:rPr>
          <w:lang w:eastAsia="ru-RU"/>
        </w:rPr>
        <w:instrText xml:space="preserve"> REF _Ref466177184 \r \h </w:instrText>
      </w:r>
      <w:r w:rsidR="00B30382" w:rsidRPr="009E6200">
        <w:rPr>
          <w:lang w:eastAsia="ru-RU"/>
        </w:rPr>
        <w:instrText xml:space="preserve"> \* MERGEFORMAT </w:instrText>
      </w:r>
      <w:r w:rsidRPr="009E6200">
        <w:rPr>
          <w:lang w:eastAsia="ru-RU"/>
        </w:rPr>
      </w:r>
      <w:r w:rsidRPr="009E6200">
        <w:rPr>
          <w:lang w:eastAsia="ru-RU"/>
        </w:rPr>
        <w:fldChar w:fldCharType="separate"/>
      </w:r>
      <w:r w:rsidR="005A436A">
        <w:rPr>
          <w:lang w:eastAsia="ru-RU"/>
        </w:rPr>
        <w:t>6.5</w:t>
      </w:r>
      <w:r w:rsidRPr="009E6200">
        <w:rPr>
          <w:lang w:eastAsia="ru-RU"/>
        </w:rPr>
        <w:fldChar w:fldCharType="end"/>
      </w:r>
      <w:r w:rsidRPr="009E6200">
        <w:rPr>
          <w:lang w:eastAsia="ru-RU"/>
        </w:rPr>
        <w:t>.</w:t>
      </w:r>
    </w:p>
    <w:p w14:paraId="07A6BE9B" w14:textId="77777777" w:rsidR="00BD5EFD" w:rsidRPr="009E6200" w:rsidRDefault="004E5FCB" w:rsidP="007B46F5">
      <w:pPr>
        <w:pStyle w:val="SDText"/>
        <w:ind w:firstLine="709"/>
        <w:jc w:val="both"/>
        <w:rPr>
          <w:lang w:eastAsia="ru-RU"/>
        </w:rPr>
      </w:pPr>
      <w:r w:rsidRPr="009E6200">
        <w:rPr>
          <w:lang w:eastAsia="ru-RU"/>
        </w:rPr>
        <w:t xml:space="preserve">Начиная за 4 недели до введения первой дозы препарата и, как минимум, в течение 6 мес. после введения последней дозы исследуемого препарата/препарата сравнения </w:t>
      </w:r>
      <w:r w:rsidR="00BD5EFD" w:rsidRPr="009E6200">
        <w:rPr>
          <w:lang w:eastAsia="ru-RU"/>
        </w:rPr>
        <w:t xml:space="preserve">участницы исследования с сохраненным репродуктивным потенциалом, а также участники с сохраненным репродуктивным потенциалом, половые партнерши которых способны к зачатию, должны использовать эффективные методы контрацепции. </w:t>
      </w:r>
    </w:p>
    <w:p w14:paraId="22EAEFD1" w14:textId="77777777" w:rsidR="00BD5EFD" w:rsidRPr="009E6200" w:rsidRDefault="00BD5EFD" w:rsidP="007B46F5">
      <w:pPr>
        <w:pStyle w:val="SDText"/>
        <w:ind w:firstLine="709"/>
        <w:jc w:val="both"/>
        <w:rPr>
          <w:lang w:eastAsia="ru-RU"/>
        </w:rPr>
      </w:pPr>
      <w:r w:rsidRPr="009E6200">
        <w:rPr>
          <w:lang w:eastAsia="ru-RU"/>
        </w:rPr>
        <w:t>К эффективным методам контрацепции относятся:</w:t>
      </w:r>
    </w:p>
    <w:p w14:paraId="29FEDE8C" w14:textId="77777777" w:rsidR="00BD5EFD" w:rsidRPr="009E6200" w:rsidRDefault="00BD5EFD" w:rsidP="007B46F5">
      <w:pPr>
        <w:pStyle w:val="SDText"/>
        <w:numPr>
          <w:ilvl w:val="0"/>
          <w:numId w:val="8"/>
        </w:numPr>
        <w:ind w:left="1134" w:hanging="283"/>
        <w:jc w:val="both"/>
        <w:rPr>
          <w:lang w:eastAsia="ru-RU"/>
        </w:rPr>
      </w:pPr>
      <w:r w:rsidRPr="009E6200">
        <w:rPr>
          <w:lang w:eastAsia="ru-RU"/>
        </w:rPr>
        <w:t xml:space="preserve">Полное воздержание; </w:t>
      </w:r>
    </w:p>
    <w:p w14:paraId="31AC6E7C" w14:textId="77777777" w:rsidR="00BD5EFD" w:rsidRPr="009E6200" w:rsidRDefault="00BD5EFD" w:rsidP="007B46F5">
      <w:pPr>
        <w:pStyle w:val="SDText"/>
        <w:numPr>
          <w:ilvl w:val="0"/>
          <w:numId w:val="8"/>
        </w:numPr>
        <w:ind w:left="1134" w:hanging="283"/>
        <w:jc w:val="both"/>
        <w:rPr>
          <w:lang w:eastAsia="ru-RU"/>
        </w:rPr>
      </w:pPr>
      <w:r w:rsidRPr="009E6200">
        <w:rPr>
          <w:lang w:eastAsia="ru-RU"/>
        </w:rPr>
        <w:t xml:space="preserve">Пероральные контрацептивы (комбинированные препараты, содержащие прогестаген, или только прогестаген); </w:t>
      </w:r>
    </w:p>
    <w:p w14:paraId="3F176BC8" w14:textId="77777777" w:rsidR="00BD5EFD" w:rsidRPr="009E6200" w:rsidRDefault="00BD5EFD" w:rsidP="007B46F5">
      <w:pPr>
        <w:pStyle w:val="SDText"/>
        <w:numPr>
          <w:ilvl w:val="0"/>
          <w:numId w:val="8"/>
        </w:numPr>
        <w:ind w:left="1134" w:hanging="283"/>
        <w:jc w:val="both"/>
        <w:rPr>
          <w:lang w:eastAsia="ru-RU"/>
        </w:rPr>
      </w:pPr>
      <w:r w:rsidRPr="009E6200">
        <w:rPr>
          <w:lang w:eastAsia="ru-RU"/>
        </w:rPr>
        <w:t>Инъекционный прогестаген;</w:t>
      </w:r>
    </w:p>
    <w:p w14:paraId="008E9E3E" w14:textId="77777777" w:rsidR="00BD5EFD" w:rsidRPr="009E6200" w:rsidRDefault="00BD5EFD" w:rsidP="007B46F5">
      <w:pPr>
        <w:pStyle w:val="SDText"/>
        <w:numPr>
          <w:ilvl w:val="0"/>
          <w:numId w:val="8"/>
        </w:numPr>
        <w:ind w:left="1134" w:hanging="283"/>
        <w:jc w:val="both"/>
        <w:rPr>
          <w:lang w:eastAsia="ru-RU"/>
        </w:rPr>
      </w:pPr>
      <w:r w:rsidRPr="009E6200">
        <w:rPr>
          <w:lang w:eastAsia="ru-RU"/>
        </w:rPr>
        <w:t xml:space="preserve">Импланты с левоноргестрелом; </w:t>
      </w:r>
    </w:p>
    <w:p w14:paraId="7A59680B" w14:textId="77777777" w:rsidR="00BD5EFD" w:rsidRPr="009E6200" w:rsidRDefault="00BD5EFD" w:rsidP="007B46F5">
      <w:pPr>
        <w:pStyle w:val="SDText"/>
        <w:numPr>
          <w:ilvl w:val="0"/>
          <w:numId w:val="8"/>
        </w:numPr>
        <w:ind w:left="1134" w:hanging="283"/>
        <w:jc w:val="both"/>
        <w:rPr>
          <w:lang w:eastAsia="ru-RU"/>
        </w:rPr>
      </w:pPr>
      <w:r w:rsidRPr="009E6200">
        <w:rPr>
          <w:lang w:eastAsia="ru-RU"/>
        </w:rPr>
        <w:t>Эстрогенсодержащее вагинальное кольцо;</w:t>
      </w:r>
    </w:p>
    <w:p w14:paraId="52F95EB0" w14:textId="77777777" w:rsidR="00BD5EFD" w:rsidRPr="009E6200" w:rsidRDefault="00BD5EFD" w:rsidP="007B46F5">
      <w:pPr>
        <w:pStyle w:val="SDText"/>
        <w:numPr>
          <w:ilvl w:val="0"/>
          <w:numId w:val="8"/>
        </w:numPr>
        <w:ind w:left="1134" w:hanging="283"/>
        <w:jc w:val="both"/>
        <w:rPr>
          <w:lang w:eastAsia="ru-RU"/>
        </w:rPr>
      </w:pPr>
      <w:r w:rsidRPr="009E6200">
        <w:rPr>
          <w:lang w:eastAsia="ru-RU"/>
        </w:rPr>
        <w:t>Трансдермальные пластыри с контрацептивом;</w:t>
      </w:r>
    </w:p>
    <w:p w14:paraId="43B27282" w14:textId="77777777" w:rsidR="00BD5EFD" w:rsidRPr="009E6200" w:rsidRDefault="00BD5EFD" w:rsidP="007B46F5">
      <w:pPr>
        <w:pStyle w:val="SDText"/>
        <w:numPr>
          <w:ilvl w:val="0"/>
          <w:numId w:val="8"/>
        </w:numPr>
        <w:ind w:left="1134" w:hanging="283"/>
        <w:jc w:val="both"/>
        <w:rPr>
          <w:lang w:eastAsia="ru-RU"/>
        </w:rPr>
      </w:pPr>
      <w:r w:rsidRPr="009E6200">
        <w:rPr>
          <w:lang w:eastAsia="ru-RU"/>
        </w:rPr>
        <w:t>Внутриматочное устройство (ВМУ) или внутриматочная система (ВМС), которое соответствует критериям эффективности, как указано в инструкции по применению;</w:t>
      </w:r>
    </w:p>
    <w:p w14:paraId="2FDFC6A2" w14:textId="77777777" w:rsidR="00BD5EFD" w:rsidRPr="009E6200" w:rsidRDefault="00BD5EFD" w:rsidP="007B46F5">
      <w:pPr>
        <w:pStyle w:val="SDText"/>
        <w:numPr>
          <w:ilvl w:val="0"/>
          <w:numId w:val="8"/>
        </w:numPr>
        <w:ind w:left="1134" w:hanging="283"/>
        <w:jc w:val="both"/>
        <w:rPr>
          <w:lang w:eastAsia="ru-RU"/>
        </w:rPr>
      </w:pPr>
      <w:r w:rsidRPr="009E6200">
        <w:rPr>
          <w:lang w:eastAsia="ru-RU"/>
        </w:rPr>
        <w:t>Партнер-мужчина является стерильным (вазэктомия с документально подтвержденной азооспермией) до включения женщины в исследование и при условии, что данный партнер-мужчина является единственным у этой пациентки. Для данного определения, «документально подтвержденная» имеет отношение к результату медицинского обследования исследователем/ответственным лицом пациента или обзор анамнеза пациента для оценки пригодности для включения в исследование, что получено при устном общении с пациентом или из медицинских записей пациента;</w:t>
      </w:r>
    </w:p>
    <w:p w14:paraId="36D413C9" w14:textId="77777777" w:rsidR="00BD5EFD" w:rsidRPr="009E6200" w:rsidRDefault="00BD5EFD" w:rsidP="007B46F5">
      <w:pPr>
        <w:pStyle w:val="SDText"/>
        <w:numPr>
          <w:ilvl w:val="0"/>
          <w:numId w:val="8"/>
        </w:numPr>
        <w:ind w:left="1134" w:hanging="283"/>
        <w:jc w:val="both"/>
        <w:rPr>
          <w:lang w:eastAsia="ru-RU"/>
        </w:rPr>
      </w:pPr>
      <w:r w:rsidRPr="009E6200">
        <w:rPr>
          <w:lang w:eastAsia="ru-RU"/>
        </w:rPr>
        <w:t>Двойной барьерный метод: презерватив или окклюзионный колпачок (диафрагма или цервикальный/сводчатый колпачки) плюс спермицид (пенка/гель/пленка/крем/суппозиторий).</w:t>
      </w:r>
    </w:p>
    <w:p w14:paraId="0107E52F" w14:textId="77777777" w:rsidR="00BD5EFD" w:rsidRPr="009E6200" w:rsidRDefault="00BD5EFD" w:rsidP="007B46F5">
      <w:pPr>
        <w:pStyle w:val="SDText"/>
        <w:ind w:firstLine="709"/>
        <w:jc w:val="both"/>
        <w:rPr>
          <w:lang w:eastAsia="ru-RU"/>
        </w:rPr>
      </w:pPr>
      <w:r w:rsidRPr="009E6200">
        <w:rPr>
          <w:lang w:eastAsia="ru-RU"/>
        </w:rPr>
        <w:t>Неспособны к зачатию женщины после документированной хирургической стерилизации, а также в естественной менопаузе продолжительностью не менее 2 лет.</w:t>
      </w:r>
    </w:p>
    <w:p w14:paraId="26EFE36A" w14:textId="426237DA" w:rsidR="00BD5EFD" w:rsidRDefault="00BD5EFD" w:rsidP="007B46F5">
      <w:pPr>
        <w:pStyle w:val="SDText"/>
        <w:jc w:val="both"/>
        <w:rPr>
          <w:lang w:eastAsia="ru-RU"/>
        </w:rPr>
      </w:pPr>
      <w:r w:rsidRPr="009E6200">
        <w:rPr>
          <w:lang w:eastAsia="ru-RU"/>
        </w:rPr>
        <w:t xml:space="preserve">Мужчины, участвующие в исследовании, в течение всего периода участия в исследовании, </w:t>
      </w:r>
      <w:r w:rsidR="00527166" w:rsidRPr="009E6200">
        <w:rPr>
          <w:lang w:eastAsia="ru-RU"/>
        </w:rPr>
        <w:t>начиная за 4 недели до введения первой дозы препарата и, как минимум, в течение 6 мес. после введения последней дозы исследуемого препарата/препарата сравнения</w:t>
      </w:r>
      <w:r w:rsidRPr="009E6200">
        <w:rPr>
          <w:lang w:eastAsia="ru-RU"/>
        </w:rPr>
        <w:t>, должны соблюдать с партнёршей адекватный метод контрацепции</w:t>
      </w:r>
      <w:r w:rsidR="00D07EAF" w:rsidRPr="009E6200">
        <w:rPr>
          <w:lang w:eastAsia="ru-RU"/>
        </w:rPr>
        <w:t>.</w:t>
      </w:r>
    </w:p>
    <w:p w14:paraId="4D057BEA" w14:textId="77777777" w:rsidR="00E27DD9" w:rsidRPr="009E6200" w:rsidRDefault="00E27DD9" w:rsidP="007B46F5">
      <w:pPr>
        <w:pStyle w:val="SDText"/>
        <w:jc w:val="both"/>
        <w:rPr>
          <w:lang w:eastAsia="ru-RU"/>
        </w:rPr>
      </w:pPr>
    </w:p>
    <w:p w14:paraId="5BF41AD8" w14:textId="430C59F6" w:rsidR="00ED08F7" w:rsidRDefault="00ED08F7" w:rsidP="007B46F5">
      <w:pPr>
        <w:pStyle w:val="Heading2"/>
      </w:pPr>
      <w:bookmarkStart w:id="200" w:name="_Ref466177184"/>
      <w:bookmarkStart w:id="201" w:name="_Toc120865292"/>
      <w:r w:rsidRPr="009E6200">
        <w:t>Запрещенная сопутствующая терапия</w:t>
      </w:r>
      <w:bookmarkEnd w:id="200"/>
      <w:bookmarkEnd w:id="201"/>
    </w:p>
    <w:p w14:paraId="4BE4017E" w14:textId="77777777" w:rsidR="00E27DD9" w:rsidRPr="00E27DD9" w:rsidRDefault="00E27DD9" w:rsidP="007B46F5">
      <w:pPr>
        <w:pStyle w:val="SDText"/>
        <w:rPr>
          <w:lang w:eastAsia="ru-RU"/>
        </w:rPr>
      </w:pPr>
    </w:p>
    <w:p w14:paraId="3EB6C4CC" w14:textId="556D26FB" w:rsidR="00527166" w:rsidRPr="009E6200" w:rsidRDefault="00527166" w:rsidP="007B46F5">
      <w:pPr>
        <w:pStyle w:val="SDText"/>
        <w:ind w:firstLine="709"/>
        <w:jc w:val="both"/>
        <w:rPr>
          <w:lang w:eastAsia="ru-RU"/>
        </w:rPr>
      </w:pPr>
      <w:r w:rsidRPr="009E6200">
        <w:rPr>
          <w:lang w:eastAsia="ru-RU"/>
        </w:rPr>
        <w:t>В течение месяца до Визита 1 (рандомизация) и в течение всего участия в исследовании, пациентам запрещено принимать следующие лекарственные препараты</w:t>
      </w:r>
      <w:r w:rsidR="006F0357" w:rsidRPr="009E6200">
        <w:rPr>
          <w:lang w:eastAsia="ru-RU"/>
        </w:rPr>
        <w:t xml:space="preserve"> и проводить методы лечения</w:t>
      </w:r>
      <w:r w:rsidRPr="009E6200">
        <w:rPr>
          <w:lang w:eastAsia="ru-RU"/>
        </w:rPr>
        <w:t>:</w:t>
      </w:r>
    </w:p>
    <w:p w14:paraId="44DDCA00" w14:textId="77777777" w:rsidR="005A436A" w:rsidRDefault="001F6468" w:rsidP="007B46F5">
      <w:pPr>
        <w:pStyle w:val="SDText"/>
        <w:ind w:left="302" w:hanging="284"/>
        <w:jc w:val="both"/>
        <w:rPr>
          <w:lang w:eastAsia="ru-RU"/>
        </w:rPr>
      </w:pPr>
      <w:r w:rsidRPr="009E6200">
        <w:rPr>
          <w:lang w:eastAsia="ru-RU"/>
        </w:rPr>
        <w:fldChar w:fldCharType="begin"/>
      </w:r>
      <w:r w:rsidRPr="009E6200">
        <w:rPr>
          <w:lang w:eastAsia="ru-RU"/>
        </w:rPr>
        <w:instrText xml:space="preserve"> REF OLE_LINK_Zaprechennaya_terapia \h </w:instrText>
      </w:r>
      <w:r w:rsidR="009E6200">
        <w:rPr>
          <w:lang w:eastAsia="ru-RU"/>
        </w:rPr>
        <w:instrText xml:space="preserve"> \* MERGEFORMAT </w:instrText>
      </w:r>
      <w:r w:rsidRPr="009E6200">
        <w:rPr>
          <w:lang w:eastAsia="ru-RU"/>
        </w:rPr>
      </w:r>
      <w:r w:rsidRPr="009E6200">
        <w:rPr>
          <w:lang w:eastAsia="ru-RU"/>
        </w:rPr>
        <w:fldChar w:fldCharType="separate"/>
      </w:r>
    </w:p>
    <w:sdt>
      <w:sdtPr>
        <w:rPr>
          <w:lang w:eastAsia="ru-RU"/>
        </w:rPr>
        <w:alias w:val="Запрещенная сопутствующая терапия"/>
        <w:tag w:val="Запрещенная сопутствующая терапия"/>
        <w:id w:val="-1380474600"/>
        <w:placeholder>
          <w:docPart w:val="F1ED9DE4F74D4E0A84C7E56BB9DCCBEB"/>
        </w:placeholder>
      </w:sdtPr>
      <w:sdtEndPr>
        <w:rPr>
          <w:rFonts w:cs="Times New Roman"/>
          <w:szCs w:val="24"/>
          <w:lang w:eastAsia="en-US"/>
        </w:rPr>
      </w:sdtEndPr>
      <w:sdtContent>
        <w:p w14:paraId="3E388714" w14:textId="63AED2E7" w:rsidR="005A436A" w:rsidRPr="009E6200" w:rsidRDefault="005A436A" w:rsidP="007B46F5">
          <w:pPr>
            <w:pStyle w:val="SDText"/>
            <w:ind w:left="302" w:hanging="284"/>
            <w:jc w:val="both"/>
            <w:rPr>
              <w:lang w:eastAsia="ru-RU"/>
            </w:rPr>
          </w:pPr>
          <w:r w:rsidRPr="005A436A">
            <w:rPr>
              <w:noProof/>
            </w:rPr>
            <w:t>1</w:t>
          </w:r>
          <w:r w:rsidRPr="009E6200">
            <w:tab/>
          </w:r>
          <w:r w:rsidRPr="00B35F6C">
            <w:rPr>
              <w:lang w:eastAsia="ru-RU"/>
            </w:rPr>
            <w:t>Антикоагулянты</w:t>
          </w:r>
          <w:r w:rsidRPr="001652C0">
            <w:rPr>
              <w:lang w:eastAsia="ru-RU"/>
            </w:rPr>
            <w:t xml:space="preserve"> </w:t>
          </w:r>
          <w:r>
            <w:rPr>
              <w:lang w:eastAsia="ru-RU"/>
            </w:rPr>
            <w:t xml:space="preserve">запрещены для всех участников исследования, кроме пациентов с подтвержденным </w:t>
          </w:r>
          <w:r>
            <w:rPr>
              <w:lang w:val="en-US" w:eastAsia="ru-RU"/>
            </w:rPr>
            <w:t>COVID</w:t>
          </w:r>
          <w:r w:rsidRPr="00887681">
            <w:rPr>
              <w:lang w:eastAsia="ru-RU"/>
            </w:rPr>
            <w:t>-19</w:t>
          </w:r>
          <w:r>
            <w:rPr>
              <w:lang w:eastAsia="ru-RU"/>
            </w:rPr>
            <w:t xml:space="preserve"> с высоким риском тромботических явлений. Терапию бевацизумабом на период лечения новой коронавируской инфекции прерывать не следует, если этого не требует состояние пациента, по мнению главного исследователя. На период терапии антикоагулянтами назначают контроль АЧТВ с частотой не реже 2 раз в неделю</w:t>
          </w:r>
          <w:r w:rsidRPr="009E6200">
            <w:rPr>
              <w:lang w:eastAsia="ru-RU"/>
            </w:rPr>
            <w:t>;</w:t>
          </w:r>
        </w:p>
        <w:p w14:paraId="19A2D559" w14:textId="77777777" w:rsidR="005A436A" w:rsidRPr="009E6200" w:rsidRDefault="005A436A" w:rsidP="007B46F5">
          <w:pPr>
            <w:pStyle w:val="SDText"/>
            <w:ind w:left="302" w:hanging="284"/>
            <w:jc w:val="both"/>
            <w:rPr>
              <w:lang w:eastAsia="ru-RU"/>
            </w:rPr>
          </w:pPr>
          <w:r w:rsidRPr="005A436A">
            <w:rPr>
              <w:noProof/>
            </w:rPr>
            <w:t>2</w:t>
          </w:r>
          <w:r w:rsidRPr="009E6200">
            <w:rPr>
              <w:noProof/>
            </w:rPr>
            <w:t>.</w:t>
          </w:r>
          <w:r w:rsidRPr="009E6200">
            <w:tab/>
          </w:r>
          <w:r w:rsidRPr="009E6200">
            <w:rPr>
              <w:lang w:eastAsia="ru-RU"/>
            </w:rPr>
            <w:t>Ацетилсалициловая кислота;</w:t>
          </w:r>
        </w:p>
        <w:p w14:paraId="16DF6AF6" w14:textId="77777777" w:rsidR="005A436A" w:rsidRPr="009E6200" w:rsidRDefault="005A436A" w:rsidP="007B46F5">
          <w:pPr>
            <w:pStyle w:val="SDText"/>
            <w:ind w:left="302" w:hanging="284"/>
            <w:jc w:val="both"/>
            <w:rPr>
              <w:lang w:eastAsia="ru-RU"/>
            </w:rPr>
          </w:pPr>
          <w:r w:rsidRPr="005A436A">
            <w:rPr>
              <w:noProof/>
            </w:rPr>
            <w:t>3</w:t>
          </w:r>
          <w:r w:rsidRPr="009E6200">
            <w:rPr>
              <w:noProof/>
            </w:rPr>
            <w:t>.</w:t>
          </w:r>
          <w:r w:rsidRPr="009E6200">
            <w:tab/>
          </w:r>
          <w:r w:rsidRPr="009E6200">
            <w:rPr>
              <w:lang w:eastAsia="ru-RU"/>
            </w:rPr>
            <w:t>Антиагреганты;</w:t>
          </w:r>
        </w:p>
        <w:p w14:paraId="1417189E" w14:textId="77777777" w:rsidR="005A436A" w:rsidRPr="009E6200" w:rsidRDefault="005A436A" w:rsidP="007B46F5">
          <w:pPr>
            <w:pStyle w:val="SDText"/>
            <w:ind w:left="302" w:hanging="284"/>
            <w:jc w:val="both"/>
            <w:rPr>
              <w:lang w:eastAsia="ru-RU"/>
            </w:rPr>
          </w:pPr>
          <w:r w:rsidRPr="005A436A">
            <w:rPr>
              <w:noProof/>
            </w:rPr>
            <w:t>4</w:t>
          </w:r>
          <w:r w:rsidRPr="009E6200">
            <w:rPr>
              <w:noProof/>
            </w:rPr>
            <w:t>.</w:t>
          </w:r>
          <w:r w:rsidRPr="009E6200">
            <w:tab/>
          </w:r>
          <w:r w:rsidRPr="009E6200">
            <w:rPr>
              <w:lang w:eastAsia="ru-RU"/>
            </w:rPr>
            <w:t>Противоопухолевые средства, помимо предусмотренных протоколом;</w:t>
          </w:r>
        </w:p>
        <w:p w14:paraId="5518102E" w14:textId="77777777" w:rsidR="005A436A" w:rsidRPr="009E6200" w:rsidRDefault="005A436A" w:rsidP="007B46F5">
          <w:pPr>
            <w:pStyle w:val="SDText"/>
            <w:ind w:left="302" w:hanging="284"/>
            <w:jc w:val="both"/>
            <w:rPr>
              <w:lang w:eastAsia="ru-RU"/>
            </w:rPr>
          </w:pPr>
          <w:r w:rsidRPr="005A436A">
            <w:rPr>
              <w:noProof/>
            </w:rPr>
            <w:t>5</w:t>
          </w:r>
          <w:r w:rsidRPr="009E6200">
            <w:rPr>
              <w:noProof/>
            </w:rPr>
            <w:t>.</w:t>
          </w:r>
          <w:r w:rsidRPr="009E6200">
            <w:tab/>
          </w:r>
          <w:r w:rsidRPr="009E6200">
            <w:rPr>
              <w:lang w:eastAsia="ru-RU"/>
            </w:rPr>
            <w:t>Лучевая терапия;</w:t>
          </w:r>
        </w:p>
        <w:p w14:paraId="1731AA0D" w14:textId="77777777" w:rsidR="005A436A" w:rsidRPr="009E6200" w:rsidRDefault="005A436A" w:rsidP="007B46F5">
          <w:pPr>
            <w:pStyle w:val="SDText"/>
            <w:ind w:left="302" w:hanging="284"/>
            <w:jc w:val="both"/>
            <w:rPr>
              <w:lang w:eastAsia="ru-RU"/>
            </w:rPr>
          </w:pPr>
          <w:r w:rsidRPr="005A436A">
            <w:rPr>
              <w:noProof/>
            </w:rPr>
            <w:t>6</w:t>
          </w:r>
          <w:r w:rsidRPr="009E6200">
            <w:rPr>
              <w:noProof/>
            </w:rPr>
            <w:t>.</w:t>
          </w:r>
          <w:r w:rsidRPr="009E6200">
            <w:tab/>
          </w:r>
          <w:r w:rsidRPr="009E6200">
            <w:rPr>
              <w:lang w:eastAsia="ru-RU"/>
            </w:rPr>
            <w:t>Другие виды лечения основного заболевания, кроме предусмотренных протоколом.</w:t>
          </w:r>
        </w:p>
        <w:p w14:paraId="6755796E" w14:textId="77777777" w:rsidR="005A436A" w:rsidRPr="009E6200" w:rsidRDefault="005A436A" w:rsidP="007B46F5">
          <w:pPr>
            <w:pStyle w:val="SDText"/>
            <w:ind w:left="302" w:hanging="284"/>
            <w:jc w:val="both"/>
            <w:rPr>
              <w:lang w:eastAsia="ru-RU"/>
            </w:rPr>
          </w:pPr>
        </w:p>
        <w:p w14:paraId="6E84343E" w14:textId="77777777" w:rsidR="00992857" w:rsidRDefault="005A436A" w:rsidP="007B46F5">
          <w:pPr>
            <w:pStyle w:val="SDText"/>
            <w:ind w:firstLine="709"/>
            <w:jc w:val="both"/>
            <w:rPr>
              <w:rFonts w:cs="Times New Roman"/>
              <w:szCs w:val="24"/>
            </w:rPr>
            <w:sectPr w:rsidR="00992857" w:rsidSect="00992857">
              <w:pgSz w:w="11906" w:h="16838"/>
              <w:pgMar w:top="1134" w:right="850" w:bottom="1134" w:left="1701" w:header="708" w:footer="708" w:gutter="0"/>
              <w:cols w:space="708"/>
              <w:docGrid w:linePitch="360"/>
            </w:sectPr>
          </w:pPr>
          <w:r w:rsidRPr="009E6200">
            <w:rPr>
              <w:lang w:eastAsia="ru-RU"/>
            </w:rPr>
            <w:t>Применение нестероидных противовоспалительных препаратов возможно только при одновременной гастропротекции и энтеропротекции (назначение ингибиторов протонной помпы и ребамипида).</w:t>
          </w:r>
          <w:r>
            <w:rPr>
              <w:lang w:eastAsia="ru-RU"/>
            </w:rPr>
            <w:t xml:space="preserve"> </w:t>
          </w:r>
          <w:r w:rsidRPr="005A436A">
            <w:rPr>
              <w:lang w:eastAsia="ru-RU"/>
            </w:rPr>
            <w:t>Для</w:t>
          </w:r>
          <w:r>
            <w:rPr>
              <w:rFonts w:cs="Times New Roman"/>
              <w:szCs w:val="24"/>
            </w:rPr>
            <w:t xml:space="preserve"> пациентов, у которых выявлены ме</w:t>
          </w:r>
          <w:r w:rsidRPr="00EE650A">
            <w:rPr>
              <w:rFonts w:cs="Times New Roman"/>
              <w:szCs w:val="24"/>
            </w:rPr>
            <w:t>тастазы в костях</w:t>
          </w:r>
          <w:r>
            <w:rPr>
              <w:rFonts w:cs="Times New Roman"/>
              <w:szCs w:val="24"/>
            </w:rPr>
            <w:t>,</w:t>
          </w:r>
          <w:r w:rsidRPr="00EE650A">
            <w:rPr>
              <w:rFonts w:cs="Times New Roman"/>
              <w:szCs w:val="24"/>
            </w:rPr>
            <w:t xml:space="preserve"> разрешено назначение бисфосфонатов или ингибиторов RANKL</w:t>
          </w:r>
          <w:r>
            <w:rPr>
              <w:rFonts w:cs="Times New Roman"/>
              <w:szCs w:val="24"/>
            </w:rPr>
            <w:t xml:space="preserve"> (например, деносумаб).</w:t>
          </w:r>
        </w:p>
        <w:p w14:paraId="0F839A7A" w14:textId="25DEC6FA" w:rsidR="005A436A" w:rsidRDefault="00E767EF" w:rsidP="007B46F5">
          <w:pPr>
            <w:pStyle w:val="SDText"/>
            <w:ind w:firstLine="709"/>
            <w:jc w:val="both"/>
            <w:rPr>
              <w:rFonts w:cs="Times New Roman"/>
              <w:szCs w:val="24"/>
            </w:rPr>
          </w:pPr>
        </w:p>
      </w:sdtContent>
    </w:sdt>
    <w:p w14:paraId="3644B235" w14:textId="34ED5285" w:rsidR="00A55CB8" w:rsidRPr="009E6200" w:rsidRDefault="001F6468" w:rsidP="007B46F5">
      <w:pPr>
        <w:pStyle w:val="SDText"/>
        <w:jc w:val="both"/>
        <w:rPr>
          <w:lang w:eastAsia="ru-RU"/>
        </w:rPr>
      </w:pPr>
      <w:r w:rsidRPr="009E6200">
        <w:rPr>
          <w:lang w:eastAsia="ru-RU"/>
        </w:rPr>
        <w:fldChar w:fldCharType="end"/>
      </w:r>
    </w:p>
    <w:p w14:paraId="04757027" w14:textId="77777777" w:rsidR="001F6468" w:rsidRPr="009E6200" w:rsidRDefault="001F6468" w:rsidP="007B46F5">
      <w:pPr>
        <w:pStyle w:val="SDText"/>
        <w:jc w:val="both"/>
        <w:rPr>
          <w:lang w:eastAsia="ru-RU"/>
        </w:rPr>
      </w:pPr>
    </w:p>
    <w:p w14:paraId="285C33EE" w14:textId="77777777" w:rsidR="00DA24D0" w:rsidRPr="009E6200" w:rsidRDefault="00DA24D0" w:rsidP="007B46F5">
      <w:pPr>
        <w:jc w:val="both"/>
        <w:rPr>
          <w:rFonts w:eastAsiaTheme="majorEastAsia" w:cstheme="majorBidi"/>
          <w:b/>
          <w:sz w:val="32"/>
          <w:szCs w:val="32"/>
        </w:rPr>
      </w:pPr>
      <w:r w:rsidRPr="009E6200">
        <w:br w:type="page"/>
      </w:r>
    </w:p>
    <w:p w14:paraId="7440E7EE" w14:textId="77777777" w:rsidR="006F6CA8" w:rsidRPr="00992857" w:rsidRDefault="00ED08F7" w:rsidP="007B46F5">
      <w:pPr>
        <w:pStyle w:val="Heading1"/>
        <w:spacing w:before="0" w:after="0" w:line="240" w:lineRule="auto"/>
        <w:jc w:val="both"/>
        <w:rPr>
          <w:color w:val="auto"/>
          <w:sz w:val="28"/>
          <w:szCs w:val="28"/>
        </w:rPr>
      </w:pPr>
      <w:bookmarkStart w:id="202" w:name="_Toc120865293"/>
      <w:r w:rsidRPr="00992857">
        <w:rPr>
          <w:color w:val="auto"/>
          <w:sz w:val="28"/>
          <w:szCs w:val="28"/>
        </w:rPr>
        <w:t>Перечень параметров эффективности</w:t>
      </w:r>
      <w:bookmarkEnd w:id="202"/>
    </w:p>
    <w:p w14:paraId="2A17DBC0" w14:textId="77777777" w:rsidR="005A436A" w:rsidRDefault="001F6468" w:rsidP="007B46F5">
      <w:pPr>
        <w:jc w:val="both"/>
        <w:rPr>
          <w:lang w:eastAsia="ru-RU" w:bidi="ru-RU"/>
        </w:rPr>
      </w:pPr>
      <w:r w:rsidRPr="009E6200">
        <w:rPr>
          <w:lang w:eastAsia="ru-RU" w:bidi="ru-RU"/>
        </w:rPr>
        <w:fldChar w:fldCharType="begin"/>
      </w:r>
      <w:r w:rsidRPr="009E6200">
        <w:rPr>
          <w:lang w:eastAsia="ru-RU" w:bidi="ru-RU"/>
        </w:rPr>
        <w:instrText xml:space="preserve"> REF OLE_LINK_Parametru_effectivnosti \h </w:instrText>
      </w:r>
      <w:r w:rsidR="0050126B" w:rsidRPr="009E6200">
        <w:rPr>
          <w:lang w:eastAsia="ru-RU" w:bidi="ru-RU"/>
        </w:rPr>
        <w:instrText xml:space="preserve"> \* MERGEFORMAT </w:instrText>
      </w:r>
      <w:r w:rsidRPr="009E6200">
        <w:rPr>
          <w:lang w:eastAsia="ru-RU" w:bidi="ru-RU"/>
        </w:rPr>
      </w:r>
      <w:r w:rsidRPr="009E6200">
        <w:rPr>
          <w:lang w:eastAsia="ru-RU" w:bidi="ru-RU"/>
        </w:rPr>
        <w:fldChar w:fldCharType="separate"/>
      </w:r>
    </w:p>
    <w:sdt>
      <w:sdtPr>
        <w:rPr>
          <w:lang w:eastAsia="ru-RU" w:bidi="ru-RU"/>
        </w:rPr>
        <w:alias w:val="Параметры эффективности"/>
        <w:tag w:val="Параметры эффективности"/>
        <w:id w:val="-2041571180"/>
        <w:placeholder>
          <w:docPart w:val="FED8CC2A71F8441CB89BFA8EC6F6E9E5"/>
        </w:placeholder>
      </w:sdtPr>
      <w:sdtEndPr/>
      <w:sdtContent>
        <w:sdt>
          <w:sdtPr>
            <w:rPr>
              <w:lang w:eastAsia="ru-RU" w:bidi="ru-RU"/>
            </w:rPr>
            <w:alias w:val="Параметры эффективности"/>
            <w:tag w:val="Параметры эффективности"/>
            <w:id w:val="786397613"/>
            <w:placeholder>
              <w:docPart w:val="401B7E51441749D6BC0CB2285271C9BF"/>
            </w:placeholder>
          </w:sdtPr>
          <w:sdtEndPr/>
          <w:sdtContent>
            <w:p w14:paraId="27DA0E30" w14:textId="5B88CC70" w:rsidR="005A436A" w:rsidRPr="00992857" w:rsidRDefault="005A436A" w:rsidP="007B46F5">
              <w:pPr>
                <w:jc w:val="both"/>
                <w:rPr>
                  <w:b/>
                  <w:lang w:eastAsia="ru-RU" w:bidi="ru-RU"/>
                </w:rPr>
              </w:pPr>
              <w:r w:rsidRPr="005A436A">
                <w:rPr>
                  <w:lang w:eastAsia="ru-RU" w:bidi="ru-RU"/>
                </w:rPr>
                <w:t>П</w:t>
              </w:r>
              <w:r w:rsidRPr="00992857">
                <w:rPr>
                  <w:b/>
                  <w:lang w:eastAsia="ru-RU" w:bidi="ru-RU"/>
                </w:rPr>
                <w:t>ервичная конечная точка:</w:t>
              </w:r>
            </w:p>
            <w:p w14:paraId="735F13A3" w14:textId="77777777" w:rsidR="005A436A" w:rsidRPr="005A436A" w:rsidRDefault="005A436A" w:rsidP="007B46F5">
              <w:pPr>
                <w:jc w:val="both"/>
                <w:rPr>
                  <w:lang w:eastAsia="ru-RU" w:bidi="ru-RU"/>
                </w:rPr>
              </w:pPr>
            </w:p>
            <w:p w14:paraId="21814A01" w14:textId="77777777" w:rsidR="005A436A" w:rsidRPr="009E6200" w:rsidRDefault="005A436A" w:rsidP="007B46F5">
              <w:pPr>
                <w:jc w:val="both"/>
                <w:rPr>
                  <w:b/>
                  <w:bCs/>
                  <w:lang w:eastAsia="ru-RU" w:bidi="ru-RU"/>
                </w:rPr>
              </w:pPr>
              <w:r w:rsidRPr="009E6200">
                <w:rPr>
                  <w:lang w:eastAsia="ru-RU" w:bidi="ru-RU"/>
                </w:rPr>
                <w:t>Частота объективного ответа (определяемое как достижение полного или частичного ответа по критериям RECIST 1.1) через 6 месяцев, выраженная в виде относительного риска (частота объективного ответа в группе исследуемого препарата, поделенная на частоту объективного ответа в группе препарата сравнения)</w:t>
              </w:r>
              <w:r w:rsidRPr="005A436A">
                <w:rPr>
                  <w:b/>
                  <w:bCs/>
                  <w:lang w:eastAsia="ru-RU" w:bidi="ru-RU"/>
                </w:rPr>
                <w:t>.</w:t>
              </w:r>
            </w:p>
            <w:p w14:paraId="50BBD05A" w14:textId="77777777" w:rsidR="00992857" w:rsidRDefault="00992857" w:rsidP="007B46F5">
              <w:pPr>
                <w:jc w:val="both"/>
                <w:rPr>
                  <w:lang w:eastAsia="ru-RU" w:bidi="ru-RU"/>
                </w:rPr>
              </w:pPr>
              <w:r>
                <w:rPr>
                  <w:lang w:eastAsia="ru-RU" w:bidi="ru-RU"/>
                </w:rPr>
                <w:t xml:space="preserve"> </w:t>
              </w:r>
            </w:p>
            <w:p w14:paraId="7800D084" w14:textId="4DBFC37F" w:rsidR="005A436A" w:rsidRPr="00992857" w:rsidRDefault="005A436A" w:rsidP="007B46F5">
              <w:pPr>
                <w:jc w:val="both"/>
                <w:rPr>
                  <w:b/>
                  <w:lang w:eastAsia="ru-RU" w:bidi="ru-RU"/>
                </w:rPr>
              </w:pPr>
              <w:r w:rsidRPr="00992857">
                <w:rPr>
                  <w:b/>
                  <w:lang w:eastAsia="ru-RU" w:bidi="ru-RU"/>
                </w:rPr>
                <w:t>Основные вторичные конечные точки:</w:t>
              </w:r>
            </w:p>
            <w:p w14:paraId="524C5515" w14:textId="77777777" w:rsidR="005A436A" w:rsidRPr="009E6200" w:rsidRDefault="005A436A" w:rsidP="007B46F5">
              <w:pPr>
                <w:jc w:val="both"/>
                <w:rPr>
                  <w:lang w:eastAsia="ru-RU" w:bidi="ru-RU"/>
                </w:rPr>
              </w:pPr>
              <w:r w:rsidRPr="009E6200">
                <w:rPr>
                  <w:lang w:eastAsia="ru-RU" w:bidi="ru-RU"/>
                </w:rPr>
                <w:t>1.</w:t>
              </w:r>
              <w:r w:rsidRPr="009E6200">
                <w:rPr>
                  <w:lang w:eastAsia="ru-RU" w:bidi="ru-RU"/>
                </w:rPr>
                <w:tab/>
                <w:t xml:space="preserve">Частота объективного ответа (определяемое как достижение полного или частичного ответа по критериям </w:t>
              </w:r>
              <w:r w:rsidRPr="009E6200">
                <w:rPr>
                  <w:lang w:val="en-US" w:eastAsia="ru-RU" w:bidi="ru-RU"/>
                </w:rPr>
                <w:t>RECIST</w:t>
              </w:r>
              <w:r w:rsidRPr="009E6200">
                <w:rPr>
                  <w:lang w:eastAsia="ru-RU" w:bidi="ru-RU"/>
                </w:rPr>
                <w:t xml:space="preserve"> 1.1) через 6 месяцев, выраженная в виде разницы рисков (частота объективного ответа в группе исследуемого препарата минус  частота объективного ответа в группе препарата сравнения);</w:t>
              </w:r>
            </w:p>
            <w:p w14:paraId="5568EDA8" w14:textId="77777777" w:rsidR="005A436A" w:rsidRPr="009E6200" w:rsidRDefault="005A436A" w:rsidP="007B46F5">
              <w:pPr>
                <w:jc w:val="both"/>
                <w:rPr>
                  <w:lang w:eastAsia="ru-RU" w:bidi="ru-RU"/>
                </w:rPr>
              </w:pPr>
              <w:r w:rsidRPr="009E6200">
                <w:rPr>
                  <w:lang w:eastAsia="ru-RU" w:bidi="ru-RU"/>
                </w:rPr>
                <w:t>2.</w:t>
              </w:r>
              <w:r w:rsidRPr="009E6200">
                <w:rPr>
                  <w:lang w:eastAsia="ru-RU" w:bidi="ru-RU"/>
                </w:rPr>
                <w:tab/>
                <w:t>Общая выживаемость в течение 6 месяцев от начала лечения в каждой из групп;</w:t>
              </w:r>
            </w:p>
            <w:p w14:paraId="35721681" w14:textId="77777777" w:rsidR="005A436A" w:rsidRPr="009E6200" w:rsidRDefault="005A436A" w:rsidP="007B46F5">
              <w:pPr>
                <w:jc w:val="both"/>
                <w:rPr>
                  <w:lang w:eastAsia="ru-RU" w:bidi="ru-RU"/>
                </w:rPr>
              </w:pPr>
              <w:r w:rsidRPr="009E6200">
                <w:rPr>
                  <w:lang w:eastAsia="ru-RU" w:bidi="ru-RU"/>
                </w:rPr>
                <w:t>3.</w:t>
              </w:r>
              <w:r w:rsidRPr="009E6200">
                <w:rPr>
                  <w:lang w:eastAsia="ru-RU" w:bidi="ru-RU"/>
                </w:rPr>
                <w:tab/>
                <w:t>Выживаемость без прогрессирования в течение 6 месяцев от начала лечения в каждой из групп.</w:t>
              </w:r>
            </w:p>
            <w:p w14:paraId="74D62FD9" w14:textId="77777777" w:rsidR="005A436A" w:rsidRPr="009E6200" w:rsidRDefault="005A436A" w:rsidP="007B46F5">
              <w:pPr>
                <w:jc w:val="both"/>
                <w:rPr>
                  <w:lang w:eastAsia="ru-RU" w:bidi="ru-RU"/>
                </w:rPr>
              </w:pPr>
            </w:p>
            <w:p w14:paraId="57F681A1" w14:textId="77777777" w:rsidR="005A436A" w:rsidRPr="00992857" w:rsidRDefault="005A436A" w:rsidP="007B46F5">
              <w:pPr>
                <w:jc w:val="both"/>
                <w:rPr>
                  <w:b/>
                  <w:lang w:eastAsia="ru-RU" w:bidi="ru-RU"/>
                </w:rPr>
              </w:pPr>
              <w:r w:rsidRPr="00992857">
                <w:rPr>
                  <w:b/>
                  <w:lang w:eastAsia="ru-RU" w:bidi="ru-RU"/>
                </w:rPr>
                <w:t>Дополнительные вторичные конечные точки:</w:t>
              </w:r>
            </w:p>
            <w:p w14:paraId="26D7E99D" w14:textId="77777777" w:rsidR="005A436A" w:rsidRPr="009E6200" w:rsidRDefault="005A436A" w:rsidP="007B46F5">
              <w:pPr>
                <w:jc w:val="both"/>
                <w:rPr>
                  <w:lang w:eastAsia="ru-RU" w:bidi="ru-RU"/>
                </w:rPr>
              </w:pPr>
              <w:r w:rsidRPr="009E6200">
                <w:rPr>
                  <w:lang w:eastAsia="ru-RU" w:bidi="ru-RU"/>
                </w:rPr>
                <w:t>1.</w:t>
              </w:r>
              <w:r w:rsidRPr="009E6200">
                <w:rPr>
                  <w:lang w:eastAsia="ru-RU" w:bidi="ru-RU"/>
                </w:rPr>
                <w:tab/>
                <w:t xml:space="preserve">Частота объективного ответа (определяемое как достижение полного или частичного ответа по критериям </w:t>
              </w:r>
              <w:r w:rsidRPr="005A436A">
                <w:rPr>
                  <w:lang w:eastAsia="ru-RU" w:bidi="ru-RU"/>
                </w:rPr>
                <w:t>RECIST</w:t>
              </w:r>
              <w:r w:rsidRPr="009E6200">
                <w:rPr>
                  <w:lang w:eastAsia="ru-RU" w:bidi="ru-RU"/>
                </w:rPr>
                <w:t xml:space="preserve"> 1.1) через 12 месяцев от начала лечения, выраженная в виде относительного риска (частота объективного ответа в группе исследуемого препарата, поделенная на частоту объективного ответа в группе препарата сравнения);</w:t>
              </w:r>
            </w:p>
            <w:p w14:paraId="4429E3A2" w14:textId="77777777" w:rsidR="005A436A" w:rsidRPr="009E6200" w:rsidRDefault="005A436A" w:rsidP="007B46F5">
              <w:pPr>
                <w:jc w:val="both"/>
                <w:rPr>
                  <w:lang w:eastAsia="ru-RU" w:bidi="ru-RU"/>
                </w:rPr>
              </w:pPr>
              <w:r w:rsidRPr="009E6200">
                <w:rPr>
                  <w:lang w:eastAsia="ru-RU" w:bidi="ru-RU"/>
                </w:rPr>
                <w:t>2.</w:t>
              </w:r>
              <w:r w:rsidRPr="009E6200">
                <w:rPr>
                  <w:lang w:eastAsia="ru-RU" w:bidi="ru-RU"/>
                </w:rPr>
                <w:tab/>
              </w:r>
              <w:r w:rsidRPr="005A436A">
                <w:rPr>
                  <w:b/>
                  <w:bCs/>
                  <w:lang w:eastAsia="ru-RU" w:bidi="ru-RU"/>
                </w:rPr>
                <w:t>Частота объективного ответа</w:t>
              </w:r>
              <w:r w:rsidRPr="009E6200">
                <w:rPr>
                  <w:lang w:eastAsia="ru-RU" w:bidi="ru-RU"/>
                </w:rPr>
                <w:t xml:space="preserve"> (определяемое как достижение полного или частичного ответа по критериям </w:t>
              </w:r>
              <w:r w:rsidRPr="009E6200">
                <w:rPr>
                  <w:lang w:val="en-US" w:eastAsia="ru-RU" w:bidi="ru-RU"/>
                </w:rPr>
                <w:t>RECIST</w:t>
              </w:r>
              <w:r w:rsidRPr="009E6200">
                <w:rPr>
                  <w:lang w:eastAsia="ru-RU" w:bidi="ru-RU"/>
                </w:rPr>
                <w:t xml:space="preserve"> 1.1) через 12 месяцев от начала лечения, выраженная в виде разницы рисков (частота объективного ответа в груп</w:t>
              </w:r>
              <w:r>
                <w:rPr>
                  <w:lang w:eastAsia="ru-RU" w:bidi="ru-RU"/>
                </w:rPr>
                <w:t>пе исследуемого препарата минус</w:t>
              </w:r>
              <w:r w:rsidRPr="009E6200">
                <w:rPr>
                  <w:lang w:eastAsia="ru-RU" w:bidi="ru-RU"/>
                </w:rPr>
                <w:t xml:space="preserve"> частота объективного ответа в группе препарата сравнения);</w:t>
              </w:r>
            </w:p>
            <w:p w14:paraId="160E8F27" w14:textId="77777777" w:rsidR="005A436A" w:rsidRPr="009E6200" w:rsidRDefault="005A436A" w:rsidP="007B46F5">
              <w:pPr>
                <w:jc w:val="both"/>
                <w:rPr>
                  <w:lang w:eastAsia="ru-RU" w:bidi="ru-RU"/>
                </w:rPr>
              </w:pPr>
              <w:r w:rsidRPr="009E6200">
                <w:rPr>
                  <w:lang w:eastAsia="ru-RU" w:bidi="ru-RU"/>
                </w:rPr>
                <w:t>3.</w:t>
              </w:r>
              <w:r w:rsidRPr="009E6200">
                <w:rPr>
                  <w:lang w:eastAsia="ru-RU" w:bidi="ru-RU"/>
                </w:rPr>
                <w:tab/>
                <w:t>Общая выживаемость в течение 12 месяцев от начала лечения в каждой из групп;</w:t>
              </w:r>
            </w:p>
            <w:p w14:paraId="479681B7" w14:textId="77777777" w:rsidR="005A436A" w:rsidRPr="009E6200" w:rsidRDefault="005A436A" w:rsidP="007B46F5">
              <w:pPr>
                <w:jc w:val="both"/>
                <w:rPr>
                  <w:lang w:eastAsia="ru-RU" w:bidi="ru-RU"/>
                </w:rPr>
              </w:pPr>
              <w:r w:rsidRPr="009E6200">
                <w:rPr>
                  <w:lang w:eastAsia="ru-RU" w:bidi="ru-RU"/>
                </w:rPr>
                <w:t>4.</w:t>
              </w:r>
              <w:r w:rsidRPr="009E6200">
                <w:rPr>
                  <w:lang w:eastAsia="ru-RU" w:bidi="ru-RU"/>
                </w:rPr>
                <w:tab/>
                <w:t>Выживаемость без прогрессирования в течение 12 месяцев от начала лечения в каждой из групп.</w:t>
              </w:r>
            </w:p>
            <w:p w14:paraId="4B69C025" w14:textId="77777777" w:rsidR="005A436A" w:rsidRDefault="00E767EF" w:rsidP="007B46F5">
              <w:pPr>
                <w:jc w:val="both"/>
                <w:rPr>
                  <w:lang w:eastAsia="ru-RU" w:bidi="ru-RU"/>
                </w:rPr>
              </w:pPr>
            </w:p>
          </w:sdtContent>
        </w:sdt>
      </w:sdtContent>
    </w:sdt>
    <w:p w14:paraId="35E58129" w14:textId="46C9EBD9" w:rsidR="0050126B" w:rsidRPr="009E6200" w:rsidRDefault="001F6468" w:rsidP="007B46F5">
      <w:pPr>
        <w:jc w:val="both"/>
        <w:rPr>
          <w:lang w:eastAsia="ru-RU" w:bidi="ru-RU"/>
        </w:rPr>
      </w:pPr>
      <w:r w:rsidRPr="009E6200">
        <w:rPr>
          <w:lang w:eastAsia="ru-RU" w:bidi="ru-RU"/>
        </w:rPr>
        <w:fldChar w:fldCharType="end"/>
      </w:r>
      <w:bookmarkStart w:id="203" w:name="_Ref12916214"/>
    </w:p>
    <w:p w14:paraId="4098E2C7" w14:textId="7AC6DDEE" w:rsidR="00E14B75" w:rsidRDefault="007F6A9B" w:rsidP="007B46F5">
      <w:pPr>
        <w:pStyle w:val="Heading2"/>
        <w:rPr>
          <w:lang w:bidi="ru-RU"/>
        </w:rPr>
      </w:pPr>
      <w:bookmarkStart w:id="204" w:name="_Ref16258116"/>
      <w:bookmarkStart w:id="205" w:name="_Toc120865294"/>
      <w:r w:rsidRPr="009E6200">
        <w:rPr>
          <w:lang w:bidi="ru-RU"/>
        </w:rPr>
        <w:t>Правила оценки параметров эффективности</w:t>
      </w:r>
      <w:bookmarkEnd w:id="203"/>
      <w:bookmarkEnd w:id="204"/>
      <w:bookmarkEnd w:id="205"/>
    </w:p>
    <w:p w14:paraId="3A3CF3BD" w14:textId="77777777" w:rsidR="00E27DD9" w:rsidRPr="00E27DD9" w:rsidRDefault="00E27DD9" w:rsidP="007B46F5">
      <w:pPr>
        <w:pStyle w:val="SDText"/>
        <w:rPr>
          <w:lang w:eastAsia="ru-RU" w:bidi="ru-RU"/>
        </w:rPr>
      </w:pPr>
    </w:p>
    <w:p w14:paraId="4440C0D0" w14:textId="6DCC9BB0" w:rsidR="003A4C01" w:rsidRDefault="003A4C01" w:rsidP="00992857">
      <w:pPr>
        <w:pStyle w:val="SDText"/>
        <w:ind w:firstLine="709"/>
        <w:jc w:val="both"/>
        <w:rPr>
          <w:lang w:eastAsia="ru-RU" w:bidi="ru-RU"/>
        </w:rPr>
      </w:pPr>
      <w:r w:rsidRPr="009E6200">
        <w:rPr>
          <w:lang w:eastAsia="ru-RU" w:bidi="ru-RU"/>
        </w:rPr>
        <w:t xml:space="preserve">При определении первичной и вторичных конечных точек используются критерии </w:t>
      </w:r>
      <w:r w:rsidRPr="009E6200">
        <w:rPr>
          <w:lang w:val="en-US" w:eastAsia="ru-RU" w:bidi="ru-RU"/>
        </w:rPr>
        <w:t>RECIST</w:t>
      </w:r>
      <w:r w:rsidRPr="009E6200">
        <w:rPr>
          <w:lang w:eastAsia="ru-RU" w:bidi="ru-RU"/>
        </w:rPr>
        <w:t xml:space="preserve"> 1.1</w:t>
      </w:r>
      <w:r w:rsidR="00FF02E3" w:rsidRPr="009E6200">
        <w:rPr>
          <w:lang w:eastAsia="ru-RU" w:bidi="ru-RU"/>
        </w:rPr>
        <w:t>.</w:t>
      </w:r>
      <w:r w:rsidR="00B705D6">
        <w:rPr>
          <w:lang w:eastAsia="ru-RU" w:bidi="ru-RU"/>
        </w:rPr>
        <w:t xml:space="preserve"> </w:t>
      </w:r>
      <w:r w:rsidR="00FF02E3" w:rsidRPr="009E6200">
        <w:rPr>
          <w:lang w:eastAsia="ru-RU" w:bidi="ru-RU"/>
        </w:rPr>
        <w:t xml:space="preserve">Ниже представлены определения и подходы к оценке динамики опухолевого процесса по критериям </w:t>
      </w:r>
      <w:r w:rsidR="00FF02E3" w:rsidRPr="009E6200">
        <w:rPr>
          <w:lang w:val="en-US" w:eastAsia="ru-RU" w:bidi="ru-RU"/>
        </w:rPr>
        <w:t>RECIST</w:t>
      </w:r>
      <w:r w:rsidR="00FF02E3" w:rsidRPr="009E6200">
        <w:rPr>
          <w:lang w:eastAsia="ru-RU" w:bidi="ru-RU"/>
        </w:rPr>
        <w:t xml:space="preserve"> 1.1.</w:t>
      </w:r>
    </w:p>
    <w:p w14:paraId="1B120136" w14:textId="4ECBF464" w:rsidR="001F358C" w:rsidRPr="00092D27" w:rsidRDefault="001F358C" w:rsidP="00992857">
      <w:pPr>
        <w:pStyle w:val="SDText"/>
        <w:ind w:firstLine="709"/>
        <w:jc w:val="both"/>
        <w:rPr>
          <w:lang w:eastAsia="ru-RU" w:bidi="ru-RU"/>
        </w:rPr>
      </w:pPr>
      <w:r>
        <w:t>Для регистрации в качестве наилучшего ответа на терапию стабилизации заболевания, необходимо подтверждение ее по данным следующего КТ/МРТ исследования.</w:t>
      </w:r>
    </w:p>
    <w:p w14:paraId="24EE20D4" w14:textId="77777777" w:rsidR="00E27DD9" w:rsidRDefault="00E27DD9" w:rsidP="007B46F5">
      <w:pPr>
        <w:pStyle w:val="SDText"/>
        <w:jc w:val="both"/>
        <w:rPr>
          <w:b/>
          <w:bCs/>
          <w:lang w:eastAsia="ru-RU" w:bidi="ru-RU"/>
        </w:rPr>
      </w:pPr>
    </w:p>
    <w:p w14:paraId="0331C136" w14:textId="2D68B4D5" w:rsidR="003173C3" w:rsidRPr="009E6200" w:rsidRDefault="003173C3" w:rsidP="007B46F5">
      <w:pPr>
        <w:pStyle w:val="SDText"/>
        <w:jc w:val="both"/>
        <w:rPr>
          <w:b/>
          <w:bCs/>
          <w:lang w:eastAsia="ru-RU" w:bidi="ru-RU"/>
        </w:rPr>
      </w:pPr>
      <w:r w:rsidRPr="009E6200">
        <w:rPr>
          <w:b/>
          <w:bCs/>
          <w:lang w:eastAsia="ru-RU" w:bidi="ru-RU"/>
        </w:rPr>
        <w:t>Измер</w:t>
      </w:r>
      <w:r w:rsidR="00421784" w:rsidRPr="009E6200">
        <w:rPr>
          <w:b/>
          <w:bCs/>
          <w:lang w:eastAsia="ru-RU" w:bidi="ru-RU"/>
        </w:rPr>
        <w:t>яе</w:t>
      </w:r>
      <w:r w:rsidRPr="009E6200">
        <w:rPr>
          <w:b/>
          <w:bCs/>
          <w:lang w:eastAsia="ru-RU" w:bidi="ru-RU"/>
        </w:rPr>
        <w:t>мые очаги:</w:t>
      </w:r>
    </w:p>
    <w:p w14:paraId="26CDD955" w14:textId="77777777" w:rsidR="003173C3" w:rsidRPr="009E6200" w:rsidRDefault="003173C3" w:rsidP="007B46F5">
      <w:pPr>
        <w:pStyle w:val="SDText"/>
        <w:numPr>
          <w:ilvl w:val="0"/>
          <w:numId w:val="20"/>
        </w:numPr>
        <w:jc w:val="both"/>
        <w:rPr>
          <w:lang w:eastAsia="ru-RU" w:bidi="ru-RU"/>
        </w:rPr>
      </w:pPr>
      <w:r w:rsidRPr="009E6200">
        <w:rPr>
          <w:lang w:eastAsia="ru-RU" w:bidi="ru-RU"/>
        </w:rPr>
        <w:t>Объемное образование ≥ 10 мм наибольшим диаметром на аксиальной реконструкции КТ или МРТ с толщиной среза ≤ 5 мм;</w:t>
      </w:r>
    </w:p>
    <w:p w14:paraId="42176BDF" w14:textId="77777777" w:rsidR="003173C3" w:rsidRPr="009E6200" w:rsidRDefault="003173C3" w:rsidP="007B46F5">
      <w:pPr>
        <w:pStyle w:val="SDText"/>
        <w:numPr>
          <w:ilvl w:val="0"/>
          <w:numId w:val="20"/>
        </w:numPr>
        <w:jc w:val="both"/>
        <w:rPr>
          <w:lang w:eastAsia="ru-RU" w:bidi="ru-RU"/>
        </w:rPr>
      </w:pPr>
      <w:r w:rsidRPr="009E6200">
        <w:rPr>
          <w:lang w:eastAsia="ru-RU" w:bidi="ru-RU"/>
        </w:rPr>
        <w:t>Лимфатические узлы ≥ 15 мм по короткой оси на КТ или МРТ</w:t>
      </w:r>
      <w:r w:rsidR="003F30CB" w:rsidRPr="009E6200">
        <w:rPr>
          <w:lang w:eastAsia="ru-RU" w:bidi="ru-RU"/>
        </w:rPr>
        <w:t>.</w:t>
      </w:r>
    </w:p>
    <w:p w14:paraId="458A3322" w14:textId="77777777" w:rsidR="00E27DD9" w:rsidRDefault="00E27DD9" w:rsidP="007B46F5">
      <w:pPr>
        <w:pStyle w:val="SDText"/>
        <w:ind w:firstLine="709"/>
        <w:jc w:val="both"/>
        <w:rPr>
          <w:lang w:eastAsia="ru-RU" w:bidi="ru-RU"/>
        </w:rPr>
      </w:pPr>
    </w:p>
    <w:p w14:paraId="17921A43" w14:textId="2D4CA8DE" w:rsidR="00421784" w:rsidRDefault="00421784" w:rsidP="007B46F5">
      <w:pPr>
        <w:pStyle w:val="SDText"/>
        <w:ind w:firstLine="709"/>
        <w:jc w:val="both"/>
        <w:rPr>
          <w:lang w:eastAsia="ru-RU" w:bidi="ru-RU"/>
        </w:rPr>
      </w:pPr>
      <w:r w:rsidRPr="009E6200">
        <w:rPr>
          <w:lang w:eastAsia="ru-RU" w:bidi="ru-RU"/>
        </w:rPr>
        <w:t>Из общего количества измеряемых очагов отбираются целевые очаги, по которым в дальнейшем количественно оценивается динамика заболевания. Прочие (нецелевые очаги) оцениваются качественно.</w:t>
      </w:r>
    </w:p>
    <w:p w14:paraId="70F71A7F" w14:textId="77777777" w:rsidR="00E27DD9" w:rsidRPr="009E6200" w:rsidRDefault="00E27DD9" w:rsidP="007B46F5">
      <w:pPr>
        <w:pStyle w:val="SDText"/>
        <w:ind w:firstLine="709"/>
        <w:jc w:val="both"/>
        <w:rPr>
          <w:lang w:eastAsia="ru-RU" w:bidi="ru-RU"/>
        </w:rPr>
      </w:pPr>
    </w:p>
    <w:p w14:paraId="5B06446B" w14:textId="510770EF" w:rsidR="00421784" w:rsidRDefault="00421784" w:rsidP="007B46F5">
      <w:pPr>
        <w:pStyle w:val="SDText"/>
        <w:jc w:val="both"/>
        <w:rPr>
          <w:b/>
          <w:bCs/>
          <w:lang w:eastAsia="ru-RU" w:bidi="ru-RU"/>
        </w:rPr>
      </w:pPr>
      <w:r w:rsidRPr="009E6200">
        <w:rPr>
          <w:b/>
          <w:bCs/>
          <w:lang w:eastAsia="ru-RU" w:bidi="ru-RU"/>
        </w:rPr>
        <w:t>Критерии отбора целевых очагов</w:t>
      </w:r>
      <w:r w:rsidR="008D014A" w:rsidRPr="009E6200">
        <w:rPr>
          <w:b/>
          <w:bCs/>
          <w:lang w:eastAsia="ru-RU" w:bidi="ru-RU"/>
        </w:rPr>
        <w:t>:</w:t>
      </w:r>
    </w:p>
    <w:p w14:paraId="258462D6" w14:textId="77777777" w:rsidR="00E27DD9" w:rsidRPr="009E6200" w:rsidRDefault="00E27DD9" w:rsidP="007B46F5">
      <w:pPr>
        <w:pStyle w:val="SDText"/>
        <w:jc w:val="both"/>
        <w:rPr>
          <w:b/>
          <w:bCs/>
          <w:lang w:eastAsia="ru-RU" w:bidi="ru-RU"/>
        </w:rPr>
      </w:pPr>
    </w:p>
    <w:p w14:paraId="1A7BB309" w14:textId="77777777" w:rsidR="00421784" w:rsidRPr="009E6200" w:rsidRDefault="00421784" w:rsidP="007B46F5">
      <w:pPr>
        <w:pStyle w:val="SDText"/>
        <w:numPr>
          <w:ilvl w:val="0"/>
          <w:numId w:val="21"/>
        </w:numPr>
        <w:jc w:val="both"/>
        <w:rPr>
          <w:lang w:eastAsia="ru-RU" w:bidi="ru-RU"/>
        </w:rPr>
      </w:pPr>
      <w:r w:rsidRPr="009E6200">
        <w:rPr>
          <w:lang w:eastAsia="ru-RU" w:bidi="ru-RU"/>
        </w:rPr>
        <w:t>Не более 5 очагов в организме, не более 2 в одном органе (парные органы считаются одним органом);</w:t>
      </w:r>
    </w:p>
    <w:p w14:paraId="169024E8" w14:textId="77777777" w:rsidR="00421784" w:rsidRPr="009E6200" w:rsidRDefault="00421784" w:rsidP="007B46F5">
      <w:pPr>
        <w:pStyle w:val="SDText"/>
        <w:numPr>
          <w:ilvl w:val="0"/>
          <w:numId w:val="21"/>
        </w:numPr>
        <w:jc w:val="both"/>
        <w:rPr>
          <w:lang w:eastAsia="ru-RU" w:bidi="ru-RU"/>
        </w:rPr>
      </w:pPr>
      <w:r w:rsidRPr="009E6200">
        <w:rPr>
          <w:lang w:eastAsia="ru-RU" w:bidi="ru-RU"/>
        </w:rPr>
        <w:t>Рекомендуется измерение наибольших очагов, оценка размеров которых наиболее воспроизводима;</w:t>
      </w:r>
    </w:p>
    <w:p w14:paraId="32E49A72" w14:textId="77777777" w:rsidR="00421784" w:rsidRPr="009E6200" w:rsidRDefault="00421784" w:rsidP="007B46F5">
      <w:pPr>
        <w:pStyle w:val="SDText"/>
        <w:numPr>
          <w:ilvl w:val="0"/>
          <w:numId w:val="21"/>
        </w:numPr>
        <w:jc w:val="both"/>
        <w:rPr>
          <w:lang w:eastAsia="ru-RU" w:bidi="ru-RU"/>
        </w:rPr>
      </w:pPr>
      <w:r w:rsidRPr="009E6200">
        <w:rPr>
          <w:lang w:eastAsia="ru-RU" w:bidi="ru-RU"/>
        </w:rPr>
        <w:t>Учитывается наибольший диаметр опухолевого очага (аксиальная реконструкция);</w:t>
      </w:r>
    </w:p>
    <w:p w14:paraId="0705C9CE" w14:textId="77777777" w:rsidR="00421784" w:rsidRPr="009E6200" w:rsidRDefault="00421784" w:rsidP="007B46F5">
      <w:pPr>
        <w:pStyle w:val="SDText"/>
        <w:numPr>
          <w:ilvl w:val="0"/>
          <w:numId w:val="21"/>
        </w:numPr>
        <w:jc w:val="both"/>
        <w:rPr>
          <w:lang w:eastAsia="ru-RU" w:bidi="ru-RU"/>
        </w:rPr>
      </w:pPr>
      <w:r w:rsidRPr="009E6200">
        <w:rPr>
          <w:lang w:eastAsia="ru-RU" w:bidi="ru-RU"/>
        </w:rPr>
        <w:t>Учитывается размер лимфатического узла по короткой оси;</w:t>
      </w:r>
    </w:p>
    <w:p w14:paraId="041B94C5" w14:textId="77777777" w:rsidR="00421784" w:rsidRPr="009E6200" w:rsidRDefault="00421784" w:rsidP="007B46F5">
      <w:pPr>
        <w:pStyle w:val="SDText"/>
        <w:numPr>
          <w:ilvl w:val="0"/>
          <w:numId w:val="21"/>
        </w:numPr>
        <w:jc w:val="both"/>
        <w:rPr>
          <w:lang w:eastAsia="ru-RU" w:bidi="ru-RU"/>
        </w:rPr>
      </w:pPr>
      <w:r w:rsidRPr="009E6200">
        <w:rPr>
          <w:lang w:eastAsia="ru-RU" w:bidi="ru-RU"/>
        </w:rPr>
        <w:t>Продуктом всех измерений является «сумма наибольших размеров»;</w:t>
      </w:r>
    </w:p>
    <w:p w14:paraId="3126EE22" w14:textId="77777777" w:rsidR="00421784" w:rsidRPr="009E6200" w:rsidRDefault="00421784" w:rsidP="007B46F5">
      <w:pPr>
        <w:pStyle w:val="SDText"/>
        <w:numPr>
          <w:ilvl w:val="0"/>
          <w:numId w:val="21"/>
        </w:numPr>
        <w:jc w:val="both"/>
        <w:rPr>
          <w:lang w:eastAsia="ru-RU" w:bidi="ru-RU"/>
        </w:rPr>
      </w:pPr>
      <w:r w:rsidRPr="009E6200">
        <w:rPr>
          <w:lang w:eastAsia="ru-RU" w:bidi="ru-RU"/>
        </w:rPr>
        <w:t>Не следует относить к целевым очагам опухолевые образования, которые подвергались лучевому лечению;</w:t>
      </w:r>
    </w:p>
    <w:p w14:paraId="5066869B" w14:textId="77777777" w:rsidR="00E27DD9" w:rsidRDefault="00421784" w:rsidP="007B46F5">
      <w:pPr>
        <w:pStyle w:val="SDText"/>
        <w:numPr>
          <w:ilvl w:val="0"/>
          <w:numId w:val="21"/>
        </w:numPr>
        <w:ind w:left="709" w:hanging="349"/>
        <w:jc w:val="both"/>
        <w:rPr>
          <w:lang w:eastAsia="ru-RU" w:bidi="ru-RU"/>
        </w:rPr>
      </w:pPr>
      <w:r w:rsidRPr="009E6200">
        <w:rPr>
          <w:lang w:eastAsia="ru-RU" w:bidi="ru-RU"/>
        </w:rPr>
        <w:t>Следует включать в измерение кольцо периферического контрастного усиления</w:t>
      </w:r>
      <w:r w:rsidR="008D014A" w:rsidRPr="009E6200">
        <w:rPr>
          <w:lang w:eastAsia="ru-RU" w:bidi="ru-RU"/>
        </w:rPr>
        <w:t>.</w:t>
      </w:r>
    </w:p>
    <w:p w14:paraId="7FBB0944" w14:textId="73A65DB9" w:rsidR="001C6F56" w:rsidRDefault="001C6F56" w:rsidP="007B46F5">
      <w:pPr>
        <w:pStyle w:val="SDText"/>
        <w:numPr>
          <w:ilvl w:val="0"/>
          <w:numId w:val="21"/>
        </w:numPr>
        <w:ind w:left="709" w:hanging="349"/>
        <w:jc w:val="both"/>
        <w:rPr>
          <w:lang w:eastAsia="ru-RU" w:bidi="ru-RU"/>
        </w:rPr>
      </w:pPr>
      <w:r w:rsidRPr="009E6200">
        <w:rPr>
          <w:lang w:eastAsia="ru-RU" w:bidi="ru-RU"/>
        </w:rPr>
        <w:t xml:space="preserve">Все патологические </w:t>
      </w:r>
      <w:r w:rsidR="00DF3F74" w:rsidRPr="009E6200">
        <w:rPr>
          <w:lang w:eastAsia="ru-RU" w:bidi="ru-RU"/>
        </w:rPr>
        <w:t>опухолевые очаги, не соответствующие критериям отнесения к целевым, относятся к нецелевым.</w:t>
      </w:r>
    </w:p>
    <w:p w14:paraId="3C3E5F97" w14:textId="77777777" w:rsidR="00E27DD9" w:rsidRPr="009E6200" w:rsidRDefault="00E27DD9" w:rsidP="007B46F5">
      <w:pPr>
        <w:pStyle w:val="SDText"/>
        <w:jc w:val="both"/>
        <w:rPr>
          <w:lang w:eastAsia="ru-RU" w:bidi="ru-RU"/>
        </w:rPr>
      </w:pPr>
    </w:p>
    <w:p w14:paraId="455F6C77" w14:textId="057ADF27" w:rsidR="00325293" w:rsidRDefault="00325293" w:rsidP="007B46F5">
      <w:pPr>
        <w:pStyle w:val="SDText"/>
        <w:jc w:val="both"/>
        <w:rPr>
          <w:b/>
          <w:bCs/>
          <w:lang w:eastAsia="ru-RU" w:bidi="ru-RU"/>
        </w:rPr>
      </w:pPr>
      <w:r w:rsidRPr="009E6200">
        <w:rPr>
          <w:b/>
          <w:bCs/>
          <w:lang w:eastAsia="ru-RU" w:bidi="ru-RU"/>
        </w:rPr>
        <w:t>Правила оценки целевых образований</w:t>
      </w:r>
    </w:p>
    <w:p w14:paraId="55CF9FF3" w14:textId="77777777" w:rsidR="00E27DD9" w:rsidRPr="009E6200" w:rsidRDefault="00E27DD9" w:rsidP="007B46F5">
      <w:pPr>
        <w:pStyle w:val="SDText"/>
        <w:jc w:val="both"/>
        <w:rPr>
          <w:b/>
          <w:bCs/>
          <w:lang w:eastAsia="ru-RU" w:bidi="ru-RU"/>
        </w:rPr>
      </w:pPr>
    </w:p>
    <w:p w14:paraId="78D0E752" w14:textId="77777777" w:rsidR="00325293" w:rsidRPr="009E6200" w:rsidRDefault="00325293" w:rsidP="007B46F5">
      <w:pPr>
        <w:pStyle w:val="SDText"/>
        <w:numPr>
          <w:ilvl w:val="0"/>
          <w:numId w:val="22"/>
        </w:numPr>
        <w:jc w:val="both"/>
        <w:rPr>
          <w:lang w:eastAsia="ru-RU" w:bidi="ru-RU"/>
        </w:rPr>
      </w:pPr>
      <w:r w:rsidRPr="009E6200">
        <w:rPr>
          <w:lang w:eastAsia="ru-RU" w:bidi="ru-RU"/>
        </w:rPr>
        <w:t>Измерения наибольшего размера производятся для каждого целевого образования;</w:t>
      </w:r>
    </w:p>
    <w:p w14:paraId="014729AE" w14:textId="77777777" w:rsidR="00325293" w:rsidRPr="009E6200" w:rsidRDefault="00325293" w:rsidP="007B46F5">
      <w:pPr>
        <w:pStyle w:val="SDText"/>
        <w:numPr>
          <w:ilvl w:val="0"/>
          <w:numId w:val="22"/>
        </w:numPr>
        <w:jc w:val="both"/>
        <w:rPr>
          <w:lang w:eastAsia="ru-RU" w:bidi="ru-RU"/>
        </w:rPr>
      </w:pPr>
      <w:r w:rsidRPr="009E6200">
        <w:rPr>
          <w:lang w:eastAsia="ru-RU" w:bidi="ru-RU"/>
        </w:rPr>
        <w:t>Лимфатические узлы измеряются по короткой оси;</w:t>
      </w:r>
    </w:p>
    <w:p w14:paraId="2216B97A" w14:textId="77777777" w:rsidR="00325293" w:rsidRPr="009E6200" w:rsidRDefault="00325293" w:rsidP="007B46F5">
      <w:pPr>
        <w:pStyle w:val="SDText"/>
        <w:numPr>
          <w:ilvl w:val="0"/>
          <w:numId w:val="22"/>
        </w:numPr>
        <w:jc w:val="both"/>
        <w:rPr>
          <w:lang w:eastAsia="ru-RU" w:bidi="ru-RU"/>
        </w:rPr>
      </w:pPr>
      <w:r w:rsidRPr="009E6200">
        <w:rPr>
          <w:lang w:eastAsia="ru-RU" w:bidi="ru-RU"/>
        </w:rPr>
        <w:t>Все измерения суммарно складываются в сумму наибольших размеров;</w:t>
      </w:r>
    </w:p>
    <w:p w14:paraId="5CD638D0" w14:textId="77777777" w:rsidR="00325293" w:rsidRPr="009E6200" w:rsidRDefault="00325293" w:rsidP="007B46F5">
      <w:pPr>
        <w:pStyle w:val="SDText"/>
        <w:numPr>
          <w:ilvl w:val="0"/>
          <w:numId w:val="22"/>
        </w:numPr>
        <w:jc w:val="both"/>
        <w:rPr>
          <w:lang w:eastAsia="ru-RU" w:bidi="ru-RU"/>
        </w:rPr>
      </w:pPr>
      <w:r w:rsidRPr="009E6200">
        <w:rPr>
          <w:lang w:eastAsia="ru-RU" w:bidi="ru-RU"/>
        </w:rPr>
        <w:t>Если очаг слишком мал для измерения, его размер принимается за 5 мм.</w:t>
      </w:r>
    </w:p>
    <w:p w14:paraId="214E7172" w14:textId="1C0C4DCD" w:rsidR="003F30CB" w:rsidRDefault="00325293" w:rsidP="007B46F5">
      <w:pPr>
        <w:pStyle w:val="SDText"/>
        <w:numPr>
          <w:ilvl w:val="0"/>
          <w:numId w:val="22"/>
        </w:numPr>
        <w:jc w:val="both"/>
        <w:rPr>
          <w:lang w:eastAsia="ru-RU" w:bidi="ru-RU"/>
        </w:rPr>
      </w:pPr>
      <w:r w:rsidRPr="009E6200">
        <w:rPr>
          <w:lang w:eastAsia="ru-RU" w:bidi="ru-RU"/>
        </w:rPr>
        <w:t>Если очаг исчез полностью, его размер считается равным 0.</w:t>
      </w:r>
    </w:p>
    <w:p w14:paraId="1F117DC1" w14:textId="1F2B007E" w:rsidR="00E27DD9" w:rsidRPr="009E6200" w:rsidRDefault="00E27DD9" w:rsidP="007B46F5">
      <w:pPr>
        <w:pStyle w:val="SDText"/>
        <w:ind w:left="720"/>
        <w:jc w:val="both"/>
        <w:rPr>
          <w:lang w:eastAsia="ru-RU" w:bidi="ru-RU"/>
        </w:rPr>
      </w:pPr>
    </w:p>
    <w:p w14:paraId="5962F788" w14:textId="077BC840" w:rsidR="00DF3F74" w:rsidRPr="00E27DD9" w:rsidRDefault="002111CA" w:rsidP="007B46F5">
      <w:pPr>
        <w:pStyle w:val="SDTable"/>
        <w:spacing w:after="0"/>
        <w:jc w:val="both"/>
        <w:rPr>
          <w:sz w:val="24"/>
          <w:szCs w:val="24"/>
          <w:lang w:eastAsia="ru-RU" w:bidi="ru-RU"/>
        </w:rPr>
      </w:pPr>
      <w:r w:rsidRPr="00E27DD9">
        <w:rPr>
          <w:sz w:val="24"/>
          <w:szCs w:val="24"/>
        </w:rPr>
        <w:t xml:space="preserve">Таблица </w:t>
      </w:r>
      <w:r w:rsidR="00E27DD9">
        <w:rPr>
          <w:sz w:val="24"/>
          <w:szCs w:val="24"/>
        </w:rPr>
        <w:t>6-1.</w:t>
      </w:r>
      <w:r w:rsidR="00B22E32" w:rsidRPr="00E27DD9">
        <w:rPr>
          <w:bCs/>
          <w:sz w:val="24"/>
          <w:szCs w:val="24"/>
          <w:lang w:eastAsia="ru-RU" w:bidi="ru-RU"/>
        </w:rPr>
        <w:t xml:space="preserve"> </w:t>
      </w:r>
      <w:r w:rsidR="00B22E32" w:rsidRPr="00E27DD9">
        <w:rPr>
          <w:b w:val="0"/>
          <w:sz w:val="24"/>
          <w:szCs w:val="24"/>
          <w:lang w:eastAsia="ru-RU" w:bidi="ru-RU"/>
        </w:rPr>
        <w:t>Оценка целевых образований по RECIST 1.1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7"/>
        <w:gridCol w:w="6998"/>
      </w:tblGrid>
      <w:tr w:rsidR="001D23C8" w:rsidRPr="009E6200" w14:paraId="0FFA3419" w14:textId="77777777" w:rsidTr="00DA24D0">
        <w:trPr>
          <w:trHeight w:val="20"/>
        </w:trPr>
        <w:tc>
          <w:tcPr>
            <w:tcW w:w="1256" w:type="pct"/>
          </w:tcPr>
          <w:p w14:paraId="44BF036F" w14:textId="77777777" w:rsidR="001D23C8" w:rsidRPr="009E6200" w:rsidRDefault="001D23C8" w:rsidP="007B46F5">
            <w:pPr>
              <w:pStyle w:val="SDText"/>
              <w:jc w:val="both"/>
              <w:rPr>
                <w:lang w:eastAsia="ru-RU" w:bidi="ru-RU"/>
              </w:rPr>
            </w:pPr>
            <w:r w:rsidRPr="009E6200">
              <w:rPr>
                <w:b/>
                <w:bCs/>
                <w:lang w:eastAsia="ru-RU" w:bidi="ru-RU"/>
              </w:rPr>
              <w:t xml:space="preserve">Тип ответа </w:t>
            </w:r>
          </w:p>
        </w:tc>
        <w:tc>
          <w:tcPr>
            <w:tcW w:w="3744" w:type="pct"/>
          </w:tcPr>
          <w:p w14:paraId="6EF389CB" w14:textId="77777777" w:rsidR="001D23C8" w:rsidRPr="009E6200" w:rsidRDefault="001D23C8" w:rsidP="007B46F5">
            <w:pPr>
              <w:pStyle w:val="SDText"/>
              <w:jc w:val="both"/>
              <w:rPr>
                <w:lang w:eastAsia="ru-RU" w:bidi="ru-RU"/>
              </w:rPr>
            </w:pPr>
            <w:r w:rsidRPr="009E6200">
              <w:rPr>
                <w:b/>
                <w:bCs/>
                <w:lang w:eastAsia="ru-RU" w:bidi="ru-RU"/>
              </w:rPr>
              <w:t xml:space="preserve">Определение </w:t>
            </w:r>
          </w:p>
        </w:tc>
      </w:tr>
      <w:tr w:rsidR="001D23C8" w:rsidRPr="009E6200" w14:paraId="51629AC1" w14:textId="77777777" w:rsidTr="00DA24D0">
        <w:trPr>
          <w:trHeight w:val="20"/>
        </w:trPr>
        <w:tc>
          <w:tcPr>
            <w:tcW w:w="1256" w:type="pct"/>
          </w:tcPr>
          <w:p w14:paraId="0CAD6699" w14:textId="77777777" w:rsidR="001D23C8" w:rsidRPr="009E6200" w:rsidRDefault="001D23C8" w:rsidP="007B46F5">
            <w:pPr>
              <w:pStyle w:val="SDText"/>
              <w:jc w:val="both"/>
              <w:rPr>
                <w:lang w:eastAsia="ru-RU" w:bidi="ru-RU"/>
              </w:rPr>
            </w:pPr>
            <w:r w:rsidRPr="009E6200">
              <w:rPr>
                <w:lang w:eastAsia="ru-RU" w:bidi="ru-RU"/>
              </w:rPr>
              <w:t xml:space="preserve">Полный ответ </w:t>
            </w:r>
          </w:p>
        </w:tc>
        <w:tc>
          <w:tcPr>
            <w:tcW w:w="3744" w:type="pct"/>
          </w:tcPr>
          <w:p w14:paraId="7345A1F1" w14:textId="77777777" w:rsidR="001D23C8" w:rsidRPr="009E6200" w:rsidRDefault="001D23C8" w:rsidP="007B46F5">
            <w:pPr>
              <w:pStyle w:val="SDText"/>
              <w:jc w:val="both"/>
              <w:rPr>
                <w:lang w:eastAsia="ru-RU" w:bidi="ru-RU"/>
              </w:rPr>
            </w:pPr>
            <w:r w:rsidRPr="009E6200">
              <w:rPr>
                <w:lang w:eastAsia="ru-RU" w:bidi="ru-RU"/>
              </w:rPr>
              <w:t xml:space="preserve">Исчезновение всех экстранодальных целевых образований. Все патологические лимфатические узлы должны уменьшиться &lt; 10 мм по короткой оси в абсолютном значении. </w:t>
            </w:r>
          </w:p>
        </w:tc>
      </w:tr>
      <w:tr w:rsidR="001D23C8" w:rsidRPr="009E6200" w14:paraId="7D5A7342" w14:textId="77777777" w:rsidTr="00DA24D0">
        <w:trPr>
          <w:trHeight w:val="20"/>
        </w:trPr>
        <w:tc>
          <w:tcPr>
            <w:tcW w:w="1256" w:type="pct"/>
          </w:tcPr>
          <w:p w14:paraId="4ED7AFDC" w14:textId="77777777" w:rsidR="001D23C8" w:rsidRPr="009E6200" w:rsidRDefault="001D23C8" w:rsidP="007B46F5">
            <w:pPr>
              <w:pStyle w:val="SDText"/>
              <w:jc w:val="both"/>
              <w:rPr>
                <w:lang w:eastAsia="ru-RU" w:bidi="ru-RU"/>
              </w:rPr>
            </w:pPr>
            <w:r w:rsidRPr="009E6200">
              <w:rPr>
                <w:lang w:eastAsia="ru-RU" w:bidi="ru-RU"/>
              </w:rPr>
              <w:t xml:space="preserve">Частичный ответ </w:t>
            </w:r>
          </w:p>
        </w:tc>
        <w:tc>
          <w:tcPr>
            <w:tcW w:w="3744" w:type="pct"/>
          </w:tcPr>
          <w:p w14:paraId="43826B48" w14:textId="77777777" w:rsidR="001D23C8" w:rsidRPr="009E6200" w:rsidRDefault="001D23C8" w:rsidP="007B46F5">
            <w:pPr>
              <w:pStyle w:val="SDText"/>
              <w:jc w:val="both"/>
              <w:rPr>
                <w:lang w:eastAsia="ru-RU" w:bidi="ru-RU"/>
              </w:rPr>
            </w:pPr>
            <w:r w:rsidRPr="009E6200">
              <w:rPr>
                <w:lang w:eastAsia="ru-RU" w:bidi="ru-RU"/>
              </w:rPr>
              <w:t>Уменьшение суммы наибольших размеров очагов более чем на 30 %; для сравнения берется первичное исследование</w:t>
            </w:r>
            <w:r w:rsidR="00BA47B8" w:rsidRPr="009E6200">
              <w:rPr>
                <w:lang w:eastAsia="ru-RU" w:bidi="ru-RU"/>
              </w:rPr>
              <w:t>.</w:t>
            </w:r>
          </w:p>
        </w:tc>
      </w:tr>
      <w:tr w:rsidR="001D23C8" w:rsidRPr="009E6200" w14:paraId="46C99CBA" w14:textId="77777777" w:rsidTr="00DA24D0">
        <w:trPr>
          <w:trHeight w:val="20"/>
        </w:trPr>
        <w:tc>
          <w:tcPr>
            <w:tcW w:w="1256" w:type="pct"/>
          </w:tcPr>
          <w:p w14:paraId="12049D78" w14:textId="77777777" w:rsidR="001D23C8" w:rsidRPr="009E6200" w:rsidRDefault="001D23C8" w:rsidP="007B46F5">
            <w:pPr>
              <w:pStyle w:val="SDText"/>
              <w:jc w:val="both"/>
              <w:rPr>
                <w:lang w:eastAsia="ru-RU" w:bidi="ru-RU"/>
              </w:rPr>
            </w:pPr>
            <w:r w:rsidRPr="009E6200">
              <w:rPr>
                <w:lang w:eastAsia="ru-RU" w:bidi="ru-RU"/>
              </w:rPr>
              <w:t xml:space="preserve">Прогрессирование заболевания </w:t>
            </w:r>
          </w:p>
        </w:tc>
        <w:tc>
          <w:tcPr>
            <w:tcW w:w="3744" w:type="pct"/>
          </w:tcPr>
          <w:p w14:paraId="5619CD0C" w14:textId="77777777" w:rsidR="001D23C8" w:rsidRPr="009E6200" w:rsidRDefault="001D23C8" w:rsidP="007B46F5">
            <w:pPr>
              <w:pStyle w:val="SDText"/>
              <w:numPr>
                <w:ilvl w:val="0"/>
                <w:numId w:val="23"/>
              </w:numPr>
              <w:jc w:val="both"/>
              <w:rPr>
                <w:lang w:eastAsia="ru-RU" w:bidi="ru-RU"/>
              </w:rPr>
            </w:pPr>
            <w:r w:rsidRPr="009E6200">
              <w:rPr>
                <w:lang w:eastAsia="ru-RU" w:bidi="ru-RU"/>
              </w:rPr>
              <w:t xml:space="preserve">Увеличение суммы наибольших размеров не менее чем на 20 % по сравнению с временной точкой, имеющей наименьшую сумму наибольших размеров (надир); </w:t>
            </w:r>
          </w:p>
          <w:p w14:paraId="36DC3800" w14:textId="77777777" w:rsidR="001D23C8" w:rsidRPr="009E6200" w:rsidRDefault="001D23C8" w:rsidP="007B46F5">
            <w:pPr>
              <w:pStyle w:val="SDText"/>
              <w:numPr>
                <w:ilvl w:val="0"/>
                <w:numId w:val="23"/>
              </w:numPr>
              <w:jc w:val="both"/>
              <w:rPr>
                <w:lang w:eastAsia="ru-RU" w:bidi="ru-RU"/>
              </w:rPr>
            </w:pPr>
            <w:r w:rsidRPr="009E6200">
              <w:rPr>
                <w:lang w:eastAsia="ru-RU" w:bidi="ru-RU"/>
              </w:rPr>
              <w:t xml:space="preserve">Также сумма наибольших размеров должна демонстрировать абсолютное увеличение размеров не менее чем на 5 мм.; </w:t>
            </w:r>
          </w:p>
          <w:p w14:paraId="395D2E65" w14:textId="77777777" w:rsidR="001D23C8" w:rsidRPr="009E6200" w:rsidRDefault="001D23C8" w:rsidP="007B46F5">
            <w:pPr>
              <w:pStyle w:val="SDText"/>
              <w:numPr>
                <w:ilvl w:val="0"/>
                <w:numId w:val="23"/>
              </w:numPr>
              <w:jc w:val="both"/>
              <w:rPr>
                <w:lang w:eastAsia="ru-RU" w:bidi="ru-RU"/>
              </w:rPr>
            </w:pPr>
            <w:r w:rsidRPr="009E6200">
              <w:rPr>
                <w:lang w:eastAsia="ru-RU" w:bidi="ru-RU"/>
              </w:rPr>
              <w:t xml:space="preserve">Достоверное появление нового опухолевого очага </w:t>
            </w:r>
          </w:p>
        </w:tc>
      </w:tr>
      <w:tr w:rsidR="001D23C8" w:rsidRPr="009E6200" w14:paraId="11F0CD41" w14:textId="77777777" w:rsidTr="00DA24D0">
        <w:trPr>
          <w:trHeight w:val="20"/>
        </w:trPr>
        <w:tc>
          <w:tcPr>
            <w:tcW w:w="1256" w:type="pct"/>
          </w:tcPr>
          <w:p w14:paraId="3F8E62B6" w14:textId="77777777" w:rsidR="001D23C8" w:rsidRPr="009E6200" w:rsidRDefault="001D23C8" w:rsidP="007B46F5">
            <w:pPr>
              <w:pStyle w:val="SDText"/>
              <w:jc w:val="both"/>
              <w:rPr>
                <w:lang w:eastAsia="ru-RU" w:bidi="ru-RU"/>
              </w:rPr>
            </w:pPr>
            <w:r w:rsidRPr="009E6200">
              <w:rPr>
                <w:lang w:eastAsia="ru-RU" w:bidi="ru-RU"/>
              </w:rPr>
              <w:t xml:space="preserve">Стабильный процесс </w:t>
            </w:r>
          </w:p>
        </w:tc>
        <w:tc>
          <w:tcPr>
            <w:tcW w:w="3744" w:type="pct"/>
          </w:tcPr>
          <w:p w14:paraId="546DC379" w14:textId="77777777" w:rsidR="001D23C8" w:rsidRPr="009E6200" w:rsidRDefault="001D23C8" w:rsidP="007B46F5">
            <w:pPr>
              <w:pStyle w:val="SDText"/>
              <w:jc w:val="both"/>
              <w:rPr>
                <w:lang w:eastAsia="ru-RU" w:bidi="ru-RU"/>
              </w:rPr>
            </w:pPr>
            <w:r w:rsidRPr="009E6200">
              <w:rPr>
                <w:lang w:eastAsia="ru-RU" w:bidi="ru-RU"/>
              </w:rPr>
              <w:t xml:space="preserve">Все прочие случаи </w:t>
            </w:r>
          </w:p>
        </w:tc>
      </w:tr>
    </w:tbl>
    <w:p w14:paraId="5DFEF75A" w14:textId="77777777" w:rsidR="00164C21" w:rsidRPr="009E6200" w:rsidRDefault="00164C21" w:rsidP="007B46F5">
      <w:pPr>
        <w:pStyle w:val="SDText"/>
        <w:jc w:val="both"/>
        <w:rPr>
          <w:lang w:eastAsia="ru-RU" w:bidi="ru-RU"/>
        </w:rPr>
      </w:pPr>
    </w:p>
    <w:p w14:paraId="19640F24" w14:textId="77777777" w:rsidR="00513EEB" w:rsidRPr="009E6200" w:rsidRDefault="0095428E" w:rsidP="007B46F5">
      <w:pPr>
        <w:pStyle w:val="SDText"/>
        <w:jc w:val="both"/>
        <w:rPr>
          <w:b/>
          <w:bCs/>
          <w:lang w:eastAsia="ru-RU" w:bidi="ru-RU"/>
        </w:rPr>
      </w:pPr>
      <w:r w:rsidRPr="009E6200">
        <w:rPr>
          <w:b/>
          <w:bCs/>
          <w:lang w:eastAsia="ru-RU" w:bidi="ru-RU"/>
        </w:rPr>
        <w:t>Выбор исследования для сравнения</w:t>
      </w:r>
    </w:p>
    <w:p w14:paraId="2EA58A95" w14:textId="77777777" w:rsidR="00662B19" w:rsidRPr="009E6200" w:rsidRDefault="00662B19" w:rsidP="007B46F5">
      <w:pPr>
        <w:pStyle w:val="SDText"/>
        <w:numPr>
          <w:ilvl w:val="0"/>
          <w:numId w:val="24"/>
        </w:numPr>
        <w:jc w:val="both"/>
        <w:rPr>
          <w:lang w:eastAsia="ru-RU" w:bidi="ru-RU"/>
        </w:rPr>
      </w:pPr>
      <w:r w:rsidRPr="009E6200">
        <w:rPr>
          <w:lang w:eastAsia="ru-RU" w:bidi="ru-RU"/>
        </w:rPr>
        <w:t>При неизмененном тренде сравнение производить с исходной точкой (baseline);</w:t>
      </w:r>
    </w:p>
    <w:p w14:paraId="1FC239F1" w14:textId="77777777" w:rsidR="00662B19" w:rsidRPr="009E6200" w:rsidRDefault="00662B19" w:rsidP="007B46F5">
      <w:pPr>
        <w:pStyle w:val="SDText"/>
        <w:numPr>
          <w:ilvl w:val="0"/>
          <w:numId w:val="24"/>
        </w:numPr>
        <w:jc w:val="both"/>
        <w:rPr>
          <w:lang w:eastAsia="ru-RU" w:bidi="ru-RU"/>
        </w:rPr>
      </w:pPr>
      <w:r w:rsidRPr="009E6200">
        <w:rPr>
          <w:lang w:eastAsia="ru-RU" w:bidi="ru-RU"/>
        </w:rPr>
        <w:t>При изменении тренда производить сравнение с точкой наименьших измерений (nadir)</w:t>
      </w:r>
      <w:r w:rsidR="00B76FFA" w:rsidRPr="009E6200">
        <w:rPr>
          <w:lang w:eastAsia="ru-RU" w:bidi="ru-RU"/>
        </w:rPr>
        <w:t>.</w:t>
      </w:r>
    </w:p>
    <w:p w14:paraId="793594C9" w14:textId="1C5AD5CF" w:rsidR="00B76FFA" w:rsidRPr="009E6200" w:rsidRDefault="00B76FFA" w:rsidP="007B46F5">
      <w:pPr>
        <w:pStyle w:val="SDText"/>
        <w:jc w:val="both"/>
        <w:rPr>
          <w:lang w:eastAsia="ru-RU" w:bidi="ru-RU"/>
        </w:rPr>
      </w:pPr>
      <w:r w:rsidRPr="009E6200">
        <w:rPr>
          <w:lang w:eastAsia="ru-RU" w:bidi="ru-RU"/>
        </w:rPr>
        <w:t xml:space="preserve">Указанные подход схематически представлен на Рисунке </w:t>
      </w:r>
      <w:r w:rsidR="00C32B58" w:rsidRPr="009E6200">
        <w:rPr>
          <w:lang w:eastAsia="ru-RU" w:bidi="ru-RU"/>
        </w:rPr>
        <w:fldChar w:fldCharType="begin"/>
      </w:r>
      <w:r w:rsidR="00C32B58" w:rsidRPr="009E6200">
        <w:rPr>
          <w:lang w:eastAsia="ru-RU" w:bidi="ru-RU"/>
        </w:rPr>
        <w:instrText xml:space="preserve"> REF _Ref12909401 \h </w:instrText>
      </w:r>
      <w:r w:rsidR="00705D95" w:rsidRPr="009E6200">
        <w:rPr>
          <w:lang w:eastAsia="ru-RU" w:bidi="ru-RU"/>
        </w:rPr>
        <w:instrText xml:space="preserve">\# 0 </w:instrText>
      </w:r>
      <w:r w:rsidR="009E6200">
        <w:rPr>
          <w:lang w:eastAsia="ru-RU" w:bidi="ru-RU"/>
        </w:rPr>
        <w:instrText xml:space="preserve"> \* MERGEFORMAT </w:instrText>
      </w:r>
      <w:r w:rsidR="00C32B58" w:rsidRPr="009E6200">
        <w:rPr>
          <w:lang w:eastAsia="ru-RU" w:bidi="ru-RU"/>
        </w:rPr>
      </w:r>
      <w:r w:rsidR="00C32B58" w:rsidRPr="009E6200">
        <w:rPr>
          <w:lang w:eastAsia="ru-RU" w:bidi="ru-RU"/>
        </w:rPr>
        <w:fldChar w:fldCharType="separate"/>
      </w:r>
      <w:r w:rsidR="005A436A">
        <w:rPr>
          <w:lang w:eastAsia="ru-RU" w:bidi="ru-RU"/>
        </w:rPr>
        <w:t>1</w:t>
      </w:r>
      <w:r w:rsidR="00C32B58" w:rsidRPr="009E6200">
        <w:rPr>
          <w:lang w:eastAsia="ru-RU" w:bidi="ru-RU"/>
        </w:rPr>
        <w:fldChar w:fldCharType="end"/>
      </w:r>
      <w:r w:rsidR="00016A31" w:rsidRPr="009E6200">
        <w:rPr>
          <w:lang w:eastAsia="ru-RU" w:bidi="ru-RU"/>
        </w:rPr>
        <w:t>.</w:t>
      </w:r>
    </w:p>
    <w:p w14:paraId="1799D2BE" w14:textId="77777777" w:rsidR="00513EEB" w:rsidRPr="009E6200" w:rsidRDefault="00513EEB" w:rsidP="007B46F5">
      <w:pPr>
        <w:pStyle w:val="SDText"/>
        <w:jc w:val="both"/>
        <w:rPr>
          <w:lang w:eastAsia="ru-RU" w:bidi="ru-RU"/>
        </w:rPr>
      </w:pPr>
      <w:r w:rsidRPr="009E6200">
        <w:rPr>
          <w:noProof/>
          <w:lang w:eastAsia="ru-RU"/>
        </w:rPr>
        <w:drawing>
          <wp:inline distT="0" distB="0" distL="0" distR="0" wp14:anchorId="17CC1953" wp14:editId="0BF452DB">
            <wp:extent cx="4960620" cy="17145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60620" cy="1714500"/>
                    </a:xfrm>
                    <a:prstGeom prst="rect">
                      <a:avLst/>
                    </a:prstGeom>
                    <a:noFill/>
                    <a:ln>
                      <a:noFill/>
                    </a:ln>
                  </pic:spPr>
                </pic:pic>
              </a:graphicData>
            </a:graphic>
          </wp:inline>
        </w:drawing>
      </w:r>
    </w:p>
    <w:p w14:paraId="03366FE9" w14:textId="14D1C629" w:rsidR="00513EEB" w:rsidRPr="009E6200" w:rsidRDefault="00513EEB" w:rsidP="007B46F5">
      <w:pPr>
        <w:pStyle w:val="Caption"/>
        <w:jc w:val="both"/>
        <w:rPr>
          <w:lang w:eastAsia="ru-RU" w:bidi="ru-RU"/>
        </w:rPr>
      </w:pPr>
      <w:bookmarkStart w:id="206" w:name="_Ref12909401"/>
      <w:r w:rsidRPr="009E6200">
        <w:t xml:space="preserve">Рисунок </w:t>
      </w:r>
      <w:fldSimple w:instr=" SEQ Рисунок \* ARABIC ">
        <w:r w:rsidR="005A436A">
          <w:rPr>
            <w:noProof/>
          </w:rPr>
          <w:t>1</w:t>
        </w:r>
      </w:fldSimple>
      <w:bookmarkEnd w:id="206"/>
      <w:r w:rsidRPr="009E6200">
        <w:t xml:space="preserve"> </w:t>
      </w:r>
      <w:r w:rsidR="00B76FFA" w:rsidRPr="009E6200">
        <w:t>Схема выбора контрольного исследования для оценки динамики процесса</w:t>
      </w:r>
    </w:p>
    <w:p w14:paraId="5A6FE98D" w14:textId="77777777" w:rsidR="00016A31" w:rsidRPr="009E6200" w:rsidRDefault="00016A31" w:rsidP="007B46F5">
      <w:pPr>
        <w:pStyle w:val="SDText"/>
        <w:jc w:val="both"/>
        <w:rPr>
          <w:lang w:eastAsia="ru-RU" w:bidi="ru-RU"/>
        </w:rPr>
      </w:pPr>
    </w:p>
    <w:p w14:paraId="125FB100" w14:textId="3ED16997" w:rsidR="00312EB7" w:rsidRPr="00E27DD9" w:rsidRDefault="00312EB7" w:rsidP="007B46F5">
      <w:pPr>
        <w:pStyle w:val="SDText"/>
        <w:jc w:val="both"/>
        <w:rPr>
          <w:szCs w:val="24"/>
          <w:lang w:eastAsia="ru-RU" w:bidi="ru-RU"/>
        </w:rPr>
      </w:pPr>
      <w:r w:rsidRPr="00E27DD9">
        <w:rPr>
          <w:b/>
          <w:bCs/>
          <w:szCs w:val="24"/>
          <w:lang w:eastAsia="ru-RU" w:bidi="ru-RU"/>
        </w:rPr>
        <w:t>Правила оценки динамики нецелевых образований</w:t>
      </w:r>
      <w:r w:rsidRPr="00E27DD9">
        <w:rPr>
          <w:szCs w:val="24"/>
          <w:lang w:eastAsia="ru-RU" w:bidi="ru-RU"/>
        </w:rPr>
        <w:t xml:space="preserve"> представлены в Таблице </w:t>
      </w:r>
      <w:r w:rsidR="00E27DD9">
        <w:rPr>
          <w:szCs w:val="24"/>
          <w:lang w:eastAsia="ru-RU" w:bidi="ru-RU"/>
        </w:rPr>
        <w:t>6-2</w:t>
      </w:r>
    </w:p>
    <w:p w14:paraId="63E305A7" w14:textId="77777777" w:rsidR="00E27DD9" w:rsidRDefault="00E27DD9" w:rsidP="007B46F5">
      <w:pPr>
        <w:pStyle w:val="SDTable"/>
        <w:spacing w:after="0"/>
        <w:jc w:val="both"/>
        <w:rPr>
          <w:sz w:val="24"/>
          <w:szCs w:val="24"/>
        </w:rPr>
      </w:pPr>
      <w:bookmarkStart w:id="207" w:name="_Ref12909918"/>
      <w:bookmarkStart w:id="208" w:name="_Ref12909912"/>
    </w:p>
    <w:p w14:paraId="7C161142" w14:textId="32EA5C48" w:rsidR="0077479E" w:rsidRPr="00E27DD9" w:rsidRDefault="0077479E" w:rsidP="007B46F5">
      <w:pPr>
        <w:pStyle w:val="SDTable"/>
        <w:spacing w:after="0"/>
        <w:jc w:val="both"/>
        <w:rPr>
          <w:sz w:val="24"/>
          <w:szCs w:val="24"/>
          <w:lang w:eastAsia="ru-RU" w:bidi="ru-RU"/>
        </w:rPr>
      </w:pPr>
      <w:r w:rsidRPr="00E27DD9">
        <w:rPr>
          <w:sz w:val="24"/>
          <w:szCs w:val="24"/>
        </w:rPr>
        <w:t xml:space="preserve">Таблица </w:t>
      </w:r>
      <w:r w:rsidR="00E27DD9">
        <w:rPr>
          <w:sz w:val="24"/>
          <w:szCs w:val="24"/>
        </w:rPr>
        <w:t>6-2.</w:t>
      </w:r>
      <w:bookmarkEnd w:id="207"/>
      <w:r w:rsidRPr="00E27DD9">
        <w:rPr>
          <w:sz w:val="24"/>
          <w:szCs w:val="24"/>
        </w:rPr>
        <w:t xml:space="preserve"> </w:t>
      </w:r>
      <w:r w:rsidRPr="00E27DD9">
        <w:rPr>
          <w:b w:val="0"/>
          <w:sz w:val="24"/>
          <w:szCs w:val="24"/>
        </w:rPr>
        <w:t>Оценка нецел</w:t>
      </w:r>
      <w:r w:rsidR="005D2E04" w:rsidRPr="00E27DD9">
        <w:rPr>
          <w:b w:val="0"/>
          <w:sz w:val="24"/>
          <w:szCs w:val="24"/>
        </w:rPr>
        <w:t xml:space="preserve">евых образований по </w:t>
      </w:r>
      <w:r w:rsidR="005D2E04" w:rsidRPr="00E27DD9">
        <w:rPr>
          <w:b w:val="0"/>
          <w:sz w:val="24"/>
          <w:szCs w:val="24"/>
          <w:lang w:val="en-US"/>
        </w:rPr>
        <w:t>RECIST</w:t>
      </w:r>
      <w:r w:rsidR="005D2E04" w:rsidRPr="00E27DD9">
        <w:rPr>
          <w:b w:val="0"/>
          <w:sz w:val="24"/>
          <w:szCs w:val="24"/>
        </w:rPr>
        <w:t xml:space="preserve"> 1.1</w:t>
      </w:r>
      <w:bookmarkEnd w:id="20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4"/>
        <w:gridCol w:w="7141"/>
      </w:tblGrid>
      <w:tr w:rsidR="00363A82" w:rsidRPr="00E27DD9" w14:paraId="72547B37" w14:textId="77777777" w:rsidTr="00DA24D0">
        <w:trPr>
          <w:trHeight w:val="107"/>
        </w:trPr>
        <w:tc>
          <w:tcPr>
            <w:tcW w:w="1179" w:type="pct"/>
          </w:tcPr>
          <w:p w14:paraId="75A0FD05" w14:textId="77777777" w:rsidR="00363A82" w:rsidRPr="00E27DD9" w:rsidRDefault="00363A82" w:rsidP="007B46F5">
            <w:pPr>
              <w:pStyle w:val="SDText"/>
              <w:jc w:val="both"/>
              <w:rPr>
                <w:szCs w:val="24"/>
                <w:lang w:eastAsia="ru-RU" w:bidi="ru-RU"/>
              </w:rPr>
            </w:pPr>
            <w:r w:rsidRPr="00E27DD9">
              <w:rPr>
                <w:b/>
                <w:bCs/>
                <w:szCs w:val="24"/>
                <w:lang w:eastAsia="ru-RU" w:bidi="ru-RU"/>
              </w:rPr>
              <w:t xml:space="preserve">Тип ответа </w:t>
            </w:r>
          </w:p>
        </w:tc>
        <w:tc>
          <w:tcPr>
            <w:tcW w:w="3821" w:type="pct"/>
          </w:tcPr>
          <w:p w14:paraId="3C17A652" w14:textId="77777777" w:rsidR="00363A82" w:rsidRPr="00E27DD9" w:rsidRDefault="00363A82" w:rsidP="007B46F5">
            <w:pPr>
              <w:pStyle w:val="SDText"/>
              <w:jc w:val="both"/>
              <w:rPr>
                <w:szCs w:val="24"/>
                <w:lang w:eastAsia="ru-RU" w:bidi="ru-RU"/>
              </w:rPr>
            </w:pPr>
            <w:r w:rsidRPr="00E27DD9">
              <w:rPr>
                <w:b/>
                <w:bCs/>
                <w:szCs w:val="24"/>
                <w:lang w:eastAsia="ru-RU" w:bidi="ru-RU"/>
              </w:rPr>
              <w:t xml:space="preserve">Определение </w:t>
            </w:r>
          </w:p>
        </w:tc>
      </w:tr>
      <w:tr w:rsidR="00363A82" w:rsidRPr="00E27DD9" w14:paraId="0F2382F4" w14:textId="77777777" w:rsidTr="00DA24D0">
        <w:trPr>
          <w:trHeight w:val="658"/>
        </w:trPr>
        <w:tc>
          <w:tcPr>
            <w:tcW w:w="1179" w:type="pct"/>
          </w:tcPr>
          <w:p w14:paraId="2E07EE9C" w14:textId="77777777" w:rsidR="00363A82" w:rsidRPr="00E27DD9" w:rsidRDefault="00363A82" w:rsidP="007B46F5">
            <w:pPr>
              <w:pStyle w:val="SDText"/>
              <w:jc w:val="both"/>
              <w:rPr>
                <w:szCs w:val="24"/>
                <w:lang w:eastAsia="ru-RU" w:bidi="ru-RU"/>
              </w:rPr>
            </w:pPr>
            <w:r w:rsidRPr="00E27DD9">
              <w:rPr>
                <w:szCs w:val="24"/>
                <w:lang w:eastAsia="ru-RU" w:bidi="ru-RU"/>
              </w:rPr>
              <w:t xml:space="preserve">Полный ответ </w:t>
            </w:r>
          </w:p>
        </w:tc>
        <w:tc>
          <w:tcPr>
            <w:tcW w:w="3821" w:type="pct"/>
          </w:tcPr>
          <w:p w14:paraId="01599371" w14:textId="77777777" w:rsidR="00363A82" w:rsidRPr="00E27DD9" w:rsidRDefault="00363A82" w:rsidP="007B46F5">
            <w:pPr>
              <w:pStyle w:val="SDText"/>
              <w:numPr>
                <w:ilvl w:val="0"/>
                <w:numId w:val="25"/>
              </w:numPr>
              <w:jc w:val="both"/>
              <w:rPr>
                <w:szCs w:val="24"/>
                <w:lang w:eastAsia="ru-RU" w:bidi="ru-RU"/>
              </w:rPr>
            </w:pPr>
            <w:r w:rsidRPr="00E27DD9">
              <w:rPr>
                <w:szCs w:val="24"/>
                <w:lang w:eastAsia="ru-RU" w:bidi="ru-RU"/>
              </w:rPr>
              <w:t>Исчезновение всех экстранодальных нецелевых очагов</w:t>
            </w:r>
            <w:r w:rsidR="00C07AC4" w:rsidRPr="00E27DD9">
              <w:rPr>
                <w:szCs w:val="24"/>
                <w:lang w:eastAsia="ru-RU" w:bidi="ru-RU"/>
              </w:rPr>
              <w:t>;</w:t>
            </w:r>
          </w:p>
          <w:p w14:paraId="647A1570" w14:textId="77777777" w:rsidR="00363A82" w:rsidRPr="00E27DD9" w:rsidRDefault="00363A82" w:rsidP="007B46F5">
            <w:pPr>
              <w:pStyle w:val="SDText"/>
              <w:numPr>
                <w:ilvl w:val="0"/>
                <w:numId w:val="25"/>
              </w:numPr>
              <w:jc w:val="both"/>
              <w:rPr>
                <w:szCs w:val="24"/>
                <w:lang w:eastAsia="ru-RU" w:bidi="ru-RU"/>
              </w:rPr>
            </w:pPr>
            <w:r w:rsidRPr="00E27DD9">
              <w:rPr>
                <w:szCs w:val="24"/>
                <w:lang w:eastAsia="ru-RU" w:bidi="ru-RU"/>
              </w:rPr>
              <w:t>Все лимфатические очаги должны быть нормальных размеров (&lt;10 мм по короткой оси в абсолютном значении)</w:t>
            </w:r>
            <w:r w:rsidR="00C07AC4" w:rsidRPr="00E27DD9">
              <w:rPr>
                <w:szCs w:val="24"/>
                <w:lang w:eastAsia="ru-RU" w:bidi="ru-RU"/>
              </w:rPr>
              <w:t>;</w:t>
            </w:r>
            <w:r w:rsidRPr="00E27DD9">
              <w:rPr>
                <w:szCs w:val="24"/>
                <w:lang w:eastAsia="ru-RU" w:bidi="ru-RU"/>
              </w:rPr>
              <w:t xml:space="preserve"> </w:t>
            </w:r>
          </w:p>
          <w:p w14:paraId="3A955D27" w14:textId="77777777" w:rsidR="00363A82" w:rsidRPr="00E27DD9" w:rsidRDefault="00363A82" w:rsidP="007B46F5">
            <w:pPr>
              <w:pStyle w:val="SDText"/>
              <w:numPr>
                <w:ilvl w:val="0"/>
                <w:numId w:val="25"/>
              </w:numPr>
              <w:jc w:val="both"/>
              <w:rPr>
                <w:szCs w:val="24"/>
                <w:lang w:eastAsia="ru-RU" w:bidi="ru-RU"/>
              </w:rPr>
            </w:pPr>
            <w:r w:rsidRPr="00E27DD9">
              <w:rPr>
                <w:szCs w:val="24"/>
                <w:lang w:eastAsia="ru-RU" w:bidi="ru-RU"/>
              </w:rPr>
              <w:t>Нормализация уровня опухолевых маркеров.</w:t>
            </w:r>
          </w:p>
        </w:tc>
      </w:tr>
      <w:tr w:rsidR="00363A82" w:rsidRPr="00E27DD9" w14:paraId="32376822" w14:textId="77777777" w:rsidTr="00DA24D0">
        <w:trPr>
          <w:trHeight w:val="248"/>
        </w:trPr>
        <w:tc>
          <w:tcPr>
            <w:tcW w:w="1179" w:type="pct"/>
          </w:tcPr>
          <w:p w14:paraId="60637FB0" w14:textId="77777777" w:rsidR="00363A82" w:rsidRPr="00E27DD9" w:rsidRDefault="00363A82" w:rsidP="007B46F5">
            <w:pPr>
              <w:pStyle w:val="SDText"/>
              <w:jc w:val="both"/>
              <w:rPr>
                <w:szCs w:val="24"/>
                <w:lang w:eastAsia="ru-RU" w:bidi="ru-RU"/>
              </w:rPr>
            </w:pPr>
            <w:r w:rsidRPr="00E27DD9">
              <w:rPr>
                <w:szCs w:val="24"/>
                <w:lang w:eastAsia="ru-RU" w:bidi="ru-RU"/>
              </w:rPr>
              <w:t xml:space="preserve">Прогрессирование заболевания </w:t>
            </w:r>
          </w:p>
        </w:tc>
        <w:tc>
          <w:tcPr>
            <w:tcW w:w="3821" w:type="pct"/>
          </w:tcPr>
          <w:p w14:paraId="642673DA" w14:textId="77777777" w:rsidR="00363A82" w:rsidRPr="00E27DD9" w:rsidRDefault="00363A82" w:rsidP="007B46F5">
            <w:pPr>
              <w:pStyle w:val="SDText"/>
              <w:jc w:val="both"/>
              <w:rPr>
                <w:szCs w:val="24"/>
                <w:lang w:eastAsia="ru-RU" w:bidi="ru-RU"/>
              </w:rPr>
            </w:pPr>
            <w:r w:rsidRPr="00E27DD9">
              <w:rPr>
                <w:szCs w:val="24"/>
                <w:lang w:eastAsia="ru-RU" w:bidi="ru-RU"/>
              </w:rPr>
              <w:t>Бесспорное прогрессирование нецелевых очагов</w:t>
            </w:r>
            <w:r w:rsidR="00C07AC4" w:rsidRPr="00E27DD9">
              <w:rPr>
                <w:szCs w:val="24"/>
                <w:lang w:eastAsia="ru-RU" w:bidi="ru-RU"/>
              </w:rPr>
              <w:t>.</w:t>
            </w:r>
          </w:p>
        </w:tc>
      </w:tr>
    </w:tbl>
    <w:p w14:paraId="12A2B672" w14:textId="77777777" w:rsidR="00016A31" w:rsidRPr="009E6200" w:rsidRDefault="00016A31" w:rsidP="007B46F5">
      <w:pPr>
        <w:pStyle w:val="SDText"/>
        <w:jc w:val="both"/>
        <w:rPr>
          <w:lang w:eastAsia="ru-RU" w:bidi="ru-RU"/>
        </w:rPr>
      </w:pPr>
    </w:p>
    <w:p w14:paraId="073E01F1" w14:textId="4148A3A6" w:rsidR="008D2409" w:rsidRDefault="008D2409" w:rsidP="007B46F5">
      <w:pPr>
        <w:pStyle w:val="SDText"/>
        <w:jc w:val="both"/>
        <w:rPr>
          <w:b/>
          <w:bCs/>
          <w:lang w:eastAsia="ru-RU" w:bidi="ru-RU"/>
        </w:rPr>
      </w:pPr>
      <w:r w:rsidRPr="009E6200">
        <w:rPr>
          <w:b/>
          <w:bCs/>
          <w:lang w:eastAsia="ru-RU" w:bidi="ru-RU"/>
        </w:rPr>
        <w:t>Критерии оценки новых опухолевых очагов:</w:t>
      </w:r>
    </w:p>
    <w:p w14:paraId="1ABAF6FE" w14:textId="77777777" w:rsidR="00E27DD9" w:rsidRPr="009E6200" w:rsidRDefault="00E27DD9" w:rsidP="007B46F5">
      <w:pPr>
        <w:pStyle w:val="SDText"/>
        <w:jc w:val="both"/>
        <w:rPr>
          <w:b/>
          <w:bCs/>
          <w:lang w:eastAsia="ru-RU" w:bidi="ru-RU"/>
        </w:rPr>
      </w:pPr>
    </w:p>
    <w:p w14:paraId="70DD3BD0" w14:textId="77777777" w:rsidR="008D2409" w:rsidRPr="009E6200" w:rsidRDefault="008D2409" w:rsidP="007B46F5">
      <w:pPr>
        <w:pStyle w:val="SDText"/>
        <w:numPr>
          <w:ilvl w:val="0"/>
          <w:numId w:val="26"/>
        </w:numPr>
        <w:jc w:val="both"/>
        <w:rPr>
          <w:lang w:eastAsia="ru-RU" w:bidi="ru-RU"/>
        </w:rPr>
      </w:pPr>
      <w:r w:rsidRPr="009E6200">
        <w:rPr>
          <w:lang w:eastAsia="ru-RU" w:bidi="ru-RU"/>
        </w:rPr>
        <w:t>Находка нового опухолевого очага должна быть бесспорной; очаг ни при каких условиях не может иметь иной генез;</w:t>
      </w:r>
    </w:p>
    <w:p w14:paraId="724C7C6B" w14:textId="77777777" w:rsidR="008D2409" w:rsidRPr="009E6200" w:rsidRDefault="008D2409" w:rsidP="007B46F5">
      <w:pPr>
        <w:pStyle w:val="SDText"/>
        <w:numPr>
          <w:ilvl w:val="0"/>
          <w:numId w:val="26"/>
        </w:numPr>
        <w:jc w:val="both"/>
        <w:rPr>
          <w:lang w:eastAsia="ru-RU" w:bidi="ru-RU"/>
        </w:rPr>
      </w:pPr>
      <w:r w:rsidRPr="009E6200">
        <w:rPr>
          <w:lang w:eastAsia="ru-RU" w:bidi="ru-RU"/>
        </w:rPr>
        <w:t>Очаг может не соответствовать критериям «измеряемого»;</w:t>
      </w:r>
    </w:p>
    <w:p w14:paraId="7B4DF766" w14:textId="77777777" w:rsidR="008D2409" w:rsidRPr="009E6200" w:rsidRDefault="008D2409" w:rsidP="007B46F5">
      <w:pPr>
        <w:pStyle w:val="SDText"/>
        <w:numPr>
          <w:ilvl w:val="0"/>
          <w:numId w:val="26"/>
        </w:numPr>
        <w:jc w:val="both"/>
        <w:rPr>
          <w:lang w:eastAsia="ru-RU" w:bidi="ru-RU"/>
        </w:rPr>
      </w:pPr>
      <w:r w:rsidRPr="009E6200">
        <w:rPr>
          <w:lang w:eastAsia="ru-RU" w:bidi="ru-RU"/>
        </w:rPr>
        <w:t>Если появление нового очага является сомнительным, следует продолжить его контроль до следующей временной точки. При подтверждении данных о новом опухолевом очаге датой прогрессирования заболевания считается первое исследование, выявившее новый очаг;</w:t>
      </w:r>
    </w:p>
    <w:p w14:paraId="7918FEDC" w14:textId="5BCC6356" w:rsidR="00016A31" w:rsidRDefault="008D2409" w:rsidP="007B46F5">
      <w:pPr>
        <w:pStyle w:val="SDText"/>
        <w:numPr>
          <w:ilvl w:val="0"/>
          <w:numId w:val="26"/>
        </w:numPr>
        <w:jc w:val="both"/>
        <w:rPr>
          <w:lang w:eastAsia="ru-RU" w:bidi="ru-RU"/>
        </w:rPr>
      </w:pPr>
      <w:r w:rsidRPr="009E6200">
        <w:rPr>
          <w:lang w:eastAsia="ru-RU" w:bidi="ru-RU"/>
        </w:rPr>
        <w:t>Опухолевые очаги, обнаруженные в анатомических локализациях, не вошедших в зону исследования при первом сканировании, считаются новыми.</w:t>
      </w:r>
    </w:p>
    <w:p w14:paraId="63A32C2E" w14:textId="21E0A374" w:rsidR="0038292C" w:rsidRDefault="0038292C" w:rsidP="007B46F5">
      <w:pPr>
        <w:pStyle w:val="SDText"/>
        <w:numPr>
          <w:ilvl w:val="0"/>
          <w:numId w:val="26"/>
        </w:numPr>
        <w:jc w:val="both"/>
        <w:rPr>
          <w:lang w:eastAsia="ru-RU" w:bidi="ru-RU"/>
        </w:rPr>
      </w:pPr>
      <w:r>
        <w:rPr>
          <w:lang w:eastAsia="ru-RU" w:bidi="ru-RU"/>
        </w:rPr>
        <w:t>Новые очаги регистрируются в качестве не-таргетных очагов.</w:t>
      </w:r>
    </w:p>
    <w:p w14:paraId="4B0BD461" w14:textId="0F5AB7C9" w:rsidR="0038292C" w:rsidRPr="009E6200" w:rsidRDefault="0038292C" w:rsidP="007B46F5">
      <w:pPr>
        <w:pStyle w:val="SDText"/>
        <w:numPr>
          <w:ilvl w:val="0"/>
          <w:numId w:val="26"/>
        </w:numPr>
        <w:jc w:val="both"/>
        <w:rPr>
          <w:lang w:eastAsia="ru-RU" w:bidi="ru-RU"/>
        </w:rPr>
      </w:pPr>
      <w:r>
        <w:rPr>
          <w:lang w:eastAsia="ru-RU" w:bidi="ru-RU"/>
        </w:rPr>
        <w:t>Появление нов</w:t>
      </w:r>
      <w:r w:rsidR="00524641">
        <w:rPr>
          <w:lang w:eastAsia="ru-RU" w:bidi="ru-RU"/>
        </w:rPr>
        <w:t>ых остеосклеротических участков</w:t>
      </w:r>
      <w:r>
        <w:rPr>
          <w:lang w:eastAsia="ru-RU" w:bidi="ru-RU"/>
        </w:rPr>
        <w:t xml:space="preserve"> не должно классифицироваться как прогрессирование, поскольку склероз в области, которая ранее была «нормальной», может означать репарацию очага поражения, который присутствовал в начале лечения и был рентген-негативным. Общий эффект терапии у больного рекомендуется оценивать по критериям RECIST на основании динамики других (некостных) очагов.</w:t>
      </w:r>
    </w:p>
    <w:p w14:paraId="4EF63309" w14:textId="77777777" w:rsidR="0005110B" w:rsidRPr="009E6200" w:rsidRDefault="0005110B" w:rsidP="007B46F5">
      <w:pPr>
        <w:pStyle w:val="SDText"/>
        <w:jc w:val="both"/>
        <w:rPr>
          <w:lang w:eastAsia="ru-RU" w:bidi="ru-RU"/>
        </w:rPr>
      </w:pPr>
    </w:p>
    <w:p w14:paraId="5610B683" w14:textId="11CAA03D" w:rsidR="003721AB" w:rsidRDefault="003721AB" w:rsidP="007B46F5">
      <w:pPr>
        <w:pStyle w:val="SDText"/>
        <w:jc w:val="both"/>
        <w:rPr>
          <w:b/>
          <w:bCs/>
          <w:lang w:eastAsia="ru-RU" w:bidi="ru-RU"/>
        </w:rPr>
      </w:pPr>
      <w:r w:rsidRPr="009E6200">
        <w:rPr>
          <w:b/>
          <w:bCs/>
          <w:lang w:eastAsia="ru-RU" w:bidi="ru-RU"/>
        </w:rPr>
        <w:t>Возврат опухолевых образований:</w:t>
      </w:r>
    </w:p>
    <w:p w14:paraId="257201FB" w14:textId="77777777" w:rsidR="00E27DD9" w:rsidRPr="009E6200" w:rsidRDefault="00E27DD9" w:rsidP="007B46F5">
      <w:pPr>
        <w:pStyle w:val="SDText"/>
        <w:jc w:val="both"/>
        <w:rPr>
          <w:b/>
          <w:bCs/>
          <w:lang w:eastAsia="ru-RU" w:bidi="ru-RU"/>
        </w:rPr>
      </w:pPr>
    </w:p>
    <w:p w14:paraId="022A7068" w14:textId="77777777" w:rsidR="001F358C" w:rsidRDefault="001F358C" w:rsidP="007B46F5">
      <w:pPr>
        <w:pStyle w:val="SDText"/>
        <w:numPr>
          <w:ilvl w:val="0"/>
          <w:numId w:val="41"/>
        </w:numPr>
        <w:jc w:val="both"/>
        <w:rPr>
          <w:lang w:eastAsia="ru-RU" w:bidi="ru-RU"/>
        </w:rPr>
      </w:pPr>
      <w:r>
        <w:rPr>
          <w:lang w:eastAsia="ru-RU" w:bidi="ru-RU"/>
        </w:rPr>
        <w:t>Вновь появившийся таргетный опухолевый очаг соответствует прогрессированию заболевания с момента выявления такого очага;</w:t>
      </w:r>
    </w:p>
    <w:p w14:paraId="1D0A5E7A" w14:textId="77777777" w:rsidR="001F358C" w:rsidRDefault="001F358C" w:rsidP="007B46F5">
      <w:pPr>
        <w:pStyle w:val="SDText"/>
        <w:numPr>
          <w:ilvl w:val="0"/>
          <w:numId w:val="41"/>
        </w:numPr>
        <w:jc w:val="both"/>
        <w:rPr>
          <w:lang w:eastAsia="ru-RU" w:bidi="ru-RU"/>
        </w:rPr>
      </w:pPr>
      <w:r>
        <w:rPr>
          <w:lang w:eastAsia="ru-RU" w:bidi="ru-RU"/>
        </w:rPr>
        <w:t>При регистрации «частичного ответа» или «стабилизации заболевания» на предыдущей временной точке, вновь появившийся таргетный опухолевый очаг должен быть измерен и добавлен к сумме наибольших диаметров</w:t>
      </w:r>
    </w:p>
    <w:p w14:paraId="2CABB46A" w14:textId="24E07D25" w:rsidR="00CE3DA5" w:rsidRPr="009E6200" w:rsidRDefault="00246AA4" w:rsidP="007B46F5">
      <w:pPr>
        <w:pStyle w:val="SDText"/>
        <w:jc w:val="both"/>
        <w:rPr>
          <w:lang w:eastAsia="ru-RU" w:bidi="ru-RU"/>
        </w:rPr>
      </w:pPr>
      <w:r w:rsidRPr="009E6200">
        <w:rPr>
          <w:lang w:eastAsia="ru-RU" w:bidi="ru-RU"/>
        </w:rPr>
        <w:t xml:space="preserve">Суммарная оценка (оценка общего ответа) по </w:t>
      </w:r>
      <w:r w:rsidRPr="001F358C">
        <w:rPr>
          <w:lang w:val="en-US" w:eastAsia="ru-RU" w:bidi="ru-RU"/>
        </w:rPr>
        <w:t>RECIST</w:t>
      </w:r>
      <w:r w:rsidRPr="009E6200">
        <w:rPr>
          <w:lang w:eastAsia="ru-RU" w:bidi="ru-RU"/>
        </w:rPr>
        <w:t xml:space="preserve"> 1.1 представлена в Таблице </w:t>
      </w:r>
      <w:r w:rsidR="00E27DD9">
        <w:rPr>
          <w:lang w:eastAsia="ru-RU" w:bidi="ru-RU"/>
        </w:rPr>
        <w:t>6-3</w:t>
      </w:r>
      <w:r w:rsidR="005E5267" w:rsidRPr="009E6200">
        <w:rPr>
          <w:lang w:eastAsia="ru-RU" w:bidi="ru-RU"/>
        </w:rPr>
        <w:t>.</w:t>
      </w:r>
    </w:p>
    <w:p w14:paraId="5DC62D7F" w14:textId="77777777" w:rsidR="00992857" w:rsidRDefault="00992857" w:rsidP="007B46F5">
      <w:pPr>
        <w:pStyle w:val="SDTable"/>
        <w:spacing w:after="0"/>
        <w:jc w:val="both"/>
        <w:rPr>
          <w:sz w:val="24"/>
          <w:szCs w:val="24"/>
        </w:rPr>
      </w:pPr>
      <w:bookmarkStart w:id="209" w:name="_Ref12910517"/>
    </w:p>
    <w:p w14:paraId="523521D8" w14:textId="5C7A601D" w:rsidR="00246AA4" w:rsidRPr="00E27DD9" w:rsidRDefault="00246AA4" w:rsidP="007B46F5">
      <w:pPr>
        <w:pStyle w:val="SDTable"/>
        <w:spacing w:after="0"/>
        <w:jc w:val="both"/>
        <w:rPr>
          <w:b w:val="0"/>
          <w:sz w:val="24"/>
          <w:szCs w:val="24"/>
          <w:lang w:eastAsia="ru-RU" w:bidi="ru-RU"/>
        </w:rPr>
      </w:pPr>
      <w:r w:rsidRPr="00E27DD9">
        <w:rPr>
          <w:sz w:val="24"/>
          <w:szCs w:val="24"/>
        </w:rPr>
        <w:t xml:space="preserve">Таблица </w:t>
      </w:r>
      <w:bookmarkEnd w:id="209"/>
      <w:r w:rsidR="00E27DD9" w:rsidRPr="00E27DD9">
        <w:rPr>
          <w:sz w:val="24"/>
          <w:szCs w:val="24"/>
        </w:rPr>
        <w:t>6-3.</w:t>
      </w:r>
      <w:r w:rsidR="005E5267" w:rsidRPr="00E27DD9">
        <w:rPr>
          <w:b w:val="0"/>
          <w:sz w:val="24"/>
          <w:szCs w:val="24"/>
        </w:rPr>
        <w:t xml:space="preserve"> Суммарная оценка заболевания по RECIST 1.1</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8"/>
        <w:gridCol w:w="2438"/>
        <w:gridCol w:w="2070"/>
        <w:gridCol w:w="2410"/>
      </w:tblGrid>
      <w:tr w:rsidR="006A32AE" w:rsidRPr="009E6200" w14:paraId="39C77D87" w14:textId="77777777" w:rsidTr="00992857">
        <w:trPr>
          <w:trHeight w:val="124"/>
        </w:trPr>
        <w:tc>
          <w:tcPr>
            <w:tcW w:w="2438" w:type="dxa"/>
          </w:tcPr>
          <w:p w14:paraId="5B60456A" w14:textId="77777777" w:rsidR="006A32AE" w:rsidRPr="009E6200" w:rsidRDefault="006A32AE" w:rsidP="007B46F5">
            <w:pPr>
              <w:pStyle w:val="SDText"/>
              <w:jc w:val="both"/>
              <w:rPr>
                <w:lang w:eastAsia="ru-RU" w:bidi="ru-RU"/>
              </w:rPr>
            </w:pPr>
            <w:r w:rsidRPr="009E6200">
              <w:rPr>
                <w:b/>
                <w:bCs/>
                <w:lang w:eastAsia="ru-RU" w:bidi="ru-RU"/>
              </w:rPr>
              <w:t xml:space="preserve">Целевые очаги </w:t>
            </w:r>
          </w:p>
        </w:tc>
        <w:tc>
          <w:tcPr>
            <w:tcW w:w="2438" w:type="dxa"/>
          </w:tcPr>
          <w:p w14:paraId="1753ED92" w14:textId="77777777" w:rsidR="006A32AE" w:rsidRPr="009E6200" w:rsidRDefault="006A32AE" w:rsidP="007B46F5">
            <w:pPr>
              <w:pStyle w:val="SDText"/>
              <w:jc w:val="both"/>
              <w:rPr>
                <w:lang w:eastAsia="ru-RU" w:bidi="ru-RU"/>
              </w:rPr>
            </w:pPr>
            <w:r w:rsidRPr="009E6200">
              <w:rPr>
                <w:b/>
                <w:bCs/>
                <w:lang w:eastAsia="ru-RU" w:bidi="ru-RU"/>
              </w:rPr>
              <w:t xml:space="preserve">Нецелевые очаги </w:t>
            </w:r>
          </w:p>
        </w:tc>
        <w:tc>
          <w:tcPr>
            <w:tcW w:w="2070" w:type="dxa"/>
          </w:tcPr>
          <w:p w14:paraId="09CDA966" w14:textId="77777777" w:rsidR="006A32AE" w:rsidRPr="009E6200" w:rsidRDefault="006A32AE" w:rsidP="007B46F5">
            <w:pPr>
              <w:pStyle w:val="SDText"/>
              <w:jc w:val="both"/>
              <w:rPr>
                <w:lang w:eastAsia="ru-RU" w:bidi="ru-RU"/>
              </w:rPr>
            </w:pPr>
            <w:r w:rsidRPr="009E6200">
              <w:rPr>
                <w:b/>
                <w:bCs/>
                <w:lang w:eastAsia="ru-RU" w:bidi="ru-RU"/>
              </w:rPr>
              <w:t xml:space="preserve">Новые очаги </w:t>
            </w:r>
          </w:p>
        </w:tc>
        <w:tc>
          <w:tcPr>
            <w:tcW w:w="2410" w:type="dxa"/>
          </w:tcPr>
          <w:p w14:paraId="31E859BD" w14:textId="77777777" w:rsidR="006A32AE" w:rsidRPr="009E6200" w:rsidRDefault="006A32AE" w:rsidP="007B46F5">
            <w:pPr>
              <w:pStyle w:val="SDText"/>
              <w:jc w:val="both"/>
              <w:rPr>
                <w:lang w:eastAsia="ru-RU" w:bidi="ru-RU"/>
              </w:rPr>
            </w:pPr>
            <w:r w:rsidRPr="009E6200">
              <w:rPr>
                <w:b/>
                <w:bCs/>
                <w:lang w:eastAsia="ru-RU" w:bidi="ru-RU"/>
              </w:rPr>
              <w:t xml:space="preserve">Общий ответ </w:t>
            </w:r>
          </w:p>
        </w:tc>
      </w:tr>
      <w:tr w:rsidR="006A32AE" w:rsidRPr="009E6200" w14:paraId="65FCFE76" w14:textId="77777777" w:rsidTr="00992857">
        <w:trPr>
          <w:trHeight w:val="126"/>
        </w:trPr>
        <w:tc>
          <w:tcPr>
            <w:tcW w:w="2438" w:type="dxa"/>
          </w:tcPr>
          <w:p w14:paraId="35278407" w14:textId="77777777" w:rsidR="006A32AE" w:rsidRPr="009E6200" w:rsidRDefault="006A32AE" w:rsidP="007B46F5">
            <w:pPr>
              <w:pStyle w:val="SDText"/>
              <w:jc w:val="both"/>
              <w:rPr>
                <w:lang w:eastAsia="ru-RU" w:bidi="ru-RU"/>
              </w:rPr>
            </w:pPr>
            <w:r w:rsidRPr="009E6200">
              <w:rPr>
                <w:lang w:eastAsia="ru-RU" w:bidi="ru-RU"/>
              </w:rPr>
              <w:t xml:space="preserve">Полный ответ </w:t>
            </w:r>
          </w:p>
        </w:tc>
        <w:tc>
          <w:tcPr>
            <w:tcW w:w="2438" w:type="dxa"/>
          </w:tcPr>
          <w:p w14:paraId="4800CE2B" w14:textId="77777777" w:rsidR="006A32AE" w:rsidRPr="009E6200" w:rsidRDefault="006A32AE" w:rsidP="007B46F5">
            <w:pPr>
              <w:pStyle w:val="SDText"/>
              <w:jc w:val="both"/>
              <w:rPr>
                <w:lang w:eastAsia="ru-RU" w:bidi="ru-RU"/>
              </w:rPr>
            </w:pPr>
            <w:r w:rsidRPr="009E6200">
              <w:rPr>
                <w:lang w:eastAsia="ru-RU" w:bidi="ru-RU"/>
              </w:rPr>
              <w:t xml:space="preserve">Полный ответ </w:t>
            </w:r>
          </w:p>
        </w:tc>
        <w:tc>
          <w:tcPr>
            <w:tcW w:w="2070" w:type="dxa"/>
          </w:tcPr>
          <w:p w14:paraId="61F2285A" w14:textId="77777777" w:rsidR="006A32AE" w:rsidRPr="009E6200" w:rsidRDefault="006A32AE" w:rsidP="007B46F5">
            <w:pPr>
              <w:pStyle w:val="SDText"/>
              <w:jc w:val="both"/>
              <w:rPr>
                <w:lang w:eastAsia="ru-RU" w:bidi="ru-RU"/>
              </w:rPr>
            </w:pPr>
            <w:r w:rsidRPr="009E6200">
              <w:rPr>
                <w:lang w:eastAsia="ru-RU" w:bidi="ru-RU"/>
              </w:rPr>
              <w:t xml:space="preserve">Нет </w:t>
            </w:r>
          </w:p>
        </w:tc>
        <w:tc>
          <w:tcPr>
            <w:tcW w:w="2410" w:type="dxa"/>
          </w:tcPr>
          <w:p w14:paraId="2202F1A5" w14:textId="77777777" w:rsidR="006A32AE" w:rsidRPr="009E6200" w:rsidRDefault="006A32AE" w:rsidP="007B46F5">
            <w:pPr>
              <w:pStyle w:val="SDText"/>
              <w:jc w:val="both"/>
              <w:rPr>
                <w:lang w:eastAsia="ru-RU" w:bidi="ru-RU"/>
              </w:rPr>
            </w:pPr>
            <w:r w:rsidRPr="009E6200">
              <w:rPr>
                <w:lang w:eastAsia="ru-RU" w:bidi="ru-RU"/>
              </w:rPr>
              <w:t xml:space="preserve">Полный ответ </w:t>
            </w:r>
          </w:p>
        </w:tc>
      </w:tr>
      <w:tr w:rsidR="006A32AE" w:rsidRPr="009E6200" w14:paraId="35C27B03" w14:textId="77777777" w:rsidTr="00992857">
        <w:trPr>
          <w:trHeight w:val="287"/>
        </w:trPr>
        <w:tc>
          <w:tcPr>
            <w:tcW w:w="2438" w:type="dxa"/>
          </w:tcPr>
          <w:p w14:paraId="35BAE58F" w14:textId="77777777" w:rsidR="006A32AE" w:rsidRPr="009E6200" w:rsidRDefault="006A32AE" w:rsidP="007B46F5">
            <w:pPr>
              <w:pStyle w:val="SDText"/>
              <w:jc w:val="both"/>
              <w:rPr>
                <w:lang w:eastAsia="ru-RU" w:bidi="ru-RU"/>
              </w:rPr>
            </w:pPr>
            <w:r w:rsidRPr="009E6200">
              <w:rPr>
                <w:lang w:eastAsia="ru-RU" w:bidi="ru-RU"/>
              </w:rPr>
              <w:t xml:space="preserve">Полный ответ </w:t>
            </w:r>
          </w:p>
        </w:tc>
        <w:tc>
          <w:tcPr>
            <w:tcW w:w="2438" w:type="dxa"/>
          </w:tcPr>
          <w:p w14:paraId="5E057FFB" w14:textId="77777777" w:rsidR="006A32AE" w:rsidRPr="009E6200" w:rsidRDefault="006A32AE" w:rsidP="007B46F5">
            <w:pPr>
              <w:pStyle w:val="SDText"/>
              <w:jc w:val="both"/>
              <w:rPr>
                <w:lang w:eastAsia="ru-RU" w:bidi="ru-RU"/>
              </w:rPr>
            </w:pPr>
            <w:r w:rsidRPr="009E6200">
              <w:rPr>
                <w:lang w:eastAsia="ru-RU" w:bidi="ru-RU"/>
              </w:rPr>
              <w:t xml:space="preserve">Частичный ответ/стабильный процесс </w:t>
            </w:r>
          </w:p>
        </w:tc>
        <w:tc>
          <w:tcPr>
            <w:tcW w:w="2070" w:type="dxa"/>
          </w:tcPr>
          <w:p w14:paraId="140BA2A4" w14:textId="77777777" w:rsidR="006A32AE" w:rsidRPr="009E6200" w:rsidRDefault="006A32AE" w:rsidP="007B46F5">
            <w:pPr>
              <w:pStyle w:val="SDText"/>
              <w:jc w:val="both"/>
              <w:rPr>
                <w:lang w:eastAsia="ru-RU" w:bidi="ru-RU"/>
              </w:rPr>
            </w:pPr>
            <w:r w:rsidRPr="009E6200">
              <w:rPr>
                <w:lang w:eastAsia="ru-RU" w:bidi="ru-RU"/>
              </w:rPr>
              <w:t xml:space="preserve">Нет </w:t>
            </w:r>
          </w:p>
        </w:tc>
        <w:tc>
          <w:tcPr>
            <w:tcW w:w="2410" w:type="dxa"/>
          </w:tcPr>
          <w:p w14:paraId="1D6B3AFB" w14:textId="77777777" w:rsidR="006A32AE" w:rsidRPr="009E6200" w:rsidRDefault="006A32AE" w:rsidP="007B46F5">
            <w:pPr>
              <w:pStyle w:val="SDText"/>
              <w:jc w:val="both"/>
              <w:rPr>
                <w:lang w:eastAsia="ru-RU" w:bidi="ru-RU"/>
              </w:rPr>
            </w:pPr>
            <w:r w:rsidRPr="009E6200">
              <w:rPr>
                <w:lang w:eastAsia="ru-RU" w:bidi="ru-RU"/>
              </w:rPr>
              <w:t xml:space="preserve">Частичный ответ </w:t>
            </w:r>
          </w:p>
        </w:tc>
      </w:tr>
      <w:tr w:rsidR="006A32AE" w:rsidRPr="009E6200" w14:paraId="4633E402" w14:textId="77777777" w:rsidTr="00992857">
        <w:trPr>
          <w:trHeight w:val="126"/>
        </w:trPr>
        <w:tc>
          <w:tcPr>
            <w:tcW w:w="2438" w:type="dxa"/>
          </w:tcPr>
          <w:p w14:paraId="00F5F50A" w14:textId="77777777" w:rsidR="006A32AE" w:rsidRPr="009E6200" w:rsidRDefault="006A32AE" w:rsidP="007B46F5">
            <w:pPr>
              <w:pStyle w:val="SDText"/>
              <w:jc w:val="both"/>
              <w:rPr>
                <w:lang w:eastAsia="ru-RU" w:bidi="ru-RU"/>
              </w:rPr>
            </w:pPr>
            <w:r w:rsidRPr="009E6200">
              <w:rPr>
                <w:lang w:eastAsia="ru-RU" w:bidi="ru-RU"/>
              </w:rPr>
              <w:t xml:space="preserve">Полный ответ </w:t>
            </w:r>
          </w:p>
        </w:tc>
        <w:tc>
          <w:tcPr>
            <w:tcW w:w="2438" w:type="dxa"/>
          </w:tcPr>
          <w:p w14:paraId="76C63707" w14:textId="77777777" w:rsidR="006A32AE" w:rsidRPr="009E6200" w:rsidRDefault="006A32AE" w:rsidP="007B46F5">
            <w:pPr>
              <w:pStyle w:val="SDText"/>
              <w:jc w:val="both"/>
              <w:rPr>
                <w:lang w:eastAsia="ru-RU" w:bidi="ru-RU"/>
              </w:rPr>
            </w:pPr>
            <w:r w:rsidRPr="009E6200">
              <w:rPr>
                <w:lang w:eastAsia="ru-RU" w:bidi="ru-RU"/>
              </w:rPr>
              <w:t xml:space="preserve">Нельзя оценить </w:t>
            </w:r>
          </w:p>
        </w:tc>
        <w:tc>
          <w:tcPr>
            <w:tcW w:w="2070" w:type="dxa"/>
          </w:tcPr>
          <w:p w14:paraId="2D3A02CD" w14:textId="77777777" w:rsidR="006A32AE" w:rsidRPr="009E6200" w:rsidRDefault="006A32AE" w:rsidP="007B46F5">
            <w:pPr>
              <w:pStyle w:val="SDText"/>
              <w:jc w:val="both"/>
              <w:rPr>
                <w:lang w:eastAsia="ru-RU" w:bidi="ru-RU"/>
              </w:rPr>
            </w:pPr>
            <w:r w:rsidRPr="009E6200">
              <w:rPr>
                <w:lang w:eastAsia="ru-RU" w:bidi="ru-RU"/>
              </w:rPr>
              <w:t xml:space="preserve">Нет </w:t>
            </w:r>
          </w:p>
        </w:tc>
        <w:tc>
          <w:tcPr>
            <w:tcW w:w="2410" w:type="dxa"/>
          </w:tcPr>
          <w:p w14:paraId="258A5036" w14:textId="77777777" w:rsidR="006A32AE" w:rsidRPr="009E6200" w:rsidRDefault="006A32AE" w:rsidP="007B46F5">
            <w:pPr>
              <w:pStyle w:val="SDText"/>
              <w:jc w:val="both"/>
              <w:rPr>
                <w:lang w:eastAsia="ru-RU" w:bidi="ru-RU"/>
              </w:rPr>
            </w:pPr>
            <w:r w:rsidRPr="009E6200">
              <w:rPr>
                <w:lang w:eastAsia="ru-RU" w:bidi="ru-RU"/>
              </w:rPr>
              <w:t xml:space="preserve">Частичный ответ </w:t>
            </w:r>
          </w:p>
        </w:tc>
      </w:tr>
      <w:tr w:rsidR="006A32AE" w:rsidRPr="009E6200" w14:paraId="1A1F640A" w14:textId="77777777" w:rsidTr="00992857">
        <w:trPr>
          <w:trHeight w:val="448"/>
        </w:trPr>
        <w:tc>
          <w:tcPr>
            <w:tcW w:w="2438" w:type="dxa"/>
          </w:tcPr>
          <w:p w14:paraId="4FBF0A00" w14:textId="77777777" w:rsidR="006A32AE" w:rsidRPr="009E6200" w:rsidRDefault="006A32AE" w:rsidP="007B46F5">
            <w:pPr>
              <w:pStyle w:val="SDText"/>
              <w:jc w:val="both"/>
              <w:rPr>
                <w:lang w:eastAsia="ru-RU" w:bidi="ru-RU"/>
              </w:rPr>
            </w:pPr>
            <w:r w:rsidRPr="009E6200">
              <w:rPr>
                <w:lang w:eastAsia="ru-RU" w:bidi="ru-RU"/>
              </w:rPr>
              <w:t xml:space="preserve">Частичный ответ </w:t>
            </w:r>
          </w:p>
        </w:tc>
        <w:tc>
          <w:tcPr>
            <w:tcW w:w="2438" w:type="dxa"/>
          </w:tcPr>
          <w:p w14:paraId="6EEF83B4" w14:textId="77777777" w:rsidR="006A32AE" w:rsidRPr="009E6200" w:rsidRDefault="006A32AE" w:rsidP="007B46F5">
            <w:pPr>
              <w:pStyle w:val="SDText"/>
              <w:jc w:val="both"/>
              <w:rPr>
                <w:lang w:eastAsia="ru-RU" w:bidi="ru-RU"/>
              </w:rPr>
            </w:pPr>
            <w:r w:rsidRPr="009E6200">
              <w:rPr>
                <w:lang w:eastAsia="ru-RU" w:bidi="ru-RU"/>
              </w:rPr>
              <w:t xml:space="preserve">Нет прогрессирования заболевания или нельзя оценить </w:t>
            </w:r>
          </w:p>
        </w:tc>
        <w:tc>
          <w:tcPr>
            <w:tcW w:w="2070" w:type="dxa"/>
          </w:tcPr>
          <w:p w14:paraId="759C8B32" w14:textId="77777777" w:rsidR="006A32AE" w:rsidRPr="009E6200" w:rsidRDefault="006A32AE" w:rsidP="007B46F5">
            <w:pPr>
              <w:pStyle w:val="SDText"/>
              <w:jc w:val="both"/>
              <w:rPr>
                <w:lang w:eastAsia="ru-RU" w:bidi="ru-RU"/>
              </w:rPr>
            </w:pPr>
            <w:r w:rsidRPr="009E6200">
              <w:rPr>
                <w:lang w:eastAsia="ru-RU" w:bidi="ru-RU"/>
              </w:rPr>
              <w:t xml:space="preserve">Нет </w:t>
            </w:r>
          </w:p>
        </w:tc>
        <w:tc>
          <w:tcPr>
            <w:tcW w:w="2410" w:type="dxa"/>
          </w:tcPr>
          <w:p w14:paraId="1194F248" w14:textId="77777777" w:rsidR="006A32AE" w:rsidRPr="009E6200" w:rsidRDefault="006A32AE" w:rsidP="007B46F5">
            <w:pPr>
              <w:pStyle w:val="SDText"/>
              <w:jc w:val="both"/>
              <w:rPr>
                <w:lang w:eastAsia="ru-RU" w:bidi="ru-RU"/>
              </w:rPr>
            </w:pPr>
            <w:r w:rsidRPr="009E6200">
              <w:rPr>
                <w:lang w:eastAsia="ru-RU" w:bidi="ru-RU"/>
              </w:rPr>
              <w:t xml:space="preserve">Частичный ответ </w:t>
            </w:r>
          </w:p>
        </w:tc>
      </w:tr>
      <w:tr w:rsidR="006A32AE" w:rsidRPr="009E6200" w14:paraId="1B795279" w14:textId="77777777" w:rsidTr="00992857">
        <w:trPr>
          <w:trHeight w:val="448"/>
        </w:trPr>
        <w:tc>
          <w:tcPr>
            <w:tcW w:w="2438" w:type="dxa"/>
          </w:tcPr>
          <w:p w14:paraId="414D89BB" w14:textId="77777777" w:rsidR="006A32AE" w:rsidRPr="009E6200" w:rsidRDefault="006A32AE" w:rsidP="007B46F5">
            <w:pPr>
              <w:pStyle w:val="SDText"/>
              <w:jc w:val="both"/>
              <w:rPr>
                <w:lang w:eastAsia="ru-RU" w:bidi="ru-RU"/>
              </w:rPr>
            </w:pPr>
            <w:r w:rsidRPr="009E6200">
              <w:rPr>
                <w:lang w:eastAsia="ru-RU" w:bidi="ru-RU"/>
              </w:rPr>
              <w:t xml:space="preserve">Стабильное заболевание </w:t>
            </w:r>
          </w:p>
        </w:tc>
        <w:tc>
          <w:tcPr>
            <w:tcW w:w="2438" w:type="dxa"/>
          </w:tcPr>
          <w:p w14:paraId="56A9AA51" w14:textId="77777777" w:rsidR="006A32AE" w:rsidRPr="009E6200" w:rsidRDefault="006A32AE" w:rsidP="007B46F5">
            <w:pPr>
              <w:pStyle w:val="SDText"/>
              <w:jc w:val="both"/>
              <w:rPr>
                <w:lang w:eastAsia="ru-RU" w:bidi="ru-RU"/>
              </w:rPr>
            </w:pPr>
            <w:r w:rsidRPr="009E6200">
              <w:rPr>
                <w:lang w:eastAsia="ru-RU" w:bidi="ru-RU"/>
              </w:rPr>
              <w:t xml:space="preserve">Нет прогрессирования заболевания или нельзя оценить </w:t>
            </w:r>
          </w:p>
        </w:tc>
        <w:tc>
          <w:tcPr>
            <w:tcW w:w="2070" w:type="dxa"/>
          </w:tcPr>
          <w:p w14:paraId="45F7C808" w14:textId="77777777" w:rsidR="006A32AE" w:rsidRPr="009E6200" w:rsidRDefault="006A32AE" w:rsidP="007B46F5">
            <w:pPr>
              <w:pStyle w:val="SDText"/>
              <w:jc w:val="both"/>
              <w:rPr>
                <w:lang w:eastAsia="ru-RU" w:bidi="ru-RU"/>
              </w:rPr>
            </w:pPr>
            <w:r w:rsidRPr="009E6200">
              <w:rPr>
                <w:lang w:eastAsia="ru-RU" w:bidi="ru-RU"/>
              </w:rPr>
              <w:t xml:space="preserve">Нет </w:t>
            </w:r>
          </w:p>
        </w:tc>
        <w:tc>
          <w:tcPr>
            <w:tcW w:w="2410" w:type="dxa"/>
          </w:tcPr>
          <w:p w14:paraId="4DC1B63E" w14:textId="77777777" w:rsidR="006A32AE" w:rsidRPr="009E6200" w:rsidRDefault="006A32AE" w:rsidP="007B46F5">
            <w:pPr>
              <w:pStyle w:val="SDText"/>
              <w:jc w:val="both"/>
              <w:rPr>
                <w:lang w:eastAsia="ru-RU" w:bidi="ru-RU"/>
              </w:rPr>
            </w:pPr>
            <w:r w:rsidRPr="009E6200">
              <w:rPr>
                <w:lang w:eastAsia="ru-RU" w:bidi="ru-RU"/>
              </w:rPr>
              <w:t xml:space="preserve">Стабильное заболевание </w:t>
            </w:r>
          </w:p>
        </w:tc>
      </w:tr>
      <w:tr w:rsidR="006A32AE" w:rsidRPr="009E6200" w14:paraId="5F72E223" w14:textId="77777777" w:rsidTr="00992857">
        <w:trPr>
          <w:trHeight w:val="289"/>
        </w:trPr>
        <w:tc>
          <w:tcPr>
            <w:tcW w:w="2438" w:type="dxa"/>
          </w:tcPr>
          <w:p w14:paraId="185DBFA8" w14:textId="77777777" w:rsidR="006A32AE" w:rsidRPr="009E6200" w:rsidRDefault="006A32AE" w:rsidP="007B46F5">
            <w:pPr>
              <w:pStyle w:val="SDText"/>
              <w:jc w:val="both"/>
              <w:rPr>
                <w:lang w:eastAsia="ru-RU" w:bidi="ru-RU"/>
              </w:rPr>
            </w:pPr>
            <w:r w:rsidRPr="009E6200">
              <w:rPr>
                <w:lang w:eastAsia="ru-RU" w:bidi="ru-RU"/>
              </w:rPr>
              <w:t xml:space="preserve">Нельзя оценить </w:t>
            </w:r>
          </w:p>
        </w:tc>
        <w:tc>
          <w:tcPr>
            <w:tcW w:w="2438" w:type="dxa"/>
          </w:tcPr>
          <w:p w14:paraId="5F8E3F62" w14:textId="77777777" w:rsidR="006A32AE" w:rsidRPr="009E6200" w:rsidRDefault="006A32AE" w:rsidP="007B46F5">
            <w:pPr>
              <w:pStyle w:val="SDText"/>
              <w:jc w:val="both"/>
              <w:rPr>
                <w:lang w:eastAsia="ru-RU" w:bidi="ru-RU"/>
              </w:rPr>
            </w:pPr>
            <w:r w:rsidRPr="009E6200">
              <w:rPr>
                <w:lang w:eastAsia="ru-RU" w:bidi="ru-RU"/>
              </w:rPr>
              <w:t xml:space="preserve">Нет прогрессирования заболевания </w:t>
            </w:r>
          </w:p>
        </w:tc>
        <w:tc>
          <w:tcPr>
            <w:tcW w:w="2070" w:type="dxa"/>
          </w:tcPr>
          <w:p w14:paraId="6F228B02" w14:textId="77777777" w:rsidR="006A32AE" w:rsidRPr="009E6200" w:rsidRDefault="006A32AE" w:rsidP="007B46F5">
            <w:pPr>
              <w:pStyle w:val="SDText"/>
              <w:jc w:val="both"/>
              <w:rPr>
                <w:lang w:eastAsia="ru-RU" w:bidi="ru-RU"/>
              </w:rPr>
            </w:pPr>
            <w:r w:rsidRPr="009E6200">
              <w:rPr>
                <w:lang w:eastAsia="ru-RU" w:bidi="ru-RU"/>
              </w:rPr>
              <w:t xml:space="preserve">Нет </w:t>
            </w:r>
          </w:p>
        </w:tc>
        <w:tc>
          <w:tcPr>
            <w:tcW w:w="2410" w:type="dxa"/>
          </w:tcPr>
          <w:p w14:paraId="1B3BC7F6" w14:textId="77777777" w:rsidR="006A32AE" w:rsidRPr="009E6200" w:rsidRDefault="006A32AE" w:rsidP="007B46F5">
            <w:pPr>
              <w:pStyle w:val="SDText"/>
              <w:jc w:val="both"/>
              <w:rPr>
                <w:lang w:eastAsia="ru-RU" w:bidi="ru-RU"/>
              </w:rPr>
            </w:pPr>
            <w:r w:rsidRPr="009E6200">
              <w:rPr>
                <w:lang w:eastAsia="ru-RU" w:bidi="ru-RU"/>
              </w:rPr>
              <w:t xml:space="preserve">Нельзя оценить </w:t>
            </w:r>
          </w:p>
        </w:tc>
      </w:tr>
      <w:tr w:rsidR="006A32AE" w:rsidRPr="009E6200" w14:paraId="1A821B95" w14:textId="77777777" w:rsidTr="00992857">
        <w:trPr>
          <w:trHeight w:val="287"/>
        </w:trPr>
        <w:tc>
          <w:tcPr>
            <w:tcW w:w="2438" w:type="dxa"/>
          </w:tcPr>
          <w:p w14:paraId="555A3447" w14:textId="77777777" w:rsidR="006A32AE" w:rsidRPr="009E6200" w:rsidRDefault="006A32AE" w:rsidP="007B46F5">
            <w:pPr>
              <w:pStyle w:val="SDText"/>
              <w:jc w:val="both"/>
              <w:rPr>
                <w:lang w:eastAsia="ru-RU" w:bidi="ru-RU"/>
              </w:rPr>
            </w:pPr>
            <w:r w:rsidRPr="009E6200">
              <w:rPr>
                <w:lang w:eastAsia="ru-RU" w:bidi="ru-RU"/>
              </w:rPr>
              <w:t xml:space="preserve">Прогрессирование заболевания </w:t>
            </w:r>
          </w:p>
        </w:tc>
        <w:tc>
          <w:tcPr>
            <w:tcW w:w="2438" w:type="dxa"/>
          </w:tcPr>
          <w:p w14:paraId="0094604A" w14:textId="77777777" w:rsidR="006A32AE" w:rsidRPr="009E6200" w:rsidRDefault="006A32AE" w:rsidP="007B46F5">
            <w:pPr>
              <w:pStyle w:val="SDText"/>
              <w:jc w:val="both"/>
              <w:rPr>
                <w:lang w:eastAsia="ru-RU" w:bidi="ru-RU"/>
              </w:rPr>
            </w:pPr>
            <w:r w:rsidRPr="009E6200">
              <w:rPr>
                <w:lang w:eastAsia="ru-RU" w:bidi="ru-RU"/>
              </w:rPr>
              <w:t xml:space="preserve">Любое состояние </w:t>
            </w:r>
          </w:p>
        </w:tc>
        <w:tc>
          <w:tcPr>
            <w:tcW w:w="2070" w:type="dxa"/>
          </w:tcPr>
          <w:p w14:paraId="573E97DA" w14:textId="77777777" w:rsidR="006A32AE" w:rsidRPr="009E6200" w:rsidRDefault="006A32AE" w:rsidP="007B46F5">
            <w:pPr>
              <w:pStyle w:val="SDText"/>
              <w:jc w:val="both"/>
              <w:rPr>
                <w:lang w:eastAsia="ru-RU" w:bidi="ru-RU"/>
              </w:rPr>
            </w:pPr>
            <w:r w:rsidRPr="009E6200">
              <w:rPr>
                <w:lang w:eastAsia="ru-RU" w:bidi="ru-RU"/>
              </w:rPr>
              <w:t xml:space="preserve">Любое состояние </w:t>
            </w:r>
          </w:p>
        </w:tc>
        <w:tc>
          <w:tcPr>
            <w:tcW w:w="2410" w:type="dxa"/>
          </w:tcPr>
          <w:p w14:paraId="17545D0B" w14:textId="77777777" w:rsidR="006A32AE" w:rsidRPr="009E6200" w:rsidRDefault="006A32AE" w:rsidP="007B46F5">
            <w:pPr>
              <w:pStyle w:val="SDText"/>
              <w:jc w:val="both"/>
              <w:rPr>
                <w:lang w:eastAsia="ru-RU" w:bidi="ru-RU"/>
              </w:rPr>
            </w:pPr>
            <w:r w:rsidRPr="009E6200">
              <w:rPr>
                <w:lang w:eastAsia="ru-RU" w:bidi="ru-RU"/>
              </w:rPr>
              <w:t xml:space="preserve">Прогрессирование заболевания </w:t>
            </w:r>
          </w:p>
        </w:tc>
      </w:tr>
      <w:tr w:rsidR="006A32AE" w:rsidRPr="009E6200" w14:paraId="1BA4AFB6" w14:textId="77777777" w:rsidTr="00992857">
        <w:trPr>
          <w:trHeight w:val="287"/>
        </w:trPr>
        <w:tc>
          <w:tcPr>
            <w:tcW w:w="2438" w:type="dxa"/>
          </w:tcPr>
          <w:p w14:paraId="0C68D988" w14:textId="77777777" w:rsidR="006A32AE" w:rsidRPr="009E6200" w:rsidRDefault="006A32AE" w:rsidP="007B46F5">
            <w:pPr>
              <w:pStyle w:val="SDText"/>
              <w:jc w:val="both"/>
              <w:rPr>
                <w:lang w:eastAsia="ru-RU" w:bidi="ru-RU"/>
              </w:rPr>
            </w:pPr>
            <w:r w:rsidRPr="009E6200">
              <w:rPr>
                <w:lang w:eastAsia="ru-RU" w:bidi="ru-RU"/>
              </w:rPr>
              <w:t xml:space="preserve">Любое состояние </w:t>
            </w:r>
          </w:p>
        </w:tc>
        <w:tc>
          <w:tcPr>
            <w:tcW w:w="2438" w:type="dxa"/>
          </w:tcPr>
          <w:p w14:paraId="2D6DE4F0" w14:textId="77777777" w:rsidR="006A32AE" w:rsidRPr="009E6200" w:rsidRDefault="006A32AE" w:rsidP="007B46F5">
            <w:pPr>
              <w:pStyle w:val="SDText"/>
              <w:jc w:val="both"/>
              <w:rPr>
                <w:lang w:eastAsia="ru-RU" w:bidi="ru-RU"/>
              </w:rPr>
            </w:pPr>
            <w:r w:rsidRPr="009E6200">
              <w:rPr>
                <w:lang w:eastAsia="ru-RU" w:bidi="ru-RU"/>
              </w:rPr>
              <w:t xml:space="preserve">Прогрессирование заболевания </w:t>
            </w:r>
          </w:p>
        </w:tc>
        <w:tc>
          <w:tcPr>
            <w:tcW w:w="2070" w:type="dxa"/>
          </w:tcPr>
          <w:p w14:paraId="6BF49D4E" w14:textId="77777777" w:rsidR="006A32AE" w:rsidRPr="009E6200" w:rsidRDefault="006A32AE" w:rsidP="007B46F5">
            <w:pPr>
              <w:pStyle w:val="SDText"/>
              <w:jc w:val="both"/>
              <w:rPr>
                <w:lang w:eastAsia="ru-RU" w:bidi="ru-RU"/>
              </w:rPr>
            </w:pPr>
            <w:r w:rsidRPr="009E6200">
              <w:rPr>
                <w:lang w:eastAsia="ru-RU" w:bidi="ru-RU"/>
              </w:rPr>
              <w:t xml:space="preserve">Любое состояние </w:t>
            </w:r>
          </w:p>
        </w:tc>
        <w:tc>
          <w:tcPr>
            <w:tcW w:w="2410" w:type="dxa"/>
          </w:tcPr>
          <w:p w14:paraId="2243BC8A" w14:textId="77777777" w:rsidR="006A32AE" w:rsidRPr="009E6200" w:rsidRDefault="006A32AE" w:rsidP="007B46F5">
            <w:pPr>
              <w:pStyle w:val="SDText"/>
              <w:jc w:val="both"/>
              <w:rPr>
                <w:lang w:eastAsia="ru-RU" w:bidi="ru-RU"/>
              </w:rPr>
            </w:pPr>
            <w:r w:rsidRPr="009E6200">
              <w:rPr>
                <w:lang w:eastAsia="ru-RU" w:bidi="ru-RU"/>
              </w:rPr>
              <w:t xml:space="preserve">Прогрессирование заболевания </w:t>
            </w:r>
          </w:p>
        </w:tc>
      </w:tr>
      <w:tr w:rsidR="006A32AE" w:rsidRPr="009E6200" w14:paraId="6B868FCE" w14:textId="77777777" w:rsidTr="00992857">
        <w:trPr>
          <w:trHeight w:val="287"/>
        </w:trPr>
        <w:tc>
          <w:tcPr>
            <w:tcW w:w="2438" w:type="dxa"/>
          </w:tcPr>
          <w:p w14:paraId="17F587BA" w14:textId="77777777" w:rsidR="006A32AE" w:rsidRPr="009E6200" w:rsidRDefault="006A32AE" w:rsidP="007B46F5">
            <w:pPr>
              <w:pStyle w:val="SDText"/>
              <w:jc w:val="both"/>
              <w:rPr>
                <w:lang w:eastAsia="ru-RU" w:bidi="ru-RU"/>
              </w:rPr>
            </w:pPr>
            <w:r w:rsidRPr="009E6200">
              <w:rPr>
                <w:lang w:eastAsia="ru-RU" w:bidi="ru-RU"/>
              </w:rPr>
              <w:t xml:space="preserve">Любое состояние </w:t>
            </w:r>
          </w:p>
        </w:tc>
        <w:tc>
          <w:tcPr>
            <w:tcW w:w="2438" w:type="dxa"/>
          </w:tcPr>
          <w:p w14:paraId="41649D4C" w14:textId="77777777" w:rsidR="006A32AE" w:rsidRPr="009E6200" w:rsidRDefault="006A32AE" w:rsidP="007B46F5">
            <w:pPr>
              <w:pStyle w:val="SDText"/>
              <w:jc w:val="both"/>
              <w:rPr>
                <w:lang w:eastAsia="ru-RU" w:bidi="ru-RU"/>
              </w:rPr>
            </w:pPr>
            <w:r w:rsidRPr="009E6200">
              <w:rPr>
                <w:lang w:eastAsia="ru-RU" w:bidi="ru-RU"/>
              </w:rPr>
              <w:t xml:space="preserve">Любое состояние </w:t>
            </w:r>
          </w:p>
        </w:tc>
        <w:tc>
          <w:tcPr>
            <w:tcW w:w="2070" w:type="dxa"/>
          </w:tcPr>
          <w:p w14:paraId="4BF34553" w14:textId="77777777" w:rsidR="006A32AE" w:rsidRPr="009E6200" w:rsidRDefault="006A32AE" w:rsidP="007B46F5">
            <w:pPr>
              <w:pStyle w:val="SDText"/>
              <w:jc w:val="both"/>
              <w:rPr>
                <w:lang w:eastAsia="ru-RU" w:bidi="ru-RU"/>
              </w:rPr>
            </w:pPr>
            <w:r w:rsidRPr="009E6200">
              <w:rPr>
                <w:lang w:eastAsia="ru-RU" w:bidi="ru-RU"/>
              </w:rPr>
              <w:t xml:space="preserve">Есть </w:t>
            </w:r>
          </w:p>
        </w:tc>
        <w:tc>
          <w:tcPr>
            <w:tcW w:w="2410" w:type="dxa"/>
          </w:tcPr>
          <w:p w14:paraId="4EB75D63" w14:textId="77777777" w:rsidR="006A32AE" w:rsidRPr="009E6200" w:rsidRDefault="006A32AE" w:rsidP="007B46F5">
            <w:pPr>
              <w:pStyle w:val="SDText"/>
              <w:jc w:val="both"/>
              <w:rPr>
                <w:lang w:eastAsia="ru-RU" w:bidi="ru-RU"/>
              </w:rPr>
            </w:pPr>
            <w:r w:rsidRPr="009E6200">
              <w:rPr>
                <w:lang w:eastAsia="ru-RU" w:bidi="ru-RU"/>
              </w:rPr>
              <w:t xml:space="preserve">Прогрессирование заболевания </w:t>
            </w:r>
          </w:p>
        </w:tc>
      </w:tr>
    </w:tbl>
    <w:p w14:paraId="2447C0CF" w14:textId="77777777" w:rsidR="00CE3DA5" w:rsidRPr="009E6200" w:rsidRDefault="00CE3DA5" w:rsidP="007B46F5">
      <w:pPr>
        <w:pStyle w:val="SDText"/>
        <w:jc w:val="both"/>
        <w:rPr>
          <w:lang w:eastAsia="ru-RU" w:bidi="ru-RU"/>
        </w:rPr>
      </w:pPr>
    </w:p>
    <w:p w14:paraId="6FBC791F" w14:textId="71D4D5E6" w:rsidR="00EA5B1B" w:rsidRDefault="007B0B90" w:rsidP="007B46F5">
      <w:pPr>
        <w:pStyle w:val="SDText"/>
        <w:jc w:val="both"/>
        <w:rPr>
          <w:lang w:eastAsia="ru-RU" w:bidi="ru-RU"/>
        </w:rPr>
      </w:pPr>
      <w:r w:rsidRPr="009E6200">
        <w:rPr>
          <w:lang w:eastAsia="ru-RU" w:bidi="ru-RU"/>
        </w:rPr>
        <w:t>В каждый момент времени возмож</w:t>
      </w:r>
      <w:r w:rsidR="00513EEB" w:rsidRPr="009E6200">
        <w:rPr>
          <w:lang w:eastAsia="ru-RU" w:bidi="ru-RU"/>
        </w:rPr>
        <w:t xml:space="preserve">на только одна категория ответа по </w:t>
      </w:r>
      <w:r w:rsidR="00513EEB" w:rsidRPr="009E6200">
        <w:rPr>
          <w:lang w:val="en-US" w:eastAsia="ru-RU" w:bidi="ru-RU"/>
        </w:rPr>
        <w:t>RECIST</w:t>
      </w:r>
      <w:r w:rsidR="00513EEB" w:rsidRPr="009E6200">
        <w:rPr>
          <w:lang w:eastAsia="ru-RU" w:bidi="ru-RU"/>
        </w:rPr>
        <w:t xml:space="preserve"> 1.1.</w:t>
      </w:r>
    </w:p>
    <w:p w14:paraId="69195813" w14:textId="77777777" w:rsidR="00E27DD9" w:rsidRDefault="00E27DD9" w:rsidP="007B46F5">
      <w:pPr>
        <w:ind w:firstLine="709"/>
        <w:jc w:val="both"/>
        <w:rPr>
          <w:rFonts w:eastAsia="Times New Roman" w:cs="Times New Roman"/>
          <w:i/>
        </w:rPr>
      </w:pPr>
    </w:p>
    <w:p w14:paraId="7518BE2B" w14:textId="35A3D46E" w:rsidR="008306E4" w:rsidRDefault="00030BF5" w:rsidP="007B46F5">
      <w:pPr>
        <w:ind w:firstLine="709"/>
        <w:jc w:val="both"/>
        <w:rPr>
          <w:rFonts w:eastAsia="Times New Roman" w:cs="Times New Roman"/>
          <w:i/>
        </w:rPr>
      </w:pPr>
      <w:r w:rsidRPr="008C68D8">
        <w:rPr>
          <w:rFonts w:eastAsia="Times New Roman" w:cs="Times New Roman"/>
          <w:i/>
        </w:rPr>
        <w:t xml:space="preserve">Плановое КТ исследование проводится в день соответствующего планового визита. Допускается отклонение во времени проведения планового КТ не болечее чем 3 дня (72 часа) до фактической даты визита. </w:t>
      </w:r>
    </w:p>
    <w:p w14:paraId="6670C3B8" w14:textId="1CA573E0" w:rsidR="00E27DD9" w:rsidRPr="008C68D8" w:rsidRDefault="00E27DD9" w:rsidP="007B46F5">
      <w:pPr>
        <w:jc w:val="both"/>
        <w:rPr>
          <w:i/>
        </w:rPr>
      </w:pPr>
      <w:r>
        <w:rPr>
          <w:rFonts w:eastAsia="Times New Roman" w:cs="Times New Roman"/>
          <w:i/>
        </w:rPr>
        <w:tab/>
      </w:r>
    </w:p>
    <w:p w14:paraId="2C7F95BF" w14:textId="5D7DA998" w:rsidR="00513EEB" w:rsidRPr="009E6200" w:rsidRDefault="009C0B1A" w:rsidP="007B46F5">
      <w:pPr>
        <w:pStyle w:val="Heading2"/>
        <w:rPr>
          <w:lang w:bidi="ru-RU"/>
        </w:rPr>
      </w:pPr>
      <w:bookmarkStart w:id="210" w:name="_Toc107820755"/>
      <w:bookmarkStart w:id="211" w:name="_Toc107820889"/>
      <w:bookmarkStart w:id="212" w:name="_Toc108113587"/>
      <w:bookmarkStart w:id="213" w:name="_Ref16252521"/>
      <w:bookmarkStart w:id="214" w:name="_Toc120865295"/>
      <w:bookmarkEnd w:id="210"/>
      <w:bookmarkEnd w:id="211"/>
      <w:bookmarkEnd w:id="212"/>
      <w:r w:rsidRPr="009E6200">
        <w:rPr>
          <w:lang w:bidi="ru-RU"/>
        </w:rPr>
        <w:t>Определение параметров эффективности</w:t>
      </w:r>
      <w:bookmarkEnd w:id="213"/>
      <w:bookmarkEnd w:id="214"/>
    </w:p>
    <w:p w14:paraId="413FAE51" w14:textId="77777777" w:rsidR="00E27DD9" w:rsidRDefault="00E27DD9" w:rsidP="007B46F5">
      <w:pPr>
        <w:pStyle w:val="SDText"/>
        <w:jc w:val="both"/>
        <w:rPr>
          <w:lang w:eastAsia="ru-RU" w:bidi="ru-RU"/>
        </w:rPr>
      </w:pPr>
    </w:p>
    <w:p w14:paraId="35A0810D" w14:textId="1CD8B90B" w:rsidR="009C0B1A" w:rsidRPr="009E6200" w:rsidRDefault="009C0B1A" w:rsidP="007B46F5">
      <w:pPr>
        <w:pStyle w:val="SDText"/>
        <w:ind w:firstLine="709"/>
        <w:jc w:val="both"/>
        <w:rPr>
          <w:lang w:eastAsia="ru-RU" w:bidi="ru-RU"/>
        </w:rPr>
      </w:pPr>
      <w:r w:rsidRPr="009E6200">
        <w:rPr>
          <w:lang w:eastAsia="ru-RU" w:bidi="ru-RU"/>
        </w:rPr>
        <w:t>Первичной конечной точкой в данном исследовании является частота объективного ответа через 6 месяцев, выраженная в виде отношения долей.</w:t>
      </w:r>
    </w:p>
    <w:p w14:paraId="6983A032" w14:textId="5F64438B" w:rsidR="009C0B1A" w:rsidRPr="009E6200" w:rsidRDefault="00B664C3" w:rsidP="00524641">
      <w:pPr>
        <w:pStyle w:val="SDText"/>
        <w:ind w:firstLine="709"/>
        <w:jc w:val="both"/>
        <w:rPr>
          <w:lang w:eastAsia="ru-RU" w:bidi="ru-RU"/>
        </w:rPr>
      </w:pPr>
      <w:bookmarkStart w:id="215" w:name="_Hlk12916047"/>
      <w:r w:rsidRPr="009E6200">
        <w:rPr>
          <w:b/>
          <w:bCs/>
          <w:lang w:eastAsia="ru-RU" w:bidi="ru-RU"/>
        </w:rPr>
        <w:t>Частота объективного ответа</w:t>
      </w:r>
      <w:r w:rsidR="009C0B1A" w:rsidRPr="009E6200">
        <w:rPr>
          <w:lang w:eastAsia="ru-RU" w:bidi="ru-RU"/>
        </w:rPr>
        <w:t xml:space="preserve"> </w:t>
      </w:r>
      <w:r w:rsidR="00AA6D7A" w:rsidRPr="009E6200">
        <w:rPr>
          <w:b/>
          <w:bCs/>
          <w:lang w:eastAsia="ru-RU" w:bidi="ru-RU"/>
        </w:rPr>
        <w:t>через 6 месяцев</w:t>
      </w:r>
      <w:r w:rsidR="00AA6D7A" w:rsidRPr="009E6200">
        <w:rPr>
          <w:lang w:eastAsia="ru-RU" w:bidi="ru-RU"/>
        </w:rPr>
        <w:t xml:space="preserve"> </w:t>
      </w:r>
      <w:r w:rsidRPr="009E6200">
        <w:rPr>
          <w:lang w:eastAsia="ru-RU" w:bidi="ru-RU"/>
        </w:rPr>
        <w:t>–</w:t>
      </w:r>
      <w:r w:rsidR="009C0B1A" w:rsidRPr="009E6200">
        <w:rPr>
          <w:lang w:eastAsia="ru-RU" w:bidi="ru-RU"/>
        </w:rPr>
        <w:t xml:space="preserve"> </w:t>
      </w:r>
      <w:r w:rsidRPr="009E6200">
        <w:rPr>
          <w:lang w:eastAsia="ru-RU" w:bidi="ru-RU"/>
        </w:rPr>
        <w:t>суммарная частота полного и частичного ответа</w:t>
      </w:r>
      <w:r w:rsidR="00803C2F" w:rsidRPr="009E6200">
        <w:rPr>
          <w:lang w:eastAsia="ru-RU" w:bidi="ru-RU"/>
        </w:rPr>
        <w:t xml:space="preserve">, достигнутого </w:t>
      </w:r>
      <w:r w:rsidR="000F1AE1" w:rsidRPr="009E6200">
        <w:rPr>
          <w:lang w:eastAsia="ru-RU" w:bidi="ru-RU"/>
        </w:rPr>
        <w:t>и сохраняемого к</w:t>
      </w:r>
      <w:r w:rsidR="00803C2F" w:rsidRPr="009E6200">
        <w:rPr>
          <w:lang w:eastAsia="ru-RU" w:bidi="ru-RU"/>
        </w:rPr>
        <w:t xml:space="preserve"> 6 </w:t>
      </w:r>
      <w:r w:rsidR="000F1AE1" w:rsidRPr="009E6200">
        <w:rPr>
          <w:lang w:eastAsia="ru-RU" w:bidi="ru-RU"/>
        </w:rPr>
        <w:t xml:space="preserve">месяцам от начала лечения (оценивается на визите </w:t>
      </w:r>
      <w:r w:rsidR="00A91689" w:rsidRPr="009E6200">
        <w:rPr>
          <w:lang w:eastAsia="ru-RU" w:bidi="ru-RU"/>
        </w:rPr>
        <w:t>9</w:t>
      </w:r>
      <w:r w:rsidR="000F1AE1" w:rsidRPr="009E6200">
        <w:rPr>
          <w:lang w:eastAsia="ru-RU" w:bidi="ru-RU"/>
        </w:rPr>
        <w:t xml:space="preserve">, неделя </w:t>
      </w:r>
      <w:r w:rsidR="00A91689" w:rsidRPr="009E6200">
        <w:rPr>
          <w:lang w:eastAsia="ru-RU" w:bidi="ru-RU"/>
        </w:rPr>
        <w:t>25</w:t>
      </w:r>
      <w:r w:rsidR="000F1AE1" w:rsidRPr="009E6200">
        <w:rPr>
          <w:lang w:eastAsia="ru-RU" w:bidi="ru-RU"/>
        </w:rPr>
        <w:t>)</w:t>
      </w:r>
      <w:r w:rsidR="00803C2F" w:rsidRPr="009E6200">
        <w:rPr>
          <w:lang w:eastAsia="ru-RU" w:bidi="ru-RU"/>
        </w:rPr>
        <w:t>.</w:t>
      </w:r>
      <w:bookmarkEnd w:id="215"/>
    </w:p>
    <w:p w14:paraId="79A57B26" w14:textId="07A2B7DD" w:rsidR="00355981" w:rsidRPr="009E6200" w:rsidRDefault="00355981" w:rsidP="00524641">
      <w:pPr>
        <w:pStyle w:val="SDText"/>
        <w:ind w:firstLine="709"/>
        <w:jc w:val="both"/>
        <w:rPr>
          <w:lang w:eastAsia="ru-RU" w:bidi="ru-RU"/>
        </w:rPr>
      </w:pPr>
      <w:r w:rsidRPr="009E6200">
        <w:rPr>
          <w:b/>
          <w:bCs/>
          <w:lang w:eastAsia="ru-RU" w:bidi="ru-RU"/>
        </w:rPr>
        <w:t>Частота объективного ответа</w:t>
      </w:r>
      <w:r w:rsidRPr="009E6200">
        <w:rPr>
          <w:lang w:eastAsia="ru-RU" w:bidi="ru-RU"/>
        </w:rPr>
        <w:t xml:space="preserve"> </w:t>
      </w:r>
      <w:r w:rsidRPr="009E6200">
        <w:rPr>
          <w:b/>
          <w:bCs/>
          <w:lang w:eastAsia="ru-RU" w:bidi="ru-RU"/>
        </w:rPr>
        <w:t>через 12 месяцев</w:t>
      </w:r>
      <w:r w:rsidRPr="009E6200">
        <w:rPr>
          <w:lang w:eastAsia="ru-RU" w:bidi="ru-RU"/>
        </w:rPr>
        <w:t xml:space="preserve"> – суммарная частота полного и частичного ответа, достигнутого и сохраняемого к 12 месяцам от начала лечения (оценивается на визите </w:t>
      </w:r>
      <w:r w:rsidR="00A91689" w:rsidRPr="009E6200">
        <w:rPr>
          <w:lang w:eastAsia="ru-RU" w:bidi="ru-RU"/>
        </w:rPr>
        <w:t>18</w:t>
      </w:r>
      <w:r w:rsidR="00C77C05" w:rsidRPr="009E6200">
        <w:rPr>
          <w:lang w:eastAsia="ru-RU" w:bidi="ru-RU"/>
        </w:rPr>
        <w:t xml:space="preserve">, неделя </w:t>
      </w:r>
      <w:r w:rsidR="00A91689" w:rsidRPr="009E6200">
        <w:rPr>
          <w:lang w:eastAsia="ru-RU" w:bidi="ru-RU"/>
        </w:rPr>
        <w:t xml:space="preserve">52 </w:t>
      </w:r>
      <w:r w:rsidR="00C77C05" w:rsidRPr="009E6200">
        <w:rPr>
          <w:lang w:eastAsia="ru-RU" w:bidi="ru-RU"/>
        </w:rPr>
        <w:t>на основании</w:t>
      </w:r>
      <w:r w:rsidR="00A91689" w:rsidRPr="009E6200">
        <w:rPr>
          <w:lang w:eastAsia="ru-RU" w:bidi="ru-RU"/>
        </w:rPr>
        <w:t xml:space="preserve"> результатов</w:t>
      </w:r>
      <w:r w:rsidR="00C77C05" w:rsidRPr="009E6200">
        <w:rPr>
          <w:lang w:eastAsia="ru-RU" w:bidi="ru-RU"/>
        </w:rPr>
        <w:t xml:space="preserve"> обследования на </w:t>
      </w:r>
      <w:r w:rsidR="00A91689" w:rsidRPr="009E6200">
        <w:rPr>
          <w:lang w:eastAsia="ru-RU" w:bidi="ru-RU"/>
        </w:rPr>
        <w:t>данном визите</w:t>
      </w:r>
      <w:r w:rsidRPr="009E6200">
        <w:rPr>
          <w:lang w:eastAsia="ru-RU" w:bidi="ru-RU"/>
        </w:rPr>
        <w:t>).</w:t>
      </w:r>
    </w:p>
    <w:p w14:paraId="5C724A9A" w14:textId="6E83FF99" w:rsidR="000F1AE1" w:rsidRPr="009E6200" w:rsidRDefault="009C0EC7" w:rsidP="007B46F5">
      <w:pPr>
        <w:pStyle w:val="SDText"/>
        <w:jc w:val="both"/>
        <w:rPr>
          <w:lang w:eastAsia="ru-RU" w:bidi="ru-RU"/>
        </w:rPr>
      </w:pPr>
      <w:r w:rsidRPr="009E6200">
        <w:rPr>
          <w:b/>
          <w:bCs/>
          <w:lang w:eastAsia="ru-RU" w:bidi="ru-RU"/>
        </w:rPr>
        <w:t>Общая выживаемость в течение 12 мес. от начала лечения</w:t>
      </w:r>
      <w:r w:rsidR="00CD3D56" w:rsidRPr="009E6200">
        <w:rPr>
          <w:lang w:eastAsia="ru-RU" w:bidi="ru-RU"/>
        </w:rPr>
        <w:t xml:space="preserve"> </w:t>
      </w:r>
      <w:r w:rsidR="00815BFE" w:rsidRPr="009E6200">
        <w:rPr>
          <w:lang w:eastAsia="ru-RU" w:bidi="ru-RU"/>
        </w:rPr>
        <w:t>–</w:t>
      </w:r>
      <w:r w:rsidR="00CD3D56" w:rsidRPr="009E6200">
        <w:rPr>
          <w:lang w:eastAsia="ru-RU" w:bidi="ru-RU"/>
        </w:rPr>
        <w:t xml:space="preserve"> </w:t>
      </w:r>
      <w:r w:rsidR="00272449" w:rsidRPr="009E6200">
        <w:rPr>
          <w:lang w:eastAsia="ru-RU" w:bidi="ru-RU"/>
        </w:rPr>
        <w:t xml:space="preserve">доля </w:t>
      </w:r>
      <w:r w:rsidR="008950AB" w:rsidRPr="009E6200">
        <w:rPr>
          <w:lang w:eastAsia="ru-RU" w:bidi="ru-RU"/>
        </w:rPr>
        <w:t xml:space="preserve">рандомизированных пациентов, доживших до визита </w:t>
      </w:r>
      <w:r w:rsidR="00A91689" w:rsidRPr="009E6200">
        <w:rPr>
          <w:lang w:eastAsia="ru-RU" w:bidi="ru-RU"/>
        </w:rPr>
        <w:t xml:space="preserve">18 </w:t>
      </w:r>
      <w:r w:rsidR="008950AB" w:rsidRPr="009E6200">
        <w:rPr>
          <w:lang w:eastAsia="ru-RU" w:bidi="ru-RU"/>
        </w:rPr>
        <w:t>(</w:t>
      </w:r>
      <w:r w:rsidR="00A91689" w:rsidRPr="009E6200">
        <w:rPr>
          <w:lang w:eastAsia="ru-RU" w:bidi="ru-RU"/>
        </w:rPr>
        <w:t>неделя 52</w:t>
      </w:r>
      <w:r w:rsidR="008950AB" w:rsidRPr="009E6200">
        <w:rPr>
          <w:lang w:eastAsia="ru-RU" w:bidi="ru-RU"/>
        </w:rPr>
        <w:t>)</w:t>
      </w:r>
      <w:r w:rsidR="008522F8" w:rsidRPr="009E6200">
        <w:rPr>
          <w:lang w:eastAsia="ru-RU" w:bidi="ru-RU"/>
        </w:rPr>
        <w:t>.</w:t>
      </w:r>
    </w:p>
    <w:p w14:paraId="27A4E212" w14:textId="0D4CC9F2" w:rsidR="009C0B1A" w:rsidRDefault="008950AB" w:rsidP="007B46F5">
      <w:pPr>
        <w:pStyle w:val="SDText"/>
        <w:jc w:val="both"/>
        <w:rPr>
          <w:lang w:eastAsia="ru-RU" w:bidi="ru-RU"/>
        </w:rPr>
      </w:pPr>
      <w:r w:rsidRPr="009E6200">
        <w:rPr>
          <w:b/>
          <w:bCs/>
          <w:lang w:eastAsia="ru-RU" w:bidi="ru-RU"/>
        </w:rPr>
        <w:t>Общая выживаемость без прогрессирования в течение 12 месяцев от начала терапии</w:t>
      </w:r>
      <w:r w:rsidRPr="009E6200">
        <w:rPr>
          <w:lang w:eastAsia="ru-RU" w:bidi="ru-RU"/>
        </w:rPr>
        <w:t xml:space="preserve"> – доля рандомизированных пациентов, доживших до визита </w:t>
      </w:r>
      <w:r w:rsidR="00A91689" w:rsidRPr="009E6200">
        <w:rPr>
          <w:lang w:eastAsia="ru-RU" w:bidi="ru-RU"/>
        </w:rPr>
        <w:t xml:space="preserve">18 </w:t>
      </w:r>
      <w:r w:rsidRPr="009E6200">
        <w:rPr>
          <w:lang w:eastAsia="ru-RU" w:bidi="ru-RU"/>
        </w:rPr>
        <w:t>(</w:t>
      </w:r>
      <w:r w:rsidR="00A91689" w:rsidRPr="009E6200">
        <w:rPr>
          <w:lang w:eastAsia="ru-RU" w:bidi="ru-RU"/>
        </w:rPr>
        <w:t>неделя 52</w:t>
      </w:r>
      <w:r w:rsidRPr="009E6200">
        <w:rPr>
          <w:lang w:eastAsia="ru-RU" w:bidi="ru-RU"/>
        </w:rPr>
        <w:t xml:space="preserve">) без прогрессирования заболевания (по данным обследования на </w:t>
      </w:r>
      <w:r w:rsidR="00A91689" w:rsidRPr="009E6200">
        <w:rPr>
          <w:lang w:eastAsia="ru-RU" w:bidi="ru-RU"/>
        </w:rPr>
        <w:t>данном визите</w:t>
      </w:r>
      <w:r w:rsidRPr="009E6200">
        <w:rPr>
          <w:lang w:eastAsia="ru-RU" w:bidi="ru-RU"/>
        </w:rPr>
        <w:t>).</w:t>
      </w:r>
    </w:p>
    <w:p w14:paraId="55EBEF6D" w14:textId="53E92787" w:rsidR="00014095" w:rsidRDefault="00014095" w:rsidP="007B46F5">
      <w:pPr>
        <w:pStyle w:val="SDText"/>
        <w:jc w:val="both"/>
        <w:rPr>
          <w:lang w:eastAsia="ru-RU" w:bidi="ru-RU"/>
        </w:rPr>
      </w:pPr>
    </w:p>
    <w:p w14:paraId="6BE60BE4" w14:textId="77777777" w:rsidR="00014095" w:rsidRPr="009E6200" w:rsidRDefault="00014095" w:rsidP="00014095">
      <w:pPr>
        <w:pStyle w:val="SDText"/>
        <w:ind w:firstLine="709"/>
        <w:jc w:val="both"/>
        <w:rPr>
          <w:lang w:eastAsia="ru-RU" w:bidi="ru-RU"/>
        </w:rPr>
      </w:pPr>
      <w:r>
        <w:rPr>
          <w:lang w:eastAsia="ru-RU" w:bidi="ru-RU"/>
        </w:rPr>
        <w:t>При оценке параметров эффективности анализ будет проведен отдельно на основании данных по оценке ответа, проведенной исследователями, и отдельно на основании данных от ЦНК</w:t>
      </w:r>
      <w:r w:rsidRPr="00014095">
        <w:rPr>
          <w:lang w:eastAsia="ru-RU" w:bidi="ru-RU"/>
        </w:rPr>
        <w:t xml:space="preserve"> по пересмотру КТ/МРТ изображений</w:t>
      </w:r>
      <w:r>
        <w:rPr>
          <w:lang w:eastAsia="ru-RU" w:bidi="ru-RU"/>
        </w:rPr>
        <w:t xml:space="preserve">. </w:t>
      </w:r>
    </w:p>
    <w:p w14:paraId="329E3638" w14:textId="77777777" w:rsidR="00014095" w:rsidRDefault="00014095" w:rsidP="007B46F5">
      <w:pPr>
        <w:pStyle w:val="SDText"/>
        <w:jc w:val="both"/>
        <w:rPr>
          <w:lang w:eastAsia="ru-RU" w:bidi="ru-RU"/>
        </w:rPr>
      </w:pPr>
    </w:p>
    <w:p w14:paraId="003D52ED" w14:textId="78AEAFFE" w:rsidR="00524641" w:rsidRDefault="00524641" w:rsidP="007B46F5">
      <w:pPr>
        <w:pStyle w:val="SDText"/>
        <w:jc w:val="both"/>
        <w:rPr>
          <w:lang w:eastAsia="ru-RU" w:bidi="ru-RU"/>
        </w:rPr>
      </w:pPr>
    </w:p>
    <w:p w14:paraId="7B818422" w14:textId="77777777" w:rsidR="00EA5B1B" w:rsidRPr="009E6200" w:rsidRDefault="00EA5B1B" w:rsidP="007B46F5">
      <w:pPr>
        <w:pStyle w:val="SDText"/>
        <w:jc w:val="both"/>
      </w:pPr>
    </w:p>
    <w:p w14:paraId="32B70403" w14:textId="77777777" w:rsidR="00DA24D0" w:rsidRPr="009E6200" w:rsidRDefault="00DA24D0" w:rsidP="007B46F5">
      <w:pPr>
        <w:jc w:val="both"/>
        <w:rPr>
          <w:rFonts w:eastAsiaTheme="majorEastAsia" w:cstheme="majorBidi"/>
          <w:b/>
          <w:sz w:val="32"/>
          <w:szCs w:val="32"/>
        </w:rPr>
      </w:pPr>
      <w:r w:rsidRPr="009E6200">
        <w:br w:type="page"/>
      </w:r>
    </w:p>
    <w:p w14:paraId="3221C414" w14:textId="25C464F8" w:rsidR="006F6CA8" w:rsidRDefault="00F77AE9" w:rsidP="007B46F5">
      <w:pPr>
        <w:pStyle w:val="Heading1"/>
        <w:spacing w:before="0" w:after="0" w:line="240" w:lineRule="auto"/>
        <w:jc w:val="both"/>
        <w:rPr>
          <w:color w:val="auto"/>
          <w:sz w:val="24"/>
          <w:szCs w:val="24"/>
        </w:rPr>
      </w:pPr>
      <w:r w:rsidRPr="00E27DD9">
        <w:rPr>
          <w:color w:val="auto"/>
          <w:sz w:val="24"/>
          <w:szCs w:val="24"/>
        </w:rPr>
        <w:t xml:space="preserve"> </w:t>
      </w:r>
      <w:bookmarkStart w:id="216" w:name="_Toc120865296"/>
      <w:r w:rsidR="005F6D7C" w:rsidRPr="00E27DD9">
        <w:rPr>
          <w:color w:val="auto"/>
          <w:sz w:val="24"/>
          <w:szCs w:val="24"/>
        </w:rPr>
        <w:t>Оценка параметров безопасности</w:t>
      </w:r>
      <w:bookmarkEnd w:id="216"/>
    </w:p>
    <w:p w14:paraId="7A624F2A" w14:textId="77777777" w:rsidR="00E27DD9" w:rsidRPr="00E27DD9" w:rsidRDefault="00E27DD9" w:rsidP="007B46F5"/>
    <w:p w14:paraId="546BF6B3" w14:textId="3E6355D2" w:rsidR="002F0D30" w:rsidRDefault="00887BEF" w:rsidP="007B46F5">
      <w:pPr>
        <w:pStyle w:val="Heading2"/>
      </w:pPr>
      <w:bookmarkStart w:id="217" w:name="_Toc120865297"/>
      <w:r w:rsidRPr="009E6200">
        <w:t>Перечень параметров безопасности</w:t>
      </w:r>
      <w:bookmarkEnd w:id="217"/>
    </w:p>
    <w:p w14:paraId="03E033F5" w14:textId="77777777" w:rsidR="00E27DD9" w:rsidRPr="00E27DD9" w:rsidRDefault="00E27DD9" w:rsidP="007B46F5">
      <w:pPr>
        <w:pStyle w:val="SDText"/>
        <w:rPr>
          <w:lang w:eastAsia="ru-RU"/>
        </w:rPr>
      </w:pPr>
    </w:p>
    <w:p w14:paraId="65237FCD" w14:textId="77777777" w:rsidR="002647CF" w:rsidRPr="009E6200" w:rsidRDefault="00496D45" w:rsidP="007B46F5">
      <w:pPr>
        <w:ind w:firstLine="709"/>
        <w:jc w:val="both"/>
        <w:rPr>
          <w:lang w:eastAsia="ru-RU" w:bidi="ru-RU"/>
        </w:rPr>
      </w:pPr>
      <w:r w:rsidRPr="009E6200">
        <w:rPr>
          <w:lang w:eastAsia="ru-RU" w:bidi="ru-RU"/>
        </w:rPr>
        <w:t>Планируется оценка следующих параметров безопасности:</w:t>
      </w:r>
    </w:p>
    <w:p w14:paraId="30E832F2" w14:textId="77777777" w:rsidR="005D6588" w:rsidRDefault="005D6588" w:rsidP="007B46F5">
      <w:pPr>
        <w:ind w:firstLine="709"/>
        <w:jc w:val="both"/>
        <w:rPr>
          <w:lang w:eastAsia="ru-RU" w:bidi="ru-RU"/>
        </w:rPr>
      </w:pPr>
    </w:p>
    <w:p w14:paraId="53B0B637" w14:textId="77777777" w:rsidR="005D6588" w:rsidRDefault="005D6588" w:rsidP="005D6588">
      <w:pPr>
        <w:jc w:val="both"/>
        <w:rPr>
          <w:b/>
          <w:i/>
          <w:lang w:eastAsia="ru-RU" w:bidi="ru-RU"/>
        </w:rPr>
      </w:pPr>
      <w:r>
        <w:rPr>
          <w:b/>
          <w:i/>
          <w:lang w:eastAsia="ru-RU" w:bidi="ru-RU"/>
        </w:rPr>
        <w:t>Основные параметры безопасности:</w:t>
      </w:r>
    </w:p>
    <w:p w14:paraId="3D4B4A20" w14:textId="77777777" w:rsidR="005D6588" w:rsidRDefault="005D6588" w:rsidP="005D6588">
      <w:pPr>
        <w:jc w:val="both"/>
        <w:rPr>
          <w:b/>
          <w:i/>
          <w:lang w:eastAsia="ru-RU" w:bidi="ru-RU"/>
        </w:rPr>
      </w:pPr>
    </w:p>
    <w:p w14:paraId="0C6787EB" w14:textId="75617F79" w:rsidR="005D6588" w:rsidRDefault="005D6588" w:rsidP="005D6588">
      <w:pPr>
        <w:ind w:left="14" w:firstLine="4"/>
        <w:jc w:val="both"/>
        <w:rPr>
          <w:i/>
          <w:lang w:eastAsia="ru-RU" w:bidi="ru-RU"/>
        </w:rPr>
      </w:pPr>
      <w:r>
        <w:rPr>
          <w:i/>
          <w:lang w:eastAsia="ru-RU" w:bidi="ru-RU"/>
        </w:rPr>
        <w:t>Точки будут оцениваться отдельно в группах терапии в основной и продленной части исследования:</w:t>
      </w:r>
    </w:p>
    <w:p w14:paraId="7AD5F120" w14:textId="77777777" w:rsidR="005D6588" w:rsidRDefault="005D6588" w:rsidP="005D6588">
      <w:pPr>
        <w:ind w:left="581" w:hanging="567"/>
        <w:jc w:val="both"/>
      </w:pPr>
      <w:r>
        <w:fldChar w:fldCharType="begin"/>
      </w:r>
      <w:r>
        <w:instrText xml:space="preserve"> </w:instrText>
      </w:r>
      <w:r>
        <w:rPr>
          <w:lang w:val="en-US"/>
        </w:rPr>
        <w:instrText>SEQ</w:instrText>
      </w:r>
      <w:r w:rsidRPr="005D6588">
        <w:instrText xml:space="preserve"> </w:instrText>
      </w:r>
      <w:r>
        <w:rPr>
          <w:lang w:val="en-US"/>
        </w:rPr>
        <w:instrText>Parametry</w:instrText>
      </w:r>
      <w:r>
        <w:instrText>_</w:instrText>
      </w:r>
      <w:r>
        <w:rPr>
          <w:lang w:val="en-US"/>
        </w:rPr>
        <w:instrText>bezopasnosti</w:instrText>
      </w:r>
      <w:r>
        <w:instrText xml:space="preserve"> \* </w:instrText>
      </w:r>
      <w:r>
        <w:rPr>
          <w:lang w:val="en-US"/>
        </w:rPr>
        <w:instrText>MERGEFORMAT</w:instrText>
      </w:r>
      <w:r w:rsidRPr="005D6588">
        <w:instrText xml:space="preserve"> </w:instrText>
      </w:r>
      <w:r>
        <w:fldChar w:fldCharType="separate"/>
      </w:r>
      <w:r>
        <w:rPr>
          <w:noProof/>
        </w:rPr>
        <w:t>1</w:t>
      </w:r>
      <w:r>
        <w:fldChar w:fldCharType="end"/>
      </w:r>
      <w:r>
        <w:t>.</w:t>
      </w:r>
      <w:r>
        <w:tab/>
        <w:t>Доля пациентов (%) с развитием НЯ любой степени тяжести;</w:t>
      </w:r>
    </w:p>
    <w:p w14:paraId="7C903FA6" w14:textId="77777777" w:rsidR="005D6588" w:rsidRDefault="005D6588" w:rsidP="005D6588">
      <w:pPr>
        <w:ind w:left="581" w:hanging="567"/>
        <w:jc w:val="both"/>
      </w:pPr>
      <w:r>
        <w:t>2. Доля пациентов (%) с развитием НР любой степени тяжести;</w:t>
      </w:r>
    </w:p>
    <w:p w14:paraId="44E6BA37" w14:textId="77777777" w:rsidR="005D6588" w:rsidRDefault="005D6588" w:rsidP="005D6588">
      <w:pPr>
        <w:ind w:left="581" w:hanging="567"/>
        <w:jc w:val="both"/>
      </w:pPr>
      <w:r>
        <w:t>3. Доля пациентов с развитием СНЯ/СНР;</w:t>
      </w:r>
    </w:p>
    <w:p w14:paraId="6282B402" w14:textId="77777777" w:rsidR="005D6588" w:rsidRDefault="005D6588" w:rsidP="005D6588">
      <w:pPr>
        <w:ind w:left="581" w:hanging="567"/>
        <w:jc w:val="both"/>
      </w:pPr>
      <w:r>
        <w:t>4. Доля пациентов (%) с развитием НЯ 3-4 степени тяжести;</w:t>
      </w:r>
    </w:p>
    <w:p w14:paraId="4B409D5F" w14:textId="77777777" w:rsidR="005D6588" w:rsidRDefault="005D6588" w:rsidP="005D6588">
      <w:pPr>
        <w:ind w:left="581" w:hanging="567"/>
        <w:jc w:val="both"/>
      </w:pPr>
      <w:r>
        <w:t>5. Доля пациентов (%) с развитием НР 3-4 степени тяжести;</w:t>
      </w:r>
    </w:p>
    <w:p w14:paraId="08E22DE4" w14:textId="77777777" w:rsidR="005D6588" w:rsidRDefault="005D6588" w:rsidP="005D6588">
      <w:pPr>
        <w:ind w:left="581" w:hanging="567"/>
        <w:jc w:val="both"/>
      </w:pPr>
      <w:r>
        <w:t>6. Доля пациентов, которым потребовалась отмена терапии по причине развития НР/СНР;</w:t>
      </w:r>
    </w:p>
    <w:p w14:paraId="68073847" w14:textId="77777777" w:rsidR="005D6588" w:rsidRDefault="005D6588" w:rsidP="005D6588">
      <w:pPr>
        <w:ind w:left="581" w:hanging="567"/>
        <w:jc w:val="both"/>
      </w:pPr>
      <w:r>
        <w:t>7. Доля пациентов (%), у которых сформировались связывающие (САТ) и нейтрализующие (НАТ) антитела к бевацизумабу.</w:t>
      </w:r>
    </w:p>
    <w:p w14:paraId="37251812" w14:textId="77777777" w:rsidR="005D6588" w:rsidRDefault="005D6588" w:rsidP="005D6588">
      <w:pPr>
        <w:jc w:val="both"/>
        <w:rPr>
          <w:b/>
          <w:i/>
          <w:lang w:eastAsia="ru-RU" w:bidi="ru-RU"/>
        </w:rPr>
      </w:pPr>
    </w:p>
    <w:p w14:paraId="3B7F6A16" w14:textId="71286E87" w:rsidR="005D6588" w:rsidRDefault="005D6588" w:rsidP="005D6588">
      <w:pPr>
        <w:jc w:val="both"/>
        <w:rPr>
          <w:b/>
          <w:i/>
          <w:lang w:eastAsia="ru-RU" w:bidi="ru-RU"/>
        </w:rPr>
      </w:pPr>
      <w:r>
        <w:rPr>
          <w:b/>
          <w:i/>
          <w:lang w:eastAsia="ru-RU" w:bidi="ru-RU"/>
        </w:rPr>
        <w:t>Дополнительные параметры безопасности:</w:t>
      </w:r>
    </w:p>
    <w:p w14:paraId="2215A49D" w14:textId="77777777" w:rsidR="005D6588" w:rsidRDefault="005D6588" w:rsidP="005D6588">
      <w:pPr>
        <w:jc w:val="both"/>
        <w:rPr>
          <w:b/>
          <w:i/>
          <w:lang w:eastAsia="ru-RU" w:bidi="ru-RU"/>
        </w:rPr>
      </w:pPr>
    </w:p>
    <w:p w14:paraId="3A18EFB2" w14:textId="77777777" w:rsidR="005D6588" w:rsidRDefault="005D6588" w:rsidP="005D6588">
      <w:pPr>
        <w:ind w:left="581" w:hanging="567"/>
        <w:jc w:val="both"/>
        <w:rPr>
          <w:lang w:eastAsia="ru-RU" w:bidi="ru-RU"/>
        </w:rPr>
      </w:pPr>
      <w:r>
        <w:t>8.</w:t>
      </w:r>
      <w:r>
        <w:tab/>
      </w:r>
      <w:r>
        <w:rPr>
          <w:lang w:eastAsia="ru-RU" w:bidi="ru-RU"/>
        </w:rPr>
        <w:t>Основные показатели жизнедеятельности (АД, ЧСС, ЧДД, температура тела) в основной части исследования в группах лечения;</w:t>
      </w:r>
    </w:p>
    <w:p w14:paraId="34499823" w14:textId="69B052E8" w:rsidR="005D6588" w:rsidRDefault="005D6588" w:rsidP="005D6588">
      <w:pPr>
        <w:ind w:left="581" w:hanging="567"/>
        <w:jc w:val="both"/>
        <w:rPr>
          <w:lang w:eastAsia="ru-RU" w:bidi="ru-RU"/>
        </w:rPr>
      </w:pPr>
      <w:r>
        <w:t>9.</w:t>
      </w:r>
      <w:r>
        <w:tab/>
      </w:r>
      <w:r>
        <w:rPr>
          <w:lang w:eastAsia="ru-RU" w:bidi="ru-RU"/>
        </w:rPr>
        <w:t>Результаты лабораторных и функциональных исследований: общий анализ крови, биохимический анализ крови, общий анализ мочи, коагулограмма, электрокардиограмма в основной части исследования в группах лечения.</w:t>
      </w:r>
    </w:p>
    <w:p w14:paraId="051A14FB" w14:textId="77777777" w:rsidR="002647CF" w:rsidRPr="009E6200" w:rsidRDefault="002647CF" w:rsidP="007B46F5">
      <w:pPr>
        <w:jc w:val="both"/>
        <w:rPr>
          <w:lang w:eastAsia="ru-RU" w:bidi="ru-RU"/>
        </w:rPr>
      </w:pPr>
    </w:p>
    <w:p w14:paraId="3393DEDD" w14:textId="4EBBD9D9" w:rsidR="00E64295" w:rsidRDefault="00E64295" w:rsidP="007B46F5">
      <w:pPr>
        <w:pStyle w:val="Heading2"/>
      </w:pPr>
      <w:bookmarkStart w:id="218" w:name="_Toc315253866"/>
      <w:bookmarkStart w:id="219" w:name="_Toc532815804"/>
      <w:bookmarkStart w:id="220" w:name="_Toc11067643"/>
      <w:bookmarkStart w:id="221" w:name="_Toc120865298"/>
      <w:r w:rsidRPr="009E6200">
        <w:t>Определение понятий</w:t>
      </w:r>
      <w:bookmarkEnd w:id="218"/>
      <w:bookmarkEnd w:id="219"/>
      <w:bookmarkEnd w:id="220"/>
      <w:bookmarkEnd w:id="221"/>
    </w:p>
    <w:p w14:paraId="17A1298F" w14:textId="77777777" w:rsidR="00E27DD9" w:rsidRPr="00E27DD9" w:rsidRDefault="00E27DD9" w:rsidP="007B46F5">
      <w:pPr>
        <w:pStyle w:val="SDText"/>
        <w:rPr>
          <w:lang w:eastAsia="ru-RU"/>
        </w:rPr>
      </w:pPr>
    </w:p>
    <w:p w14:paraId="4AD9A325" w14:textId="45AA75F5" w:rsidR="00E64295" w:rsidRDefault="00E64295" w:rsidP="007B46F5">
      <w:pPr>
        <w:pStyle w:val="Heading3"/>
        <w:spacing w:before="0" w:after="0" w:line="240" w:lineRule="auto"/>
        <w:ind w:left="709" w:hanging="721"/>
        <w:jc w:val="both"/>
        <w:rPr>
          <w:sz w:val="24"/>
        </w:rPr>
      </w:pPr>
      <w:bookmarkStart w:id="222" w:name="_Toc311640034"/>
      <w:bookmarkStart w:id="223" w:name="_Toc315253867"/>
      <w:bookmarkStart w:id="224" w:name="_Toc532815805"/>
      <w:bookmarkStart w:id="225" w:name="_Toc120865299"/>
      <w:bookmarkStart w:id="226" w:name="OLE_LINK80"/>
      <w:r w:rsidRPr="00E27DD9">
        <w:rPr>
          <w:sz w:val="24"/>
        </w:rPr>
        <w:t>Нежелательные явления</w:t>
      </w:r>
      <w:bookmarkEnd w:id="222"/>
      <w:bookmarkEnd w:id="223"/>
      <w:bookmarkEnd w:id="224"/>
      <w:bookmarkEnd w:id="225"/>
      <w:r w:rsidRPr="00E27DD9">
        <w:rPr>
          <w:sz w:val="24"/>
        </w:rPr>
        <w:t xml:space="preserve"> </w:t>
      </w:r>
    </w:p>
    <w:p w14:paraId="377C16B7" w14:textId="77777777" w:rsidR="00E27DD9" w:rsidRPr="00E27DD9" w:rsidRDefault="00E27DD9" w:rsidP="007B46F5">
      <w:pPr>
        <w:pStyle w:val="SDText"/>
        <w:rPr>
          <w:lang w:eastAsia="ru-RU"/>
        </w:rPr>
      </w:pPr>
    </w:p>
    <w:p w14:paraId="1A549AA2" w14:textId="77777777" w:rsidR="00E64295" w:rsidRPr="009E6200" w:rsidRDefault="00E64295" w:rsidP="007B46F5">
      <w:pPr>
        <w:pStyle w:val="SDText"/>
        <w:ind w:firstLine="709"/>
        <w:jc w:val="both"/>
      </w:pPr>
      <w:r w:rsidRPr="009E6200">
        <w:t xml:space="preserve">В настоящем исследовании под нежелательным явлением (НЯ) понимают любое неблагоприятное медицинское событие у пациента, получавшего исследуемый препарат, которое не обязательно имеет причинно-следственную связь с данным препаратом. Таким образом, нежелательным явлением может быть любой непреднамеренный и неблагоприятный признак (например, отклонение лабораторного показателя от нормы), симптом или заболевание, связанные по времени с применением лекарственного препарата, вне зависимости от того, считаются ли они взаимосвязанными с лекарственным препаратом. </w:t>
      </w:r>
    </w:p>
    <w:p w14:paraId="3ABD0AAD" w14:textId="77777777" w:rsidR="00E64295" w:rsidRPr="009E6200" w:rsidRDefault="00E64295" w:rsidP="007B46F5">
      <w:pPr>
        <w:pStyle w:val="SDText"/>
        <w:ind w:firstLine="709"/>
        <w:jc w:val="both"/>
      </w:pPr>
      <w:r w:rsidRPr="009E6200">
        <w:t xml:space="preserve">Нежелательные явления (не серьезные), зарегистрированные до начала исследуемой терапии, но после подписания Формы информированного согласия пациентом, регистрируют в ИРК как Сопутствующие Заболевания. </w:t>
      </w:r>
    </w:p>
    <w:p w14:paraId="014F4FD1" w14:textId="77777777" w:rsidR="00E64295" w:rsidRPr="009E6200" w:rsidRDefault="00E64295" w:rsidP="007B46F5">
      <w:pPr>
        <w:pStyle w:val="SDText"/>
        <w:ind w:firstLine="709"/>
        <w:jc w:val="both"/>
      </w:pPr>
      <w:r w:rsidRPr="009E6200">
        <w:t xml:space="preserve">Отклонения от нормы результатов лабораторных и инструментальных исследований должны быть зарегистрированы как нежелательные явления в случае, если данные отклонения расцениваются исследователем как клинически значимые. </w:t>
      </w:r>
    </w:p>
    <w:p w14:paraId="1C8C3C77" w14:textId="77777777" w:rsidR="00E27DD9" w:rsidRDefault="00E64295" w:rsidP="007B46F5">
      <w:pPr>
        <w:pStyle w:val="SDText"/>
        <w:jc w:val="both"/>
      </w:pPr>
      <w:r w:rsidRPr="009E6200">
        <w:t>Все нежелательные явления должны отслеживаться до их разрешения или стабилизации (оценивается исследователем).</w:t>
      </w:r>
    </w:p>
    <w:p w14:paraId="5AB5A48B" w14:textId="4E43DD43" w:rsidR="00E64295" w:rsidRPr="009E6200" w:rsidRDefault="00E64295" w:rsidP="007B46F5">
      <w:pPr>
        <w:pStyle w:val="SDText"/>
        <w:jc w:val="both"/>
      </w:pPr>
      <w:r w:rsidRPr="009E6200">
        <w:t xml:space="preserve"> </w:t>
      </w:r>
    </w:p>
    <w:p w14:paraId="05765B5E" w14:textId="4605450B" w:rsidR="00E64295" w:rsidRDefault="00E64295" w:rsidP="007B46F5">
      <w:pPr>
        <w:pStyle w:val="Heading2"/>
      </w:pPr>
      <w:bookmarkStart w:id="227" w:name="_Toc120865300"/>
      <w:r w:rsidRPr="009E6200">
        <w:t>Регистрация нежелательных явлений</w:t>
      </w:r>
      <w:bookmarkEnd w:id="227"/>
    </w:p>
    <w:p w14:paraId="5336A42A" w14:textId="77777777" w:rsidR="00E27DD9" w:rsidRPr="00E27DD9" w:rsidRDefault="00E27DD9" w:rsidP="007B46F5">
      <w:pPr>
        <w:pStyle w:val="SDText"/>
        <w:rPr>
          <w:lang w:eastAsia="ru-RU"/>
        </w:rPr>
      </w:pPr>
    </w:p>
    <w:p w14:paraId="289BCF2F" w14:textId="77777777" w:rsidR="00E64295" w:rsidRPr="009E6200" w:rsidRDefault="00E64295" w:rsidP="007B46F5">
      <w:pPr>
        <w:pStyle w:val="SDText"/>
        <w:ind w:firstLine="709"/>
        <w:jc w:val="both"/>
      </w:pPr>
      <w:r w:rsidRPr="009E6200">
        <w:t>Нежелательные явления регистрируют на основании жалоб, сообщаемых пациентом спонтанно, либо в процессе беседы исследователя с пациентом, результатов физикального осмотра и результатов лабораторных и инструментальных исследований. Исследователь должен формулировать свои вопросы к пациенту таким образом, чтобы они не провоцировали его на сообщение недостоверной информации.</w:t>
      </w:r>
    </w:p>
    <w:p w14:paraId="7C681417" w14:textId="1BADB34B" w:rsidR="00E64295" w:rsidRPr="009E6200" w:rsidRDefault="00E64295" w:rsidP="007B46F5">
      <w:pPr>
        <w:pStyle w:val="SDText"/>
        <w:ind w:firstLine="709"/>
        <w:jc w:val="both"/>
      </w:pPr>
      <w:r w:rsidRPr="009E6200">
        <w:t xml:space="preserve">Нежелательные явления регистрируют в соответствующих разделах ИРК, а также в первичной медицинской документации пациента. </w:t>
      </w:r>
    </w:p>
    <w:p w14:paraId="3FD7A447" w14:textId="14C08633" w:rsidR="00E64295" w:rsidRPr="009E6200" w:rsidRDefault="00E64295" w:rsidP="007B46F5">
      <w:pPr>
        <w:pStyle w:val="SDText"/>
        <w:ind w:firstLine="709"/>
        <w:jc w:val="both"/>
      </w:pPr>
      <w:r w:rsidRPr="009E6200">
        <w:t xml:space="preserve">Регистрацию </w:t>
      </w:r>
      <w:r w:rsidR="00441438" w:rsidRPr="009E6200">
        <w:t>НЯ</w:t>
      </w:r>
      <w:r w:rsidR="00E873A9" w:rsidRPr="009E6200">
        <w:t xml:space="preserve"> проводят от </w:t>
      </w:r>
      <w:r w:rsidR="00906627" w:rsidRPr="009E6200">
        <w:t>первого</w:t>
      </w:r>
      <w:r w:rsidR="00E873A9" w:rsidRPr="009E6200">
        <w:t xml:space="preserve"> </w:t>
      </w:r>
      <w:r w:rsidR="00906627" w:rsidRPr="009E6200">
        <w:t>введения</w:t>
      </w:r>
      <w:r w:rsidR="00E873A9" w:rsidRPr="009E6200">
        <w:t xml:space="preserve"> препарата</w:t>
      </w:r>
      <w:r w:rsidR="00906627" w:rsidRPr="009E6200">
        <w:t xml:space="preserve"> исследования</w:t>
      </w:r>
      <w:r w:rsidR="00E873A9" w:rsidRPr="009E6200">
        <w:t xml:space="preserve"> до завершения участия пациента в исследовании.</w:t>
      </w:r>
      <w:r w:rsidR="00FC4AB7" w:rsidRPr="00030BF5">
        <w:rPr>
          <w:rFonts w:eastAsia="Times New Roman" w:cs="Times New Roman"/>
        </w:rPr>
        <w:t xml:space="preserve"> </w:t>
      </w:r>
      <w:r w:rsidR="00030BF5" w:rsidRPr="00030BF5">
        <w:rPr>
          <w:rFonts w:eastAsia="Times New Roman" w:cs="Times New Roman"/>
        </w:rPr>
        <w:t xml:space="preserve">СНЯ регистрируют с момента подписания формы информированного согласия </w:t>
      </w:r>
      <w:r w:rsidR="00E873A9" w:rsidRPr="009E6200">
        <w:t xml:space="preserve">и до 30 дней после </w:t>
      </w:r>
      <w:r w:rsidR="00906627" w:rsidRPr="009E6200">
        <w:t>завершения</w:t>
      </w:r>
      <w:r w:rsidR="00E873A9" w:rsidRPr="009E6200">
        <w:t xml:space="preserve"> </w:t>
      </w:r>
      <w:r w:rsidR="00906627" w:rsidRPr="009E6200">
        <w:t>терапии</w:t>
      </w:r>
      <w:r w:rsidR="00E873A9" w:rsidRPr="009E6200">
        <w:t xml:space="preserve"> препарат</w:t>
      </w:r>
      <w:r w:rsidR="00906627" w:rsidRPr="009E6200">
        <w:t>ом исследования</w:t>
      </w:r>
      <w:r w:rsidR="00E873A9" w:rsidRPr="009E6200">
        <w:t xml:space="preserve">, либо </w:t>
      </w:r>
      <w:r w:rsidR="00906627" w:rsidRPr="009E6200">
        <w:t xml:space="preserve">до </w:t>
      </w:r>
      <w:r w:rsidR="00E873A9" w:rsidRPr="009E6200">
        <w:t xml:space="preserve">последнего визита, в зависимости от того, что произойдет </w:t>
      </w:r>
      <w:r w:rsidR="001F2F81" w:rsidRPr="009E6200">
        <w:t>последним</w:t>
      </w:r>
      <w:r w:rsidR="00441438" w:rsidRPr="009E6200">
        <w:t>.</w:t>
      </w:r>
      <w:r w:rsidR="0086234F" w:rsidRPr="0086234F">
        <w:t xml:space="preserve"> </w:t>
      </w:r>
      <w:r w:rsidR="0086234F">
        <w:t>На скрининге регистрируются только СНЯ, связанные с процедурами исследования.</w:t>
      </w:r>
    </w:p>
    <w:p w14:paraId="4EC5FD40" w14:textId="77777777" w:rsidR="00E64295" w:rsidRPr="009E6200" w:rsidRDefault="00E64295" w:rsidP="007B46F5">
      <w:pPr>
        <w:pStyle w:val="SDText"/>
        <w:ind w:firstLine="709"/>
        <w:jc w:val="both"/>
      </w:pPr>
      <w:r w:rsidRPr="009E6200">
        <w:t>При регистрации нежелательного явления должна быть указана следующая информация:</w:t>
      </w:r>
    </w:p>
    <w:p w14:paraId="1C9168B4" w14:textId="77777777" w:rsidR="00E64295" w:rsidRPr="009E6200" w:rsidRDefault="00E64295" w:rsidP="007B46F5">
      <w:pPr>
        <w:pStyle w:val="SDText"/>
        <w:numPr>
          <w:ilvl w:val="0"/>
          <w:numId w:val="34"/>
        </w:numPr>
        <w:ind w:left="993" w:hanging="284"/>
        <w:jc w:val="both"/>
      </w:pPr>
      <w:r w:rsidRPr="009E6200">
        <w:t>Идентификационный номер пациента;</w:t>
      </w:r>
    </w:p>
    <w:p w14:paraId="116A7CD0" w14:textId="77777777" w:rsidR="00E64295" w:rsidRPr="009E6200" w:rsidRDefault="00E64295" w:rsidP="007B46F5">
      <w:pPr>
        <w:pStyle w:val="SDText"/>
        <w:numPr>
          <w:ilvl w:val="0"/>
          <w:numId w:val="34"/>
        </w:numPr>
        <w:ind w:left="993" w:hanging="284"/>
        <w:jc w:val="both"/>
      </w:pPr>
      <w:r w:rsidRPr="009E6200">
        <w:t>Диагноз нежелательного явления (предпочтительно указывать диагноз, а не список симптомов);</w:t>
      </w:r>
    </w:p>
    <w:p w14:paraId="3D42EC9D" w14:textId="77777777" w:rsidR="00E64295" w:rsidRPr="009E6200" w:rsidRDefault="00E64295" w:rsidP="007B46F5">
      <w:pPr>
        <w:pStyle w:val="SDText"/>
        <w:numPr>
          <w:ilvl w:val="0"/>
          <w:numId w:val="34"/>
        </w:numPr>
        <w:ind w:left="993" w:hanging="284"/>
        <w:jc w:val="both"/>
      </w:pPr>
      <w:r w:rsidRPr="009E6200">
        <w:t>Дата начала и разрешения НЯ (и время, если применимо);</w:t>
      </w:r>
    </w:p>
    <w:p w14:paraId="4B7C0D97" w14:textId="77777777" w:rsidR="00E64295" w:rsidRPr="009E6200" w:rsidRDefault="00E64295" w:rsidP="007B46F5">
      <w:pPr>
        <w:pStyle w:val="SDText"/>
        <w:numPr>
          <w:ilvl w:val="0"/>
          <w:numId w:val="34"/>
        </w:numPr>
        <w:ind w:left="993" w:hanging="284"/>
        <w:jc w:val="both"/>
      </w:pPr>
      <w:r w:rsidRPr="009E6200">
        <w:t>Степень тяжести НЯ;</w:t>
      </w:r>
    </w:p>
    <w:p w14:paraId="7122296D" w14:textId="77777777" w:rsidR="00E64295" w:rsidRPr="009E6200" w:rsidRDefault="00E64295" w:rsidP="007B46F5">
      <w:pPr>
        <w:pStyle w:val="SDText"/>
        <w:numPr>
          <w:ilvl w:val="0"/>
          <w:numId w:val="34"/>
        </w:numPr>
        <w:ind w:left="993" w:hanging="284"/>
        <w:jc w:val="both"/>
      </w:pPr>
      <w:r w:rsidRPr="009E6200">
        <w:t>Связь с применением исследуемого препарата;</w:t>
      </w:r>
    </w:p>
    <w:p w14:paraId="469C370E" w14:textId="77777777" w:rsidR="00E64295" w:rsidRPr="009E6200" w:rsidRDefault="00E64295" w:rsidP="007B46F5">
      <w:pPr>
        <w:pStyle w:val="SDText"/>
        <w:numPr>
          <w:ilvl w:val="0"/>
          <w:numId w:val="34"/>
        </w:numPr>
        <w:ind w:left="993" w:hanging="284"/>
        <w:jc w:val="both"/>
      </w:pPr>
      <w:r w:rsidRPr="009E6200">
        <w:t>Меры, предпринятые в связи с неблагоприятным проявлением;</w:t>
      </w:r>
    </w:p>
    <w:p w14:paraId="71F8E2AF" w14:textId="77777777" w:rsidR="00E64295" w:rsidRPr="009E6200" w:rsidRDefault="00E64295" w:rsidP="007B46F5">
      <w:pPr>
        <w:pStyle w:val="SDText"/>
        <w:numPr>
          <w:ilvl w:val="0"/>
          <w:numId w:val="34"/>
        </w:numPr>
        <w:ind w:left="993" w:hanging="284"/>
        <w:jc w:val="both"/>
      </w:pPr>
      <w:r w:rsidRPr="009E6200">
        <w:t>Меры, предпринятые в отношении исследуемого препарата;</w:t>
      </w:r>
    </w:p>
    <w:p w14:paraId="741D422A" w14:textId="77777777" w:rsidR="00E64295" w:rsidRPr="009E6200" w:rsidRDefault="00E64295" w:rsidP="007B46F5">
      <w:pPr>
        <w:pStyle w:val="SDText"/>
        <w:numPr>
          <w:ilvl w:val="0"/>
          <w:numId w:val="34"/>
        </w:numPr>
        <w:ind w:left="993" w:hanging="284"/>
        <w:jc w:val="both"/>
      </w:pPr>
      <w:r w:rsidRPr="009E6200">
        <w:t>Соответствие нежелательного явления критериям серьезного нежелательного явления;</w:t>
      </w:r>
    </w:p>
    <w:p w14:paraId="2180495C" w14:textId="77777777" w:rsidR="00E64295" w:rsidRPr="009E6200" w:rsidRDefault="00E64295" w:rsidP="007B46F5">
      <w:pPr>
        <w:pStyle w:val="SDText"/>
        <w:numPr>
          <w:ilvl w:val="0"/>
          <w:numId w:val="34"/>
        </w:numPr>
        <w:ind w:left="993" w:hanging="284"/>
        <w:jc w:val="both"/>
      </w:pPr>
      <w:r w:rsidRPr="009E6200">
        <w:t>Исход нежелательного явления.</w:t>
      </w:r>
    </w:p>
    <w:p w14:paraId="518B0AE3" w14:textId="65D138F6" w:rsidR="00E64295" w:rsidRPr="009E6200" w:rsidRDefault="00E64295" w:rsidP="007B46F5">
      <w:pPr>
        <w:pStyle w:val="SDText"/>
        <w:ind w:firstLine="709"/>
        <w:jc w:val="both"/>
      </w:pPr>
      <w:r w:rsidRPr="009E6200">
        <w:t xml:space="preserve">В случае изменения степени тяжести НЯ по классификации СТСАЕ за время его течения, это изменение фиксируется в первичной документации, а также при составлении дополнительного отчета о НЯ, в рамках одного нежелательного явления. В случае повторного возникновения НЯ (после его разрешения), регистрируется новый случай. </w:t>
      </w:r>
    </w:p>
    <w:p w14:paraId="5E2D96B5" w14:textId="77777777" w:rsidR="00E64295" w:rsidRPr="009E6200" w:rsidRDefault="00E64295" w:rsidP="007B46F5">
      <w:pPr>
        <w:pStyle w:val="SDText"/>
        <w:ind w:firstLine="709"/>
        <w:jc w:val="both"/>
      </w:pPr>
      <w:r w:rsidRPr="009E6200">
        <w:t>Оценка причинно-следственной связи нежелательного явления с применением исследуемого препарата, по мнению исследователя (связано/не связано с исследуемым препаратом).</w:t>
      </w:r>
    </w:p>
    <w:p w14:paraId="15FB7B58" w14:textId="77777777" w:rsidR="00E64295" w:rsidRPr="009E6200" w:rsidRDefault="00E64295" w:rsidP="007B46F5">
      <w:pPr>
        <w:pStyle w:val="SDText"/>
        <w:ind w:firstLine="709"/>
        <w:jc w:val="both"/>
      </w:pPr>
      <w:r w:rsidRPr="009E6200">
        <w:t>Исследователь несет ответственность за оценку взаимосвязи между исследуемым препаратом и НЯ. Исследователю необходимо применять свои знания о пациенте, обстоятельствах явления и оценки любых возможных альтернативных причин возникновения для того, чтобы определить, считается ли НЯ связанным с исследуемым препаратом или нет. Для взаимосвязи между НЯ и исследуемым препаратом необходимо выбрать один из следующих вариантов: «связано» или «не связано». Следует принимать в расчет следующие рекомендации:</w:t>
      </w:r>
    </w:p>
    <w:p w14:paraId="6BB78D6C" w14:textId="77777777" w:rsidR="00E64295" w:rsidRPr="009E6200" w:rsidRDefault="00E64295" w:rsidP="007B46F5">
      <w:pPr>
        <w:pStyle w:val="SDText"/>
        <w:numPr>
          <w:ilvl w:val="0"/>
          <w:numId w:val="30"/>
        </w:numPr>
        <w:ind w:left="993" w:hanging="284"/>
        <w:jc w:val="both"/>
      </w:pPr>
      <w:r w:rsidRPr="009E6200">
        <w:t>Связь во времени между развитием нежелательного явления и началом применения исследуемого препарата.</w:t>
      </w:r>
    </w:p>
    <w:p w14:paraId="7BB959BF" w14:textId="77777777" w:rsidR="00E64295" w:rsidRPr="009E6200" w:rsidRDefault="00E64295" w:rsidP="007B46F5">
      <w:pPr>
        <w:pStyle w:val="SDText"/>
        <w:numPr>
          <w:ilvl w:val="0"/>
          <w:numId w:val="30"/>
        </w:numPr>
        <w:ind w:left="993" w:hanging="284"/>
        <w:jc w:val="both"/>
      </w:pPr>
      <w:r w:rsidRPr="009E6200">
        <w:t>Динамика нежелательного явления, прекращение приема исследуемого препарата.</w:t>
      </w:r>
    </w:p>
    <w:p w14:paraId="10B4FBC9" w14:textId="77777777" w:rsidR="00E64295" w:rsidRPr="009E6200" w:rsidRDefault="00E64295" w:rsidP="007B46F5">
      <w:pPr>
        <w:pStyle w:val="SDText"/>
        <w:numPr>
          <w:ilvl w:val="0"/>
          <w:numId w:val="30"/>
        </w:numPr>
        <w:ind w:left="993" w:hanging="284"/>
        <w:jc w:val="both"/>
      </w:pPr>
      <w:r w:rsidRPr="009E6200">
        <w:t>Известная связь явления с исследуемым препаратом или аналогичными видами терапии.</w:t>
      </w:r>
    </w:p>
    <w:p w14:paraId="0A2C0A31" w14:textId="77777777" w:rsidR="00E64295" w:rsidRPr="009E6200" w:rsidRDefault="00E64295" w:rsidP="007B46F5">
      <w:pPr>
        <w:pStyle w:val="SDText"/>
        <w:numPr>
          <w:ilvl w:val="0"/>
          <w:numId w:val="30"/>
        </w:numPr>
        <w:ind w:left="993" w:hanging="284"/>
        <w:jc w:val="both"/>
      </w:pPr>
      <w:r w:rsidRPr="009E6200">
        <w:t xml:space="preserve">Наличие факторов риска у </w:t>
      </w:r>
      <w:r w:rsidR="00901470" w:rsidRPr="009E6200">
        <w:t>пациентов</w:t>
      </w:r>
      <w:r w:rsidRPr="009E6200">
        <w:t>, повышающих вероятность развития нежелательного явления.</w:t>
      </w:r>
    </w:p>
    <w:p w14:paraId="568FA7CE" w14:textId="77777777" w:rsidR="00E64295" w:rsidRPr="009E6200" w:rsidRDefault="00E64295" w:rsidP="007B46F5">
      <w:pPr>
        <w:pStyle w:val="SDText"/>
        <w:numPr>
          <w:ilvl w:val="0"/>
          <w:numId w:val="30"/>
        </w:numPr>
        <w:ind w:left="993" w:hanging="284"/>
        <w:jc w:val="both"/>
      </w:pPr>
      <w:r w:rsidRPr="009E6200">
        <w:t>Присутствие факторов, не относящихся к лечению, которые связаны с частотой явления.</w:t>
      </w:r>
    </w:p>
    <w:p w14:paraId="602577E7" w14:textId="77777777" w:rsidR="00E64295" w:rsidRPr="009E6200" w:rsidRDefault="00E64295" w:rsidP="007B46F5">
      <w:pPr>
        <w:pStyle w:val="SDText"/>
        <w:ind w:firstLine="709"/>
        <w:jc w:val="both"/>
      </w:pPr>
      <w:r w:rsidRPr="009E6200">
        <w:t>Исследователь должен сообщать о взаимосвязи каждого явления с исследуемым препаратом на основании наиболее вероятной оценки взаимосвязи, при этом сотрудники исследовательского центра несут ответственность за получение любых отсутствующих сведений.</w:t>
      </w:r>
    </w:p>
    <w:p w14:paraId="1875D29B" w14:textId="5C174F03" w:rsidR="00E64295" w:rsidRDefault="00E64295" w:rsidP="007B46F5">
      <w:pPr>
        <w:pStyle w:val="SDText"/>
        <w:ind w:firstLine="709"/>
        <w:jc w:val="both"/>
      </w:pPr>
      <w:r w:rsidRPr="009E6200">
        <w:t>Если оценка связи меняется со временем под влиянием новой или изменившейся информации, тогда она может быть пересмотрена.</w:t>
      </w:r>
    </w:p>
    <w:p w14:paraId="7B1D372E" w14:textId="6FC0DC94" w:rsidR="007B1074" w:rsidRPr="009E6200" w:rsidRDefault="007B1074" w:rsidP="007B46F5">
      <w:pPr>
        <w:jc w:val="both"/>
        <w:rPr>
          <w:b/>
        </w:rPr>
      </w:pPr>
    </w:p>
    <w:p w14:paraId="2ADAECBA" w14:textId="027053E3" w:rsidR="00E64295" w:rsidRDefault="00E64295" w:rsidP="007B46F5">
      <w:pPr>
        <w:pStyle w:val="Heading3"/>
        <w:spacing w:before="0" w:after="0" w:line="240" w:lineRule="auto"/>
        <w:ind w:left="709" w:hanging="709"/>
        <w:jc w:val="both"/>
        <w:rPr>
          <w:sz w:val="24"/>
        </w:rPr>
      </w:pPr>
      <w:bookmarkStart w:id="228" w:name="_Toc120865301"/>
      <w:r w:rsidRPr="00E27DD9">
        <w:rPr>
          <w:sz w:val="24"/>
        </w:rPr>
        <w:t>Оценка тяжести нежелательного явления</w:t>
      </w:r>
      <w:bookmarkEnd w:id="228"/>
    </w:p>
    <w:p w14:paraId="2A4EDCFE" w14:textId="77777777" w:rsidR="00E27DD9" w:rsidRPr="00E27DD9" w:rsidRDefault="00E27DD9" w:rsidP="007B46F5">
      <w:pPr>
        <w:pStyle w:val="SDText"/>
        <w:rPr>
          <w:lang w:eastAsia="ru-RU"/>
        </w:rPr>
      </w:pPr>
    </w:p>
    <w:p w14:paraId="2BB86FB7" w14:textId="35A22BF0" w:rsidR="00E64295" w:rsidRPr="009E6200" w:rsidRDefault="00E64295" w:rsidP="007B46F5">
      <w:pPr>
        <w:pStyle w:val="SDText"/>
        <w:ind w:firstLine="709"/>
        <w:jc w:val="both"/>
      </w:pPr>
      <w:r w:rsidRPr="009E6200">
        <w:t xml:space="preserve">Степень тяжести НЯ оценивается в соответствии с классификацией CTCAE </w:t>
      </w:r>
      <w:r w:rsidR="00776730" w:rsidRPr="009E6200">
        <w:t>(версия 5</w:t>
      </w:r>
      <w:r w:rsidRPr="009E6200">
        <w:t>.0</w:t>
      </w:r>
      <w:r w:rsidR="00776730" w:rsidRPr="009E6200">
        <w:t>)</w:t>
      </w:r>
      <w:r w:rsidRPr="009E6200">
        <w:t>.</w:t>
      </w:r>
    </w:p>
    <w:p w14:paraId="5DA298A5" w14:textId="2785B2FC" w:rsidR="00E64295" w:rsidRDefault="00E64295" w:rsidP="007B46F5">
      <w:pPr>
        <w:pStyle w:val="SDText"/>
        <w:ind w:firstLine="709"/>
        <w:jc w:val="both"/>
      </w:pPr>
      <w:r w:rsidRPr="009E6200">
        <w:t>Если конкретные нежелательные явления не указаны в CTCAE, исследователь будет классифицировать их в соответствии со следующими степенями и определениями:</w:t>
      </w:r>
    </w:p>
    <w:p w14:paraId="4F3036C0" w14:textId="77777777" w:rsidR="00E27DD9" w:rsidRPr="009E6200" w:rsidRDefault="00E27DD9" w:rsidP="007B46F5">
      <w:pPr>
        <w:pStyle w:val="SDText"/>
        <w:ind w:firstLine="709"/>
        <w:jc w:val="both"/>
      </w:pPr>
    </w:p>
    <w:tbl>
      <w:tblPr>
        <w:tblW w:w="9218"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498"/>
        <w:gridCol w:w="7720"/>
      </w:tblGrid>
      <w:tr w:rsidR="00E64295" w:rsidRPr="009E6200" w14:paraId="4B097860" w14:textId="77777777" w:rsidTr="004C1162">
        <w:tc>
          <w:tcPr>
            <w:tcW w:w="1498" w:type="dxa"/>
            <w:shd w:val="clear" w:color="auto" w:fill="auto"/>
          </w:tcPr>
          <w:p w14:paraId="41C6D1A0" w14:textId="77777777" w:rsidR="00E64295" w:rsidRPr="009E6200" w:rsidRDefault="00E64295" w:rsidP="007B46F5">
            <w:pPr>
              <w:pStyle w:val="SDText"/>
              <w:jc w:val="both"/>
            </w:pPr>
            <w:r w:rsidRPr="009E6200">
              <w:t>Степень 0:</w:t>
            </w:r>
          </w:p>
        </w:tc>
        <w:tc>
          <w:tcPr>
            <w:tcW w:w="7720" w:type="dxa"/>
            <w:shd w:val="clear" w:color="auto" w:fill="auto"/>
          </w:tcPr>
          <w:p w14:paraId="0364BF3F" w14:textId="77777777" w:rsidR="00E64295" w:rsidRPr="009E6200" w:rsidRDefault="00E64295" w:rsidP="007B46F5">
            <w:pPr>
              <w:pStyle w:val="SDText"/>
              <w:jc w:val="both"/>
            </w:pPr>
            <w:r w:rsidRPr="009E6200">
              <w:t>Отсутствие НЯ (или в пределах нормы)</w:t>
            </w:r>
          </w:p>
        </w:tc>
      </w:tr>
      <w:tr w:rsidR="00E64295" w:rsidRPr="009E6200" w14:paraId="1925DFDE" w14:textId="77777777" w:rsidTr="004C1162">
        <w:tc>
          <w:tcPr>
            <w:tcW w:w="1498" w:type="dxa"/>
            <w:shd w:val="clear" w:color="auto" w:fill="auto"/>
          </w:tcPr>
          <w:p w14:paraId="455BE652" w14:textId="77777777" w:rsidR="00E64295" w:rsidRPr="009E6200" w:rsidRDefault="00E64295" w:rsidP="007B46F5">
            <w:pPr>
              <w:pStyle w:val="SDText"/>
              <w:jc w:val="both"/>
            </w:pPr>
            <w:r w:rsidRPr="009E6200">
              <w:t>Степень 1:</w:t>
            </w:r>
          </w:p>
        </w:tc>
        <w:tc>
          <w:tcPr>
            <w:tcW w:w="7720" w:type="dxa"/>
            <w:shd w:val="clear" w:color="auto" w:fill="auto"/>
          </w:tcPr>
          <w:p w14:paraId="719FC3C2" w14:textId="77777777" w:rsidR="00E64295" w:rsidRPr="009E6200" w:rsidRDefault="00E64295" w:rsidP="007B46F5">
            <w:pPr>
              <w:pStyle w:val="SDText"/>
              <w:jc w:val="both"/>
            </w:pPr>
            <w:r w:rsidRPr="009E6200">
              <w:t>Легкое; отсутствие симптомов или легкие симптомы; только клинические или диагностические признаки; вмешательство не показано</w:t>
            </w:r>
          </w:p>
        </w:tc>
      </w:tr>
      <w:tr w:rsidR="00E64295" w:rsidRPr="009E6200" w14:paraId="04D7B171" w14:textId="77777777" w:rsidTr="004C1162">
        <w:tc>
          <w:tcPr>
            <w:tcW w:w="1498" w:type="dxa"/>
            <w:shd w:val="clear" w:color="auto" w:fill="auto"/>
          </w:tcPr>
          <w:p w14:paraId="5D09FAD3" w14:textId="77777777" w:rsidR="00E64295" w:rsidRPr="009E6200" w:rsidRDefault="00E64295" w:rsidP="007B46F5">
            <w:pPr>
              <w:pStyle w:val="SDText"/>
              <w:jc w:val="both"/>
            </w:pPr>
            <w:r w:rsidRPr="009E6200">
              <w:t>Степень 2:</w:t>
            </w:r>
          </w:p>
        </w:tc>
        <w:tc>
          <w:tcPr>
            <w:tcW w:w="7720" w:type="dxa"/>
            <w:shd w:val="clear" w:color="auto" w:fill="auto"/>
          </w:tcPr>
          <w:p w14:paraId="62E84CD0" w14:textId="77777777" w:rsidR="00E64295" w:rsidRPr="009E6200" w:rsidRDefault="00E64295" w:rsidP="007B46F5">
            <w:pPr>
              <w:pStyle w:val="SDText"/>
              <w:jc w:val="both"/>
            </w:pPr>
            <w:r w:rsidRPr="009E6200">
              <w:t>Умеренное; незначительное, показано местное или неинвазивное вмешательство (например, обертывание, прижигание); ограничение соответствующей возрасту инструментальной деятельности в рамках повседневной деятельности</w:t>
            </w:r>
          </w:p>
        </w:tc>
      </w:tr>
      <w:tr w:rsidR="00E64295" w:rsidRPr="009E6200" w14:paraId="022BE602" w14:textId="77777777" w:rsidTr="004C1162">
        <w:tc>
          <w:tcPr>
            <w:tcW w:w="1498" w:type="dxa"/>
            <w:shd w:val="clear" w:color="auto" w:fill="auto"/>
          </w:tcPr>
          <w:p w14:paraId="61BEE26A" w14:textId="77777777" w:rsidR="00E64295" w:rsidRPr="009E6200" w:rsidRDefault="00E64295" w:rsidP="007B46F5">
            <w:pPr>
              <w:pStyle w:val="SDText"/>
              <w:jc w:val="both"/>
            </w:pPr>
            <w:r w:rsidRPr="009E6200">
              <w:t>Степень 3:</w:t>
            </w:r>
          </w:p>
        </w:tc>
        <w:tc>
          <w:tcPr>
            <w:tcW w:w="7720" w:type="dxa"/>
            <w:shd w:val="clear" w:color="auto" w:fill="auto"/>
          </w:tcPr>
          <w:p w14:paraId="7300D658" w14:textId="77777777" w:rsidR="00E64295" w:rsidRPr="009E6200" w:rsidRDefault="00E64295" w:rsidP="007B46F5">
            <w:pPr>
              <w:pStyle w:val="SDText"/>
              <w:jc w:val="both"/>
            </w:pPr>
            <w:r w:rsidRPr="009E6200">
              <w:t>Тяжелое или медицински значимое, но не представляющее непосредственной угрозы жизни; показана госпитализация или ее продление; инвалидизация; ограничение самообслуживания в рамках повседневной деятельности</w:t>
            </w:r>
          </w:p>
        </w:tc>
      </w:tr>
      <w:tr w:rsidR="00E64295" w:rsidRPr="009E6200" w14:paraId="066E0725" w14:textId="77777777" w:rsidTr="004C1162">
        <w:tc>
          <w:tcPr>
            <w:tcW w:w="1498" w:type="dxa"/>
            <w:shd w:val="clear" w:color="auto" w:fill="auto"/>
          </w:tcPr>
          <w:p w14:paraId="69238DE7" w14:textId="77777777" w:rsidR="00E64295" w:rsidRPr="009E6200" w:rsidRDefault="00E64295" w:rsidP="007B46F5">
            <w:pPr>
              <w:pStyle w:val="SDText"/>
              <w:jc w:val="both"/>
            </w:pPr>
            <w:r w:rsidRPr="009E6200">
              <w:t>Степень 4:</w:t>
            </w:r>
          </w:p>
        </w:tc>
        <w:tc>
          <w:tcPr>
            <w:tcW w:w="7720" w:type="dxa"/>
            <w:shd w:val="clear" w:color="auto" w:fill="auto"/>
          </w:tcPr>
          <w:p w14:paraId="1407B316" w14:textId="77777777" w:rsidR="00E64295" w:rsidRPr="009E6200" w:rsidRDefault="00E64295" w:rsidP="007B46F5">
            <w:pPr>
              <w:pStyle w:val="SDText"/>
              <w:jc w:val="both"/>
            </w:pPr>
            <w:r w:rsidRPr="009E6200">
              <w:t>Угрожающие жизни осложнения; показано срочное вмешательство</w:t>
            </w:r>
          </w:p>
        </w:tc>
      </w:tr>
      <w:tr w:rsidR="00E64295" w:rsidRPr="009E6200" w14:paraId="7DF7EDC4" w14:textId="77777777" w:rsidTr="004C1162">
        <w:tc>
          <w:tcPr>
            <w:tcW w:w="1498" w:type="dxa"/>
            <w:shd w:val="clear" w:color="auto" w:fill="auto"/>
          </w:tcPr>
          <w:p w14:paraId="4614DA1A" w14:textId="77777777" w:rsidR="00E64295" w:rsidRPr="009E6200" w:rsidRDefault="00E64295" w:rsidP="007B46F5">
            <w:pPr>
              <w:pStyle w:val="SDText"/>
              <w:jc w:val="both"/>
            </w:pPr>
            <w:r w:rsidRPr="009E6200">
              <w:t>Степень 5:</w:t>
            </w:r>
          </w:p>
        </w:tc>
        <w:tc>
          <w:tcPr>
            <w:tcW w:w="7720" w:type="dxa"/>
            <w:shd w:val="clear" w:color="auto" w:fill="auto"/>
          </w:tcPr>
          <w:p w14:paraId="28FFF21C" w14:textId="77777777" w:rsidR="00E64295" w:rsidRPr="009E6200" w:rsidRDefault="00E64295" w:rsidP="007B46F5">
            <w:pPr>
              <w:pStyle w:val="SDText"/>
              <w:jc w:val="both"/>
            </w:pPr>
            <w:r w:rsidRPr="009E6200">
              <w:t>Смерть, связанная с НЯ</w:t>
            </w:r>
          </w:p>
        </w:tc>
      </w:tr>
    </w:tbl>
    <w:p w14:paraId="7F885F21" w14:textId="77777777" w:rsidR="00E27DD9" w:rsidRDefault="00E27DD9" w:rsidP="007B46F5">
      <w:pPr>
        <w:pStyle w:val="SDText"/>
        <w:jc w:val="both"/>
      </w:pPr>
    </w:p>
    <w:p w14:paraId="2B6970FD" w14:textId="2E73163C" w:rsidR="00E64295" w:rsidRDefault="00E64295" w:rsidP="007B46F5">
      <w:pPr>
        <w:pStyle w:val="SDText"/>
        <w:ind w:firstLine="709"/>
        <w:jc w:val="both"/>
      </w:pPr>
      <w:r w:rsidRPr="009E6200">
        <w:t xml:space="preserve">Тяжелое НЯ может не быть серьезным и, наоборот – серьезное НЯ не обязательно будет тяжелым. </w:t>
      </w:r>
    </w:p>
    <w:p w14:paraId="1028C8C0" w14:textId="77777777" w:rsidR="00E27DD9" w:rsidRPr="009E6200" w:rsidRDefault="00E27DD9" w:rsidP="007B46F5">
      <w:pPr>
        <w:pStyle w:val="SDText"/>
        <w:ind w:firstLine="709"/>
        <w:jc w:val="both"/>
      </w:pPr>
    </w:p>
    <w:p w14:paraId="07206C43" w14:textId="38E9015C" w:rsidR="00E64295" w:rsidRPr="009E6200" w:rsidRDefault="00E64295" w:rsidP="007B46F5">
      <w:pPr>
        <w:pStyle w:val="Heading2"/>
      </w:pPr>
      <w:bookmarkStart w:id="229" w:name="_Toc120865302"/>
      <w:r w:rsidRPr="009E6200">
        <w:t>Лабораторные отклонения и отклонения физиологических параметров</w:t>
      </w:r>
      <w:bookmarkEnd w:id="229"/>
    </w:p>
    <w:p w14:paraId="5C84E58A" w14:textId="77777777" w:rsidR="00E27DD9" w:rsidRDefault="00E27DD9" w:rsidP="007B46F5">
      <w:pPr>
        <w:pStyle w:val="SDText"/>
        <w:jc w:val="both"/>
      </w:pPr>
    </w:p>
    <w:p w14:paraId="6B37CE5A" w14:textId="19AEA88D" w:rsidR="00F608D1" w:rsidRDefault="00F608D1" w:rsidP="007B46F5">
      <w:pPr>
        <w:pStyle w:val="SDText"/>
        <w:ind w:firstLine="709"/>
        <w:jc w:val="both"/>
      </w:pPr>
      <w:r w:rsidRPr="00F608D1">
        <w:t>Все лабораторные показатели, выходящие за пределы установленных норм значений, отклонения/изменения физиологических показателей и результаты инструментальных исследований, представляющие собой нежелательные явления и отличающиеся от показателей, определенных в период скрининга от момента включения пациента в исследование до момента первого применения исследуемого препарата/препарата сравнения, подлежат регистрации в ИРК в разделе «Нежелательные явления»</w:t>
      </w:r>
      <w:r w:rsidR="0038292C">
        <w:t xml:space="preserve"> (</w:t>
      </w:r>
      <w:r w:rsidR="0038292C" w:rsidRPr="00F608D1">
        <w:t>начиная со 2-й ст. по СТСАЕ 5.0)</w:t>
      </w:r>
      <w:r w:rsidRPr="00F608D1">
        <w:t xml:space="preserve">. Отклонения 1 степени по CTCAE 5.0, не наблюдавшиеся у пациента на скрининге, могут быть зарегистрированы в качестве НЯ при наличии клинической значимости, </w:t>
      </w:r>
      <w:r w:rsidR="0038292C" w:rsidRPr="00F608D1">
        <w:t>по обоснованному мнению,</w:t>
      </w:r>
      <w:r w:rsidRPr="00F608D1">
        <w:t xml:space="preserve"> врача-исследователя. По возможности вместо отдельных симптомов следует указывать диагноз (например, анемия, а не снижение гемоглобина). За лабораторными явлениями, соответствующими критериям нежелательных явлений, следует наблюдать до их возвращения к норме или до получения адекватного объяснения.</w:t>
      </w:r>
    </w:p>
    <w:p w14:paraId="01E5EB5C" w14:textId="37FBDD8A" w:rsidR="00E64295" w:rsidRPr="009E6200" w:rsidRDefault="00E64295" w:rsidP="007B46F5">
      <w:pPr>
        <w:pStyle w:val="SDText"/>
        <w:jc w:val="both"/>
      </w:pPr>
    </w:p>
    <w:p w14:paraId="6C82D18E" w14:textId="1C4770EB" w:rsidR="00E64295" w:rsidRDefault="00E64295" w:rsidP="007B46F5">
      <w:pPr>
        <w:pStyle w:val="Heading2"/>
      </w:pPr>
      <w:bookmarkStart w:id="230" w:name="_Toc120865303"/>
      <w:r w:rsidRPr="009E6200">
        <w:t>Специфические требования к регистрации НЯ и СНЯ</w:t>
      </w:r>
      <w:bookmarkEnd w:id="230"/>
    </w:p>
    <w:p w14:paraId="7BC3B5D1" w14:textId="77777777" w:rsidR="00E27DD9" w:rsidRPr="00E27DD9" w:rsidRDefault="00E27DD9" w:rsidP="007B46F5">
      <w:pPr>
        <w:pStyle w:val="SDText"/>
        <w:rPr>
          <w:lang w:eastAsia="ru-RU"/>
        </w:rPr>
      </w:pPr>
    </w:p>
    <w:p w14:paraId="71AE2A13" w14:textId="77777777" w:rsidR="00E64295" w:rsidRPr="009E6200" w:rsidRDefault="00E64295" w:rsidP="007B46F5">
      <w:pPr>
        <w:pStyle w:val="SDText"/>
        <w:numPr>
          <w:ilvl w:val="0"/>
          <w:numId w:val="32"/>
        </w:numPr>
        <w:jc w:val="both"/>
      </w:pPr>
      <w:r w:rsidRPr="009E6200">
        <w:rPr>
          <w:iCs/>
        </w:rPr>
        <w:t>Прогрессирование основного заболевания (с симптомами или без) не будет рассматриваться в качестве НЯ.</w:t>
      </w:r>
    </w:p>
    <w:p w14:paraId="419104A0" w14:textId="77777777" w:rsidR="00E64295" w:rsidRPr="009E6200" w:rsidRDefault="00E64295" w:rsidP="007B46F5">
      <w:pPr>
        <w:pStyle w:val="SDText"/>
        <w:numPr>
          <w:ilvl w:val="0"/>
          <w:numId w:val="32"/>
        </w:numPr>
        <w:jc w:val="both"/>
      </w:pPr>
      <w:r w:rsidRPr="009E6200">
        <w:t>У пациентов с отклонениями по клинико-лабораторным показателям или при наличии какой-либо другой патологии на скрининге в обязательном порядке как НЯ регистрируется изменение степени тяжести или другое клинически значимое ухудшение, по заключению исследователя.</w:t>
      </w:r>
    </w:p>
    <w:p w14:paraId="736B535A" w14:textId="77777777" w:rsidR="00E64295" w:rsidRPr="009E6200" w:rsidRDefault="00E64295" w:rsidP="007B46F5">
      <w:pPr>
        <w:pStyle w:val="SDText"/>
        <w:numPr>
          <w:ilvl w:val="0"/>
          <w:numId w:val="32"/>
        </w:numPr>
        <w:jc w:val="both"/>
      </w:pPr>
      <w:r w:rsidRPr="009E6200">
        <w:t>Если критерием серьезности НЯ является госпитализация, к СНЯ не относятся следующие случаи госпитализации:</w:t>
      </w:r>
    </w:p>
    <w:p w14:paraId="77698CBE" w14:textId="77777777" w:rsidR="00E64295" w:rsidRPr="009E6200" w:rsidRDefault="00E64295" w:rsidP="007B46F5">
      <w:pPr>
        <w:pStyle w:val="SDText"/>
        <w:numPr>
          <w:ilvl w:val="1"/>
          <w:numId w:val="32"/>
        </w:numPr>
        <w:jc w:val="both"/>
        <w:rPr>
          <w:bCs/>
        </w:rPr>
      </w:pPr>
      <w:r w:rsidRPr="009E6200">
        <w:rPr>
          <w:bCs/>
        </w:rPr>
        <w:t>проведение процедур, предусмотренных протоколом, или введения исследуемого продукта; например, госпитализация или продление госпитализации являются частью рутинных процедур в данном исследовательском центре;</w:t>
      </w:r>
    </w:p>
    <w:p w14:paraId="27494857" w14:textId="77777777" w:rsidR="00E64295" w:rsidRPr="009E6200" w:rsidRDefault="00E64295" w:rsidP="007B46F5">
      <w:pPr>
        <w:pStyle w:val="SDText"/>
        <w:numPr>
          <w:ilvl w:val="1"/>
          <w:numId w:val="32"/>
        </w:numPr>
        <w:jc w:val="both"/>
        <w:rPr>
          <w:bCs/>
        </w:rPr>
      </w:pPr>
      <w:r w:rsidRPr="009E6200">
        <w:rPr>
          <w:bCs/>
        </w:rPr>
        <w:t>терапия или обследование в связи с существовавшим ранее состоянием, не связанным с проведением исследуемой терапии (введение исследуемого продукта) по поводу основного заболевания, ухудшение которого не наблюдалось;</w:t>
      </w:r>
    </w:p>
    <w:p w14:paraId="4168FA10" w14:textId="77777777" w:rsidR="00E64295" w:rsidRPr="009E6200" w:rsidRDefault="00E64295" w:rsidP="007B46F5">
      <w:pPr>
        <w:pStyle w:val="SDText"/>
        <w:numPr>
          <w:ilvl w:val="1"/>
          <w:numId w:val="32"/>
        </w:numPr>
        <w:jc w:val="both"/>
        <w:rPr>
          <w:bCs/>
        </w:rPr>
      </w:pPr>
      <w:r w:rsidRPr="009E6200">
        <w:rPr>
          <w:bCs/>
        </w:rPr>
        <w:t xml:space="preserve">плановое или внеплановое обследование, реабилитация по социальным причинам или оперативное вмешательство, не направленные на купирование СНЯ; </w:t>
      </w:r>
    </w:p>
    <w:p w14:paraId="734E0416" w14:textId="17601F4F" w:rsidR="00E64295" w:rsidRDefault="00E64295" w:rsidP="007B46F5">
      <w:pPr>
        <w:pStyle w:val="SDText"/>
        <w:numPr>
          <w:ilvl w:val="1"/>
          <w:numId w:val="32"/>
        </w:numPr>
        <w:jc w:val="both"/>
        <w:rPr>
          <w:bCs/>
        </w:rPr>
      </w:pPr>
      <w:r w:rsidRPr="009E6200">
        <w:rPr>
          <w:bCs/>
        </w:rPr>
        <w:t>социальные причины, например, дополнительное наблюдение со стороны врача или госпитализация с целью обеспечения дополнительного комфорта в зимнее время года при наличии множества визитов согласно протоколу и пр.</w:t>
      </w:r>
    </w:p>
    <w:p w14:paraId="5D9DC8AE" w14:textId="77777777" w:rsidR="00E27DD9" w:rsidRPr="009E6200" w:rsidRDefault="00E27DD9" w:rsidP="007B46F5">
      <w:pPr>
        <w:pStyle w:val="SDText"/>
        <w:ind w:left="1080"/>
        <w:jc w:val="both"/>
        <w:rPr>
          <w:bCs/>
        </w:rPr>
      </w:pPr>
    </w:p>
    <w:p w14:paraId="12FFBCC0" w14:textId="57CF88A9" w:rsidR="00E64295" w:rsidRDefault="00E64295" w:rsidP="007B46F5">
      <w:pPr>
        <w:pStyle w:val="Heading2"/>
      </w:pPr>
      <w:bookmarkStart w:id="231" w:name="_Toc120865304"/>
      <w:r w:rsidRPr="009E6200">
        <w:t>Серьезные нежелательные явления (СНЯ)</w:t>
      </w:r>
      <w:bookmarkEnd w:id="231"/>
    </w:p>
    <w:p w14:paraId="4FBAA977" w14:textId="77777777" w:rsidR="00E27DD9" w:rsidRPr="00E27DD9" w:rsidRDefault="00E27DD9" w:rsidP="007B46F5">
      <w:pPr>
        <w:pStyle w:val="SDText"/>
        <w:rPr>
          <w:lang w:eastAsia="ru-RU"/>
        </w:rPr>
      </w:pPr>
    </w:p>
    <w:p w14:paraId="77F8D5DB" w14:textId="77777777" w:rsidR="00E64295" w:rsidRPr="009E6200" w:rsidRDefault="00E64295" w:rsidP="007B46F5">
      <w:pPr>
        <w:pStyle w:val="SDText"/>
        <w:ind w:firstLine="709"/>
        <w:jc w:val="both"/>
      </w:pPr>
      <w:r w:rsidRPr="009E6200">
        <w:t>Серьезным нежелательным явлением (СНЯ) является любое нежелательное явление, соответствующее одному или нескольким из перечисленных ниже критериев:</w:t>
      </w:r>
    </w:p>
    <w:p w14:paraId="20313709" w14:textId="77777777" w:rsidR="00E64295" w:rsidRPr="009E6200" w:rsidRDefault="00E64295" w:rsidP="007B46F5">
      <w:pPr>
        <w:pStyle w:val="SDText"/>
        <w:numPr>
          <w:ilvl w:val="0"/>
          <w:numId w:val="33"/>
        </w:numPr>
        <w:ind w:left="1276" w:hanging="283"/>
        <w:jc w:val="both"/>
      </w:pPr>
      <w:r w:rsidRPr="009E6200">
        <w:t>Привело к смерти пациента</w:t>
      </w:r>
    </w:p>
    <w:p w14:paraId="1B190D25" w14:textId="77777777" w:rsidR="00E64295" w:rsidRPr="009E6200" w:rsidRDefault="00E64295" w:rsidP="007B46F5">
      <w:pPr>
        <w:pStyle w:val="SDText"/>
        <w:numPr>
          <w:ilvl w:val="0"/>
          <w:numId w:val="33"/>
        </w:numPr>
        <w:ind w:left="1276" w:hanging="283"/>
        <w:jc w:val="both"/>
      </w:pPr>
      <w:r w:rsidRPr="009E6200">
        <w:t>Представляет угрозу жизни пациента</w:t>
      </w:r>
    </w:p>
    <w:p w14:paraId="2B19F2C0" w14:textId="77777777" w:rsidR="00E64295" w:rsidRPr="009E6200" w:rsidRDefault="00E64295" w:rsidP="007B46F5">
      <w:pPr>
        <w:pStyle w:val="SDText"/>
        <w:numPr>
          <w:ilvl w:val="0"/>
          <w:numId w:val="33"/>
        </w:numPr>
        <w:ind w:left="1276" w:hanging="283"/>
        <w:jc w:val="both"/>
      </w:pPr>
      <w:r w:rsidRPr="009E6200">
        <w:t>Потребовало госпитализации пациента или привело к продлению существующей госпитализации</w:t>
      </w:r>
    </w:p>
    <w:p w14:paraId="1D826CF8" w14:textId="77777777" w:rsidR="00E64295" w:rsidRPr="009E6200" w:rsidRDefault="00E64295" w:rsidP="007B46F5">
      <w:pPr>
        <w:pStyle w:val="SDText"/>
        <w:numPr>
          <w:ilvl w:val="0"/>
          <w:numId w:val="33"/>
        </w:numPr>
        <w:ind w:left="1276" w:hanging="283"/>
        <w:jc w:val="both"/>
      </w:pPr>
      <w:r w:rsidRPr="009E6200">
        <w:t>Привело к стойкой или выраженной нетрудоспособности или инвалидности пациента</w:t>
      </w:r>
    </w:p>
    <w:p w14:paraId="2F9B28EE" w14:textId="77777777" w:rsidR="00E64295" w:rsidRPr="009E6200" w:rsidRDefault="00E64295" w:rsidP="007B46F5">
      <w:pPr>
        <w:pStyle w:val="SDText"/>
        <w:numPr>
          <w:ilvl w:val="0"/>
          <w:numId w:val="33"/>
        </w:numPr>
        <w:ind w:left="1276" w:hanging="283"/>
        <w:jc w:val="both"/>
      </w:pPr>
      <w:r w:rsidRPr="009E6200">
        <w:t>Является врожденной аномалией или пороком развития детей пациентов,  принимавших исследуемый препарат</w:t>
      </w:r>
    </w:p>
    <w:p w14:paraId="6E7E0D32" w14:textId="77777777" w:rsidR="00E64295" w:rsidRPr="009E6200" w:rsidRDefault="00E64295" w:rsidP="007B46F5">
      <w:pPr>
        <w:pStyle w:val="SDText"/>
        <w:ind w:firstLine="709"/>
        <w:jc w:val="both"/>
      </w:pPr>
      <w:r w:rsidRPr="009E6200">
        <w:t>Кроме того, к числу серьезных нежелательных явлений могут относиться иные важные медицинские проявления, в том случае, если на основании своего медицинского опыта исследователь полагает, что без медицинского вмешательства данное проявление может привести к одному из описанных выше исходов.</w:t>
      </w:r>
    </w:p>
    <w:p w14:paraId="74CD3617" w14:textId="6DB67949" w:rsidR="00E64295" w:rsidRDefault="00E64295" w:rsidP="007B46F5">
      <w:pPr>
        <w:pStyle w:val="SDText"/>
        <w:ind w:firstLine="709"/>
        <w:jc w:val="both"/>
      </w:pPr>
      <w:r w:rsidRPr="009E6200">
        <w:t>Нежелательное явление считается «представляющим угрозу жизни пациента» в том случае, если оно представляет непосредственную опасность для жизни пациента в момент своего развития. К этой категории не относятся нежелательные явления, которые могли бы теоретически привести к смерти пациента в том случае, если бы степень их выраженности была более высокой.</w:t>
      </w:r>
    </w:p>
    <w:p w14:paraId="0C57C55B" w14:textId="77777777" w:rsidR="00E27DD9" w:rsidRPr="00E27DD9" w:rsidRDefault="00E27DD9" w:rsidP="007B46F5">
      <w:pPr>
        <w:pStyle w:val="SDText"/>
        <w:ind w:firstLine="709"/>
        <w:jc w:val="both"/>
        <w:rPr>
          <w:sz w:val="22"/>
        </w:rPr>
      </w:pPr>
    </w:p>
    <w:p w14:paraId="28655833" w14:textId="1E36BCCE" w:rsidR="00437BFE" w:rsidRDefault="00437BFE" w:rsidP="007B46F5">
      <w:pPr>
        <w:pStyle w:val="Heading3"/>
        <w:spacing w:before="0" w:after="0" w:line="240" w:lineRule="auto"/>
        <w:ind w:left="567" w:hanging="567"/>
        <w:jc w:val="both"/>
      </w:pPr>
      <w:bookmarkStart w:id="232" w:name="_Toc120865305"/>
      <w:r w:rsidRPr="00E27DD9">
        <w:rPr>
          <w:sz w:val="24"/>
        </w:rPr>
        <w:t>Порядок сообщения</w:t>
      </w:r>
      <w:r w:rsidRPr="00437BFE">
        <w:t xml:space="preserve"> </w:t>
      </w:r>
      <w:r w:rsidRPr="00E27DD9">
        <w:rPr>
          <w:sz w:val="24"/>
        </w:rPr>
        <w:t>о СНЯ</w:t>
      </w:r>
      <w:bookmarkEnd w:id="232"/>
    </w:p>
    <w:p w14:paraId="34F5EA27" w14:textId="77777777" w:rsidR="00E27DD9" w:rsidRPr="00E27DD9" w:rsidRDefault="00E27DD9" w:rsidP="007B46F5">
      <w:pPr>
        <w:pStyle w:val="SDText"/>
        <w:rPr>
          <w:lang w:eastAsia="ru-RU"/>
        </w:rPr>
      </w:pPr>
    </w:p>
    <w:p w14:paraId="5F50235A" w14:textId="699C1954" w:rsidR="00E64295" w:rsidRPr="009E6200" w:rsidRDefault="00E64295" w:rsidP="007B46F5">
      <w:pPr>
        <w:pStyle w:val="SDText"/>
        <w:ind w:firstLine="709"/>
        <w:jc w:val="both"/>
      </w:pPr>
      <w:r w:rsidRPr="009E6200">
        <w:t xml:space="preserve">Для обеспечения безопасности пациентов при возникновении </w:t>
      </w:r>
      <w:r w:rsidR="00030BF5" w:rsidRPr="00030BF5">
        <w:rPr>
          <w:rFonts w:eastAsia="Times New Roman" w:cs="Times New Roman"/>
        </w:rPr>
        <w:t>СНЯ</w:t>
      </w:r>
      <w:r w:rsidR="0086234F">
        <w:rPr>
          <w:rFonts w:eastAsia="Times New Roman" w:cs="Times New Roman"/>
        </w:rPr>
        <w:t>, связанного с процедурами исследования</w:t>
      </w:r>
      <w:r w:rsidR="00030BF5" w:rsidRPr="00030BF5">
        <w:rPr>
          <w:rFonts w:eastAsia="Times New Roman" w:cs="Times New Roman"/>
        </w:rPr>
        <w:t xml:space="preserve">, произошедшего после подписания пациентом Формы информированного согласия </w:t>
      </w:r>
      <w:r w:rsidRPr="009E6200">
        <w:t>на участие в исследовании и до окончания исследования (периода последующего наблюдения), вне зависимости от подозреваемых причин развития СНЯ или связи с исследуемым препаратом, необходимо сообщить о развитии СНЯ Спонсору исследования в течение 24 часов после того как исследователю стало известно о развитии СНЯ.</w:t>
      </w:r>
    </w:p>
    <w:p w14:paraId="206920B8" w14:textId="287B8A9B" w:rsidR="00E64295" w:rsidRDefault="00E64295" w:rsidP="007B46F5">
      <w:pPr>
        <w:pStyle w:val="SDText"/>
        <w:ind w:firstLine="709"/>
        <w:jc w:val="both"/>
      </w:pPr>
      <w:r w:rsidRPr="009E6200">
        <w:t>Если у пациента регистрируется серьезное нежелательное явление, расцененное исследователем как связанное с применением исследуемого препарата, отчет о нем должен быть подан даже в том случае, если исследование уже было завершено.</w:t>
      </w:r>
    </w:p>
    <w:p w14:paraId="26811B53" w14:textId="77777777" w:rsidR="00E27DD9" w:rsidRPr="009E6200" w:rsidRDefault="00E27DD9" w:rsidP="007B46F5">
      <w:pPr>
        <w:pStyle w:val="SDText"/>
        <w:ind w:firstLine="709"/>
        <w:jc w:val="both"/>
      </w:pPr>
    </w:p>
    <w:p w14:paraId="7C18F155" w14:textId="2815E5FC" w:rsidR="00E64295" w:rsidRDefault="00E64295" w:rsidP="007B46F5">
      <w:pPr>
        <w:pStyle w:val="Heading3"/>
        <w:spacing w:before="0" w:after="0" w:line="240" w:lineRule="auto"/>
        <w:ind w:left="709" w:hanging="709"/>
        <w:jc w:val="both"/>
        <w:rPr>
          <w:sz w:val="24"/>
        </w:rPr>
      </w:pPr>
      <w:bookmarkStart w:id="233" w:name="_Toc120865306"/>
      <w:r w:rsidRPr="00E27DD9">
        <w:rPr>
          <w:sz w:val="24"/>
        </w:rPr>
        <w:t>Заполнение формы отчета о серьезном нежелательном явлении</w:t>
      </w:r>
      <w:bookmarkEnd w:id="233"/>
    </w:p>
    <w:p w14:paraId="6B24AED7" w14:textId="77777777" w:rsidR="00E27DD9" w:rsidRPr="00E27DD9" w:rsidRDefault="00E27DD9" w:rsidP="007B46F5">
      <w:pPr>
        <w:pStyle w:val="SDText"/>
        <w:rPr>
          <w:lang w:eastAsia="ru-RU"/>
        </w:rPr>
      </w:pPr>
    </w:p>
    <w:p w14:paraId="63EF3673" w14:textId="77777777" w:rsidR="00E64295" w:rsidRPr="009E6200" w:rsidRDefault="00E64295" w:rsidP="007B46F5">
      <w:pPr>
        <w:pStyle w:val="SDText"/>
        <w:ind w:firstLine="709"/>
        <w:jc w:val="both"/>
      </w:pPr>
      <w:r w:rsidRPr="009E6200">
        <w:t xml:space="preserve">Сообщать о СНЯ следует посредством отправки скан-копии заполненной бумажной формы сообщения о серьезном нежелательном явлении по электронной почте на адрес </w:t>
      </w:r>
    </w:p>
    <w:p w14:paraId="6B08BB42" w14:textId="77777777" w:rsidR="00E64295" w:rsidRPr="009E6200" w:rsidRDefault="00E64295" w:rsidP="007B46F5">
      <w:pPr>
        <w:pStyle w:val="SDText"/>
        <w:jc w:val="both"/>
      </w:pPr>
      <w:r w:rsidRPr="009E6200">
        <w:t>Safety@Rpharm.ru.</w:t>
      </w:r>
    </w:p>
    <w:p w14:paraId="4904B8E1" w14:textId="77777777" w:rsidR="00E64295" w:rsidRPr="009E6200" w:rsidRDefault="00E64295" w:rsidP="007B46F5">
      <w:pPr>
        <w:pStyle w:val="SDText"/>
        <w:jc w:val="both"/>
      </w:pPr>
      <w:r w:rsidRPr="009E6200">
        <w:t>или по факсу:</w:t>
      </w:r>
    </w:p>
    <w:p w14:paraId="55356AC6" w14:textId="77777777" w:rsidR="00E64295" w:rsidRPr="009E6200" w:rsidRDefault="00E64295" w:rsidP="007B46F5">
      <w:pPr>
        <w:pStyle w:val="SDText"/>
        <w:jc w:val="both"/>
      </w:pPr>
      <w:r w:rsidRPr="009E6200">
        <w:t>+7 (495) 956-79-38</w:t>
      </w:r>
    </w:p>
    <w:p w14:paraId="7D4E225D" w14:textId="3636FF07" w:rsidR="00E64295" w:rsidRPr="009E6200" w:rsidRDefault="00E64295" w:rsidP="007B46F5">
      <w:pPr>
        <w:pStyle w:val="SDText"/>
        <w:ind w:firstLine="709"/>
        <w:jc w:val="both"/>
      </w:pPr>
      <w:r w:rsidRPr="009E6200">
        <w:t xml:space="preserve">Основным лицом для контакта по любым вопросам, касающимся безопасности препарата, является </w:t>
      </w:r>
      <w:r w:rsidR="008D57C7">
        <w:t>Директор Департамента</w:t>
      </w:r>
      <w:r w:rsidRPr="009E6200">
        <w:t xml:space="preserve"> безопасности ле</w:t>
      </w:r>
      <w:r w:rsidR="002F3FFE">
        <w:t>карственных средств АО «Р-Фарм»</w:t>
      </w:r>
      <w:r w:rsidRPr="009E6200">
        <w:t xml:space="preserve"> </w:t>
      </w:r>
      <w:r w:rsidR="002F3FFE" w:rsidRPr="001123A5">
        <w:rPr>
          <w:rFonts w:cs="Times New Roman"/>
          <w:szCs w:val="24"/>
        </w:rPr>
        <w:t>Скрипкин Алексей Юрьевич</w:t>
      </w:r>
      <w:r w:rsidRPr="009E6200">
        <w:t xml:space="preserve">. </w:t>
      </w:r>
    </w:p>
    <w:p w14:paraId="39895454" w14:textId="01DD413E" w:rsidR="00E64295" w:rsidRPr="009E6200" w:rsidRDefault="00E64295" w:rsidP="007B46F5">
      <w:pPr>
        <w:pStyle w:val="SDText"/>
        <w:jc w:val="both"/>
      </w:pPr>
      <w:r w:rsidRPr="009E6200">
        <w:t>т</w:t>
      </w:r>
      <w:r w:rsidR="002F3FFE">
        <w:t>ел.: +7 (495) 956-79-37 доб.3829</w:t>
      </w:r>
    </w:p>
    <w:p w14:paraId="6474EECF" w14:textId="77777777" w:rsidR="00E64295" w:rsidRPr="009E6200" w:rsidRDefault="00E64295" w:rsidP="007B46F5">
      <w:pPr>
        <w:pStyle w:val="SDText"/>
        <w:jc w:val="both"/>
      </w:pPr>
      <w:r w:rsidRPr="009E6200">
        <w:t xml:space="preserve">факс: +7 (495) 956-79-38 </w:t>
      </w:r>
    </w:p>
    <w:p w14:paraId="74FA624C" w14:textId="30643DFF" w:rsidR="00E64295" w:rsidRPr="009E6200" w:rsidRDefault="00E64295" w:rsidP="007B46F5">
      <w:pPr>
        <w:pStyle w:val="SDText"/>
        <w:jc w:val="both"/>
        <w:rPr>
          <w:b/>
        </w:rPr>
      </w:pPr>
      <w:r w:rsidRPr="009E6200">
        <w:t xml:space="preserve">эл. почта: </w:t>
      </w:r>
      <w:hyperlink r:id="rId22" w:history="1">
        <w:r w:rsidRPr="009E6200">
          <w:rPr>
            <w:rStyle w:val="Hyperlink"/>
          </w:rPr>
          <w:t>Safety@rpharm.ru</w:t>
        </w:r>
      </w:hyperlink>
      <w:r w:rsidRPr="009E6200">
        <w:t>.</w:t>
      </w:r>
      <w:r w:rsidRPr="009E6200">
        <w:rPr>
          <w:b/>
        </w:rPr>
        <w:t xml:space="preserve"> </w:t>
      </w:r>
    </w:p>
    <w:p w14:paraId="4499FB6A" w14:textId="41660C05" w:rsidR="00E64295" w:rsidRDefault="00E64295" w:rsidP="007B46F5">
      <w:pPr>
        <w:pStyle w:val="SDText"/>
        <w:ind w:firstLine="709"/>
        <w:jc w:val="both"/>
      </w:pPr>
      <w:r w:rsidRPr="009E6200">
        <w:t>Исследователь обязан уведомить ЛЭК о СНЯ в соответствии со стандартными операционными процедурами ЛЭК.</w:t>
      </w:r>
    </w:p>
    <w:p w14:paraId="02E7EB52" w14:textId="77777777" w:rsidR="00E27DD9" w:rsidRPr="009E6200" w:rsidRDefault="00E27DD9" w:rsidP="007B46F5">
      <w:pPr>
        <w:pStyle w:val="SDText"/>
        <w:ind w:firstLine="709"/>
        <w:jc w:val="both"/>
      </w:pPr>
    </w:p>
    <w:p w14:paraId="624EEA72" w14:textId="3C0E2CFA" w:rsidR="00E64295" w:rsidRDefault="00E64295" w:rsidP="007B46F5">
      <w:pPr>
        <w:pStyle w:val="Heading3"/>
        <w:spacing w:before="0" w:after="0" w:line="240" w:lineRule="auto"/>
        <w:ind w:left="567" w:hanging="567"/>
        <w:jc w:val="both"/>
        <w:rPr>
          <w:sz w:val="24"/>
        </w:rPr>
      </w:pPr>
      <w:bookmarkStart w:id="234" w:name="_Toc120865307"/>
      <w:r w:rsidRPr="00E27DD9">
        <w:rPr>
          <w:sz w:val="24"/>
        </w:rPr>
        <w:t>Подача отчетов о подозреваемых непредвиденных серьезных нежелательных реакциях (SUSAR)</w:t>
      </w:r>
      <w:bookmarkEnd w:id="234"/>
    </w:p>
    <w:p w14:paraId="06E04A91" w14:textId="77777777" w:rsidR="00E27DD9" w:rsidRPr="00E27DD9" w:rsidRDefault="00E27DD9" w:rsidP="007B46F5">
      <w:pPr>
        <w:pStyle w:val="SDText"/>
        <w:rPr>
          <w:lang w:eastAsia="ru-RU"/>
        </w:rPr>
      </w:pPr>
    </w:p>
    <w:p w14:paraId="0885088F" w14:textId="77777777" w:rsidR="00E64295" w:rsidRPr="009E6200" w:rsidRDefault="00E64295" w:rsidP="007B46F5">
      <w:pPr>
        <w:pStyle w:val="SDText"/>
        <w:ind w:firstLine="567"/>
        <w:jc w:val="both"/>
      </w:pPr>
      <w:r w:rsidRPr="009E6200">
        <w:t>Спонсор исследования обязан уведомить регуляторные органы обо всех подозреваемых непредвиденных серьёзных нежелательных реакциях в сроки</w:t>
      </w:r>
      <w:r w:rsidR="007B1074" w:rsidRPr="009E6200">
        <w:t>,</w:t>
      </w:r>
      <w:r w:rsidRPr="009E6200">
        <w:t xml:space="preserve"> предусмотренные законодательством. В контексте уведомления регуляторных органов и исследователей, подозреваемыми непредвиденными серьезными нежелательными реакциями будут считаться непредвиденные серьезные нежелательные явления, расцененных исследователем и/или Спонсором как связанные с исследуемым препаратом.</w:t>
      </w:r>
    </w:p>
    <w:p w14:paraId="72A61410" w14:textId="315EBB17" w:rsidR="00E64295" w:rsidRDefault="00E64295" w:rsidP="007B46F5">
      <w:pPr>
        <w:pStyle w:val="SDText"/>
        <w:jc w:val="both"/>
      </w:pPr>
      <w:r w:rsidRPr="009E6200">
        <w:t>Спонсор будет сообщать исследователям обо всех регистрируемых в ходе исследования подозреваемых непредвиденных серьезных нежелательных реакциях. В обязанность исследователя входит направление соответствующих отчетов в локальные этические комитеты медицинских учреждений.</w:t>
      </w:r>
    </w:p>
    <w:p w14:paraId="1A3C23F8" w14:textId="77777777" w:rsidR="00E27DD9" w:rsidRPr="009E6200" w:rsidRDefault="00E27DD9" w:rsidP="007B46F5">
      <w:pPr>
        <w:pStyle w:val="SDText"/>
        <w:jc w:val="both"/>
      </w:pPr>
    </w:p>
    <w:p w14:paraId="685C99E7" w14:textId="5662988C" w:rsidR="00E64295" w:rsidRDefault="00E64295" w:rsidP="007B46F5">
      <w:pPr>
        <w:pStyle w:val="Heading3"/>
        <w:spacing w:before="0" w:after="0" w:line="240" w:lineRule="auto"/>
        <w:ind w:left="567" w:hanging="578"/>
        <w:jc w:val="both"/>
        <w:rPr>
          <w:sz w:val="24"/>
        </w:rPr>
      </w:pPr>
      <w:bookmarkStart w:id="235" w:name="_Toc120865308"/>
      <w:r w:rsidRPr="00E27DD9">
        <w:rPr>
          <w:sz w:val="24"/>
        </w:rPr>
        <w:t>Подача других отчетов о безопасности лечения</w:t>
      </w:r>
      <w:bookmarkEnd w:id="235"/>
    </w:p>
    <w:p w14:paraId="1F83079B" w14:textId="77777777" w:rsidR="00E27DD9" w:rsidRPr="00E27DD9" w:rsidRDefault="00E27DD9" w:rsidP="007B46F5">
      <w:pPr>
        <w:pStyle w:val="SDText"/>
        <w:rPr>
          <w:lang w:eastAsia="ru-RU"/>
        </w:rPr>
      </w:pPr>
    </w:p>
    <w:p w14:paraId="438928EE" w14:textId="77777777" w:rsidR="00E64295" w:rsidRPr="009E6200" w:rsidRDefault="00E64295" w:rsidP="007B46F5">
      <w:pPr>
        <w:pStyle w:val="SDText"/>
        <w:ind w:firstLine="567"/>
        <w:jc w:val="both"/>
      </w:pPr>
      <w:r w:rsidRPr="009E6200">
        <w:t>Исследователи подают в локальные этические комитеты медицинских учреждений  отчеты о других аспектах безопасности лечения, подлежащих немедленному уведомлению, в том случае, если они оказывают влияние на оценку соотношения риска и пользы, связанных с проводимым лечением, или могут потребовать внесения значительных изменений в лечение, проводимое в рамках исследования, или в методологию исследования.</w:t>
      </w:r>
    </w:p>
    <w:p w14:paraId="7FF40F85" w14:textId="744E04B8" w:rsidR="00E64295" w:rsidRDefault="00E64295" w:rsidP="007B46F5">
      <w:pPr>
        <w:pStyle w:val="SDText"/>
        <w:ind w:firstLine="567"/>
        <w:jc w:val="both"/>
      </w:pPr>
      <w:r w:rsidRPr="009E6200">
        <w:t>Помимо подачи срочных отчетов, Спонсор будет ежегодно подготавливать обновляемые отчеты по безопасности разрабатываемого препарата RPH-00</w:t>
      </w:r>
      <w:r w:rsidR="004B5A84" w:rsidRPr="009E6200">
        <w:t>1</w:t>
      </w:r>
      <w:r w:rsidRPr="009E6200">
        <w:t>, содержащие всю новую релевантную информацию по безопасности, полученную за отчетный период. Резюме этих отчетов будут направляться исследователям для подачи в локальные этические комитеты медицинских учреждений один раз в год.</w:t>
      </w:r>
    </w:p>
    <w:p w14:paraId="7017EC4B" w14:textId="77777777" w:rsidR="00E27DD9" w:rsidRPr="009E6200" w:rsidRDefault="00E27DD9" w:rsidP="007B46F5">
      <w:pPr>
        <w:pStyle w:val="SDText"/>
        <w:ind w:firstLine="567"/>
        <w:jc w:val="both"/>
      </w:pPr>
    </w:p>
    <w:p w14:paraId="51045215" w14:textId="2A96D8A5" w:rsidR="00E64295" w:rsidRDefault="00E64295" w:rsidP="007B46F5">
      <w:pPr>
        <w:pStyle w:val="Heading2"/>
      </w:pPr>
      <w:bookmarkStart w:id="236" w:name="_Toc120865309"/>
      <w:r w:rsidRPr="009E6200">
        <w:t>Беременность</w:t>
      </w:r>
      <w:bookmarkEnd w:id="236"/>
    </w:p>
    <w:p w14:paraId="7801EC62" w14:textId="77777777" w:rsidR="00E27DD9" w:rsidRPr="00E27DD9" w:rsidRDefault="00E27DD9" w:rsidP="007B46F5">
      <w:pPr>
        <w:pStyle w:val="SDText"/>
        <w:rPr>
          <w:lang w:eastAsia="ru-RU"/>
        </w:rPr>
      </w:pPr>
    </w:p>
    <w:p w14:paraId="2DCDD7B5" w14:textId="77777777" w:rsidR="00E64295" w:rsidRPr="009E6200" w:rsidRDefault="00E64295" w:rsidP="007B46F5">
      <w:pPr>
        <w:pStyle w:val="SDText"/>
        <w:ind w:firstLine="709"/>
        <w:jc w:val="both"/>
      </w:pPr>
      <w:r w:rsidRPr="009E6200">
        <w:t>В случае наступления беременности у пациентки, участвующей в исследовании, необходимо немедленно прекратить применение исследуемого препарата.</w:t>
      </w:r>
    </w:p>
    <w:p w14:paraId="4CD8F9B1" w14:textId="77777777" w:rsidR="00E64295" w:rsidRPr="009E6200" w:rsidRDefault="00E64295" w:rsidP="007B46F5">
      <w:pPr>
        <w:pStyle w:val="SDText"/>
        <w:ind w:firstLine="709"/>
        <w:jc w:val="both"/>
      </w:pPr>
      <w:r w:rsidRPr="009E6200">
        <w:t>Беременность, как таковая, не является нежелательным явлением за исключением тех случаев, когда имеются основания полагать, что применение исследуемого препарата привело к снижению эффективности противозачаточных препаратов.</w:t>
      </w:r>
    </w:p>
    <w:p w14:paraId="3AEFEB52" w14:textId="77777777" w:rsidR="00E64295" w:rsidRPr="009E6200" w:rsidRDefault="00E64295" w:rsidP="007B46F5">
      <w:pPr>
        <w:pStyle w:val="SDText"/>
        <w:ind w:firstLine="709"/>
        <w:jc w:val="both"/>
      </w:pPr>
      <w:r w:rsidRPr="009E6200">
        <w:t>Информацию о беременности пациенток или половых партнерш пациентов, участвующих в исследовании, регистрируют с момента подписания Формы информированного согласия и до окончания исследования.</w:t>
      </w:r>
    </w:p>
    <w:p w14:paraId="21237179" w14:textId="77777777" w:rsidR="00E64295" w:rsidRPr="009E6200" w:rsidRDefault="00E64295" w:rsidP="007B46F5">
      <w:pPr>
        <w:pStyle w:val="SDText"/>
        <w:ind w:firstLine="709"/>
        <w:jc w:val="both"/>
      </w:pPr>
      <w:r w:rsidRPr="009E6200">
        <w:t>Пациентам мужского пола будут даны инструкции в Информационном листке и Форме информированного согласия о немедленном сообщении врачу-исследователю, если у партнерши пациента наступает беременность во время лечения исследуемым препаратом или в течение 100 дней после последней дозы исследуемого препарата. Беременная партнерша пациента должна получить Информационный листок и подписать Форму информированного согласия для наблюдения за беременностью и ребенком.</w:t>
      </w:r>
    </w:p>
    <w:p w14:paraId="67C4E9C6" w14:textId="77777777" w:rsidR="00E64295" w:rsidRPr="009E6200" w:rsidRDefault="00E64295" w:rsidP="007B46F5">
      <w:pPr>
        <w:pStyle w:val="SDText"/>
        <w:ind w:firstLine="709"/>
        <w:jc w:val="both"/>
      </w:pPr>
      <w:r w:rsidRPr="009E6200">
        <w:t>При выявлении беременности пациенток или половых партнерш пациентов, участвующих в исследовании, необходимо сообщить об этом спонсору посредством заполнения стандартной формы «Отчет о беременности». Сообщение о беременности должно быть заполнено уполномоченным сотрудником исследовательского центра в течение 24 часов с момента получения информации о наличии беременности. Сообщать о случаях беременности следует посредством отправки скан-копии заполненной бумажной формы сообщения о беременности по электронной почте на адрес Safety@Rpharm.ru.</w:t>
      </w:r>
    </w:p>
    <w:p w14:paraId="08494153" w14:textId="0FE45A32" w:rsidR="00E64295" w:rsidRPr="009E6200" w:rsidRDefault="00E64295" w:rsidP="007B46F5">
      <w:pPr>
        <w:pStyle w:val="SDText"/>
        <w:ind w:firstLine="709"/>
        <w:jc w:val="both"/>
      </w:pPr>
      <w:r w:rsidRPr="009E6200">
        <w:t>Сбор информации по течению беременности</w:t>
      </w:r>
      <w:r w:rsidR="005E05B8">
        <w:t xml:space="preserve"> (как для участниц исследования, так и для половых партнерш участников исследования)</w:t>
      </w:r>
      <w:r w:rsidRPr="009E6200">
        <w:t xml:space="preserve"> должен продолжаться до завершения беременности. После завершения беременности необходимо сообщить спонсору об исходе беременности (самопроизвольный аборт, элективный аборт, рождение нормального ребенка или ребенка с врожденными аномалиями или пороками развития). </w:t>
      </w:r>
      <w:r w:rsidR="00030BF5" w:rsidRPr="00030BF5">
        <w:rPr>
          <w:rFonts w:eastAsia="Times New Roman" w:cs="Times New Roman"/>
        </w:rPr>
        <w:t>По возможности, следует отслеживать состояние здоровья ребенка до достижения им 1 года.</w:t>
      </w:r>
    </w:p>
    <w:p w14:paraId="7D5BD24F" w14:textId="77777777" w:rsidR="00E64295" w:rsidRPr="009E6200" w:rsidRDefault="00E64295" w:rsidP="007B46F5">
      <w:pPr>
        <w:pStyle w:val="SDText"/>
        <w:jc w:val="both"/>
      </w:pPr>
      <w:r w:rsidRPr="009E6200">
        <w:t>Любые осложнения беременности у пациенток должны регистрироваться как НЯ или СНЯ в зависимости от наличия критериев серьёзности.</w:t>
      </w:r>
    </w:p>
    <w:p w14:paraId="46A013A4" w14:textId="77777777" w:rsidR="00E64295" w:rsidRPr="009E6200" w:rsidRDefault="00E64295" w:rsidP="007B46F5">
      <w:pPr>
        <w:pStyle w:val="SDText"/>
        <w:ind w:firstLine="709"/>
        <w:jc w:val="both"/>
      </w:pPr>
      <w:r w:rsidRPr="009E6200">
        <w:t xml:space="preserve">Врожденные аномалии и пороки развития у детей пациентов являются СНЯ. </w:t>
      </w:r>
    </w:p>
    <w:p w14:paraId="061E46A2" w14:textId="77777777" w:rsidR="00E64295" w:rsidRPr="009E6200" w:rsidRDefault="00E64295" w:rsidP="007B46F5">
      <w:pPr>
        <w:pStyle w:val="SDText"/>
        <w:ind w:firstLine="709"/>
        <w:jc w:val="both"/>
      </w:pPr>
      <w:r w:rsidRPr="009E6200">
        <w:t>Самопроизвольные аборты у пациенток должны регистрироваться как СНЯ. Плановые аборты, выполненные по желанию женщины без наличия медицинских показаний для аборта и проходящие без осложнений, не являются нежелательными явлениями.</w:t>
      </w:r>
    </w:p>
    <w:p w14:paraId="52887657" w14:textId="77777777" w:rsidR="00E64295" w:rsidRPr="009E6200" w:rsidRDefault="00E64295" w:rsidP="007B46F5">
      <w:pPr>
        <w:pStyle w:val="SDText"/>
        <w:ind w:firstLine="709"/>
        <w:jc w:val="both"/>
      </w:pPr>
      <w:r w:rsidRPr="009E6200">
        <w:t>Все случаи беременности половых партнерш пациентов, отмеченные в ходе исследования, должны быть соответствующим образом зарегистрированы. В этом случае беременная партнерша пациента будет приглашена в исследовательский центр. Ей будет предоставлена вся необходимая информация об имеющихся рисках, а также будет предложено участие в наблюдении за ее беременностью и предоставлен для ознакомления ФИС «Информационный листок по наблюдению за беременностью для беременных партнерш участников исследования». При принятии положительного решения об участии в наблюдении за беременностью, беременную партнершу попросят подписать два экземпляра ФИС с последующим предоставлением ей одного экземпляра ФИС. При подтверждении беременности исследователь должен уведомить уполномоченного по фармаконадзору компании Спонсора в форме отчета о наступлении беременности. Затем исследователь должен направить компании Спонсору информацию об исходе беременности. Беременность половых партнерш пациентов регистрируется с момента первого приема исследуемого препарата и в течение 100 дней с момента последнего введения исследуемого препарата.</w:t>
      </w:r>
    </w:p>
    <w:p w14:paraId="5830B801" w14:textId="2AAB57A7" w:rsidR="00E64295" w:rsidRPr="009E6200" w:rsidRDefault="00030BF5" w:rsidP="007B46F5">
      <w:pPr>
        <w:pStyle w:val="SDText"/>
        <w:ind w:firstLine="709"/>
        <w:jc w:val="both"/>
      </w:pPr>
      <w:r w:rsidRPr="00030BF5">
        <w:rPr>
          <w:rFonts w:eastAsia="Times New Roman" w:cs="Times New Roman"/>
        </w:rPr>
        <w:t xml:space="preserve">Исход каждого случая беременности </w:t>
      </w:r>
      <w:r w:rsidR="005E05B8">
        <w:t>как для участниц исследования, так и для половых партнерш участников исследования</w:t>
      </w:r>
      <w:r w:rsidR="005E05B8" w:rsidRPr="00030BF5">
        <w:rPr>
          <w:rFonts w:eastAsia="Times New Roman" w:cs="Times New Roman"/>
        </w:rPr>
        <w:t xml:space="preserve"> </w:t>
      </w:r>
      <w:r w:rsidRPr="00030BF5">
        <w:rPr>
          <w:rFonts w:eastAsia="Times New Roman" w:cs="Times New Roman"/>
        </w:rPr>
        <w:t>(самопроизвольный аборт, элективный аборт, рождение нормального ребенка или ребенка с врожденными аномалиями или пороками развития) должен быть зарегистрирован и сообщен Спонсору.</w:t>
      </w:r>
    </w:p>
    <w:p w14:paraId="260CEF4D" w14:textId="77777777" w:rsidR="00E27DD9" w:rsidRDefault="00E27DD9" w:rsidP="007B46F5">
      <w:pPr>
        <w:pStyle w:val="SDText"/>
        <w:jc w:val="both"/>
        <w:rPr>
          <w:b/>
        </w:rPr>
      </w:pPr>
    </w:p>
    <w:p w14:paraId="600FD461" w14:textId="455697DE" w:rsidR="00E64295" w:rsidRPr="009E6200" w:rsidRDefault="00E64295" w:rsidP="007B46F5">
      <w:pPr>
        <w:pStyle w:val="SDText"/>
        <w:jc w:val="both"/>
        <w:rPr>
          <w:b/>
        </w:rPr>
      </w:pPr>
      <w:r w:rsidRPr="009E6200">
        <w:rPr>
          <w:b/>
        </w:rPr>
        <w:t>Действия при чрезвычайных ситуациях</w:t>
      </w:r>
    </w:p>
    <w:p w14:paraId="20B04C28" w14:textId="77777777" w:rsidR="00E27DD9" w:rsidRDefault="00E27DD9" w:rsidP="007B46F5">
      <w:pPr>
        <w:pStyle w:val="SDText"/>
        <w:jc w:val="both"/>
      </w:pPr>
    </w:p>
    <w:p w14:paraId="5A537B28" w14:textId="73650E33" w:rsidR="00E64295" w:rsidRDefault="00E64295" w:rsidP="007B46F5">
      <w:pPr>
        <w:pStyle w:val="SDText"/>
        <w:ind w:firstLine="709"/>
        <w:jc w:val="both"/>
      </w:pPr>
      <w:r w:rsidRPr="009E6200">
        <w:t>В исследовательском центре должно иметься соответствующее оборудование и препараты, необходимые для оказания экстренной медицинской помощи. Их применение (которое может потребоваться в маловероятных случаях) должно быть зарегистрировано в ИРК.</w:t>
      </w:r>
    </w:p>
    <w:p w14:paraId="06DE9D23" w14:textId="77777777" w:rsidR="00E27DD9" w:rsidRPr="009E6200" w:rsidRDefault="00E27DD9" w:rsidP="007B46F5">
      <w:pPr>
        <w:pStyle w:val="SDText"/>
        <w:ind w:firstLine="709"/>
        <w:jc w:val="both"/>
      </w:pPr>
    </w:p>
    <w:p w14:paraId="4FA89947" w14:textId="5742AA45" w:rsidR="00E64295" w:rsidRDefault="00E64295" w:rsidP="007B46F5">
      <w:pPr>
        <w:pStyle w:val="Heading2"/>
      </w:pPr>
      <w:bookmarkStart w:id="237" w:name="_Toc120865310"/>
      <w:r w:rsidRPr="009E6200">
        <w:t>Последующее наблюдение за нежелательными явлениями</w:t>
      </w:r>
      <w:bookmarkEnd w:id="237"/>
    </w:p>
    <w:p w14:paraId="338AED96" w14:textId="77777777" w:rsidR="00E27DD9" w:rsidRPr="00E27DD9" w:rsidRDefault="00E27DD9" w:rsidP="007B46F5">
      <w:pPr>
        <w:pStyle w:val="SDText"/>
        <w:rPr>
          <w:lang w:eastAsia="ru-RU"/>
        </w:rPr>
      </w:pPr>
    </w:p>
    <w:p w14:paraId="120D1A47" w14:textId="77777777" w:rsidR="00E64295" w:rsidRPr="009E6200" w:rsidRDefault="00E64295" w:rsidP="007B46F5">
      <w:pPr>
        <w:pStyle w:val="SDText"/>
        <w:ind w:firstLine="432"/>
        <w:jc w:val="both"/>
      </w:pPr>
      <w:r w:rsidRPr="009E6200">
        <w:t>Все НЯ наблюдают до их разрешения или стабилизации.</w:t>
      </w:r>
      <w:bookmarkEnd w:id="226"/>
    </w:p>
    <w:p w14:paraId="1BB5D556" w14:textId="77777777" w:rsidR="00F9627A" w:rsidRPr="009E6200" w:rsidRDefault="00F9627A" w:rsidP="007B46F5">
      <w:pPr>
        <w:pStyle w:val="SDText"/>
        <w:jc w:val="both"/>
        <w:rPr>
          <w:lang w:eastAsia="ru-RU"/>
        </w:rPr>
      </w:pPr>
    </w:p>
    <w:p w14:paraId="29C5F8EB" w14:textId="77777777" w:rsidR="007E2E51" w:rsidRPr="009E6200" w:rsidRDefault="007E2E51" w:rsidP="007B46F5">
      <w:pPr>
        <w:jc w:val="both"/>
        <w:rPr>
          <w:rFonts w:eastAsiaTheme="majorEastAsia" w:cstheme="majorBidi"/>
          <w:b/>
          <w:sz w:val="32"/>
          <w:szCs w:val="32"/>
        </w:rPr>
      </w:pPr>
      <w:bookmarkStart w:id="238" w:name="_Toc496999309"/>
      <w:bookmarkStart w:id="239" w:name="_Toc523731623"/>
      <w:r w:rsidRPr="009E6200">
        <w:br w:type="page"/>
      </w:r>
    </w:p>
    <w:p w14:paraId="2AEB1D73" w14:textId="7EAFA02D" w:rsidR="00FC0B23" w:rsidRPr="00992857" w:rsidRDefault="00FC0B23" w:rsidP="007B46F5">
      <w:pPr>
        <w:pStyle w:val="Heading1"/>
        <w:spacing w:before="0" w:after="0" w:line="240" w:lineRule="auto"/>
        <w:jc w:val="both"/>
        <w:rPr>
          <w:color w:val="auto"/>
          <w:sz w:val="28"/>
          <w:szCs w:val="28"/>
        </w:rPr>
      </w:pPr>
      <w:bookmarkStart w:id="240" w:name="_Toc120865311"/>
      <w:r w:rsidRPr="00992857">
        <w:rPr>
          <w:color w:val="auto"/>
          <w:sz w:val="28"/>
          <w:szCs w:val="28"/>
        </w:rPr>
        <w:t>Описание статистических методов</w:t>
      </w:r>
      <w:bookmarkEnd w:id="238"/>
      <w:bookmarkEnd w:id="239"/>
      <w:bookmarkEnd w:id="240"/>
    </w:p>
    <w:p w14:paraId="32A0C96C" w14:textId="77777777" w:rsidR="00E27DD9" w:rsidRPr="00CC556B" w:rsidRDefault="00E27DD9" w:rsidP="007B46F5"/>
    <w:p w14:paraId="18D58299" w14:textId="1BA721D7" w:rsidR="00B46492" w:rsidRDefault="00B46492" w:rsidP="007B46F5">
      <w:pPr>
        <w:pStyle w:val="Heading2"/>
      </w:pPr>
      <w:bookmarkStart w:id="241" w:name="_Toc496906334"/>
      <w:bookmarkStart w:id="242" w:name="_Toc496999310"/>
      <w:bookmarkStart w:id="243" w:name="_Toc523731624"/>
      <w:bookmarkStart w:id="244" w:name="_Toc11938956"/>
      <w:bookmarkStart w:id="245" w:name="_Toc120865312"/>
      <w:bookmarkStart w:id="246" w:name="_Toc461617318"/>
      <w:bookmarkStart w:id="247" w:name="_Toc473292997"/>
      <w:bookmarkStart w:id="248" w:name="_Toc496906338"/>
      <w:bookmarkStart w:id="249" w:name="_Toc496999314"/>
      <w:bookmarkStart w:id="250" w:name="_Toc523731628"/>
      <w:r w:rsidRPr="009E6200">
        <w:t>Описание методов анализа</w:t>
      </w:r>
      <w:bookmarkEnd w:id="241"/>
      <w:bookmarkEnd w:id="242"/>
      <w:bookmarkEnd w:id="243"/>
      <w:bookmarkEnd w:id="244"/>
      <w:bookmarkEnd w:id="245"/>
    </w:p>
    <w:p w14:paraId="75C9E61B" w14:textId="77777777" w:rsidR="00E27DD9" w:rsidRPr="00E27DD9" w:rsidRDefault="00E27DD9" w:rsidP="007B46F5">
      <w:pPr>
        <w:pStyle w:val="SDText"/>
        <w:rPr>
          <w:lang w:eastAsia="ru-RU"/>
        </w:rPr>
      </w:pPr>
    </w:p>
    <w:p w14:paraId="51FFD570" w14:textId="77777777" w:rsidR="00B46492" w:rsidRPr="009E6200" w:rsidRDefault="00B46492" w:rsidP="007B46F5">
      <w:pPr>
        <w:pStyle w:val="a2"/>
        <w:spacing w:before="0" w:after="0" w:line="240" w:lineRule="auto"/>
        <w:ind w:firstLine="709"/>
      </w:pPr>
      <w:r w:rsidRPr="009E6200">
        <w:t>Статистический анализ будет проводиться с помощью специализированного программного обеспечения, выбор которого будет осуществлен на этапе подготовки плана статистического анализа.</w:t>
      </w:r>
    </w:p>
    <w:p w14:paraId="5EAC09D2" w14:textId="77777777" w:rsidR="00B46492" w:rsidRPr="009E6200" w:rsidRDefault="00B46492" w:rsidP="007B46F5">
      <w:pPr>
        <w:pStyle w:val="a2"/>
        <w:spacing w:before="0" w:after="0" w:line="240" w:lineRule="auto"/>
        <w:ind w:firstLine="709"/>
      </w:pPr>
      <w:r w:rsidRPr="009E6200">
        <w:t>Непрерывные (количественные) данные будут представлены с помощью количества наблюдений, среднего арифметического, 95</w:t>
      </w:r>
      <w:r w:rsidRPr="009E6200">
        <w:rPr>
          <w:lang w:val="en-US"/>
        </w:rPr>
        <w:t> </w:t>
      </w:r>
      <w:r w:rsidRPr="009E6200">
        <w:t>% доверительного интервала (ДИ) для среднего, стандартного (среднеквадратического) отклонения, медианы, межквартильного размаха (25-го и 75-го центили), минимума и максимума.</w:t>
      </w:r>
    </w:p>
    <w:p w14:paraId="090198DB" w14:textId="77777777" w:rsidR="00B46492" w:rsidRPr="009E6200" w:rsidRDefault="00B46492" w:rsidP="007B46F5">
      <w:pPr>
        <w:pStyle w:val="a2"/>
        <w:spacing w:before="0" w:after="0" w:line="240" w:lineRule="auto"/>
        <w:ind w:firstLine="709"/>
      </w:pPr>
      <w:r w:rsidRPr="009E6200">
        <w:t>Качественные данные (порядковые, номинальные) будут представлены с помощью абсолютных частот (количества наблюдений), относительных частот (процентов) и 95</w:t>
      </w:r>
      <w:r w:rsidRPr="009E6200">
        <w:rPr>
          <w:lang w:val="en-US"/>
        </w:rPr>
        <w:t> </w:t>
      </w:r>
      <w:r w:rsidRPr="009E6200">
        <w:t>% ДИ.</w:t>
      </w:r>
    </w:p>
    <w:p w14:paraId="1D51BBB0" w14:textId="77777777" w:rsidR="00B46492" w:rsidRPr="009E6200" w:rsidRDefault="00B46492" w:rsidP="007B46F5">
      <w:pPr>
        <w:pStyle w:val="a2"/>
        <w:spacing w:before="0" w:after="0" w:line="240" w:lineRule="auto"/>
        <w:ind w:firstLine="709"/>
      </w:pPr>
      <w:r w:rsidRPr="009E6200">
        <w:t>Если иное не указано в плане статистического анализа, статистические тесты будут двусторонними с 5</w:t>
      </w:r>
      <w:r w:rsidRPr="009E6200">
        <w:rPr>
          <w:lang w:val="en-US"/>
        </w:rPr>
        <w:t> </w:t>
      </w:r>
      <w:r w:rsidRPr="009E6200">
        <w:t>% уровнем достоверности.</w:t>
      </w:r>
    </w:p>
    <w:p w14:paraId="639A1644" w14:textId="77777777" w:rsidR="00B46492" w:rsidRPr="009E6200" w:rsidRDefault="00B46492" w:rsidP="007B46F5">
      <w:pPr>
        <w:pStyle w:val="a2"/>
        <w:spacing w:before="0" w:after="0" w:line="240" w:lineRule="auto"/>
        <w:ind w:firstLine="709"/>
      </w:pPr>
      <w:r w:rsidRPr="009E6200">
        <w:t xml:space="preserve">Анамнез, сопутствующие заболевания и НЯ будут кодироваться с помощью </w:t>
      </w:r>
      <w:r w:rsidR="007F2A1F" w:rsidRPr="009E6200">
        <w:t>классификатора</w:t>
      </w:r>
      <w:r w:rsidRPr="009E6200">
        <w:t xml:space="preserve"> </w:t>
      </w:r>
      <w:r w:rsidRPr="009E6200">
        <w:rPr>
          <w:lang w:val="en-US"/>
        </w:rPr>
        <w:t>MedDRA</w:t>
      </w:r>
      <w:r w:rsidRPr="009E6200">
        <w:t xml:space="preserve"> (русская версия не ниже 2</w:t>
      </w:r>
      <w:r w:rsidR="000547AA" w:rsidRPr="009E6200">
        <w:t>3</w:t>
      </w:r>
      <w:r w:rsidRPr="009E6200">
        <w:t xml:space="preserve">.0, соответствующая текущему классификатору Медицинского словаря нормативно-правовой деятельности). Сопутствующая и предшествующая терапия будут кодироваться с помощью классификатора </w:t>
      </w:r>
      <w:r w:rsidRPr="009E6200">
        <w:rPr>
          <w:lang w:val="en-US"/>
        </w:rPr>
        <w:t>AT</w:t>
      </w:r>
      <w:r w:rsidRPr="009E6200">
        <w:t>Х.</w:t>
      </w:r>
    </w:p>
    <w:p w14:paraId="29552BE9" w14:textId="5524C3A0" w:rsidR="00A94B5D" w:rsidRPr="009E6200" w:rsidRDefault="00A94B5D" w:rsidP="007B46F5">
      <w:pPr>
        <w:pStyle w:val="a2"/>
        <w:spacing w:before="0" w:after="0" w:line="240" w:lineRule="auto"/>
        <w:ind w:firstLine="709"/>
      </w:pPr>
      <w:r w:rsidRPr="009E6200">
        <w:t xml:space="preserve">Основная </w:t>
      </w:r>
      <w:r w:rsidR="002647CF" w:rsidRPr="009E6200">
        <w:t xml:space="preserve">часть </w:t>
      </w:r>
      <w:r w:rsidRPr="009E6200">
        <w:t xml:space="preserve">исследования и продленная </w:t>
      </w:r>
      <w:r w:rsidR="002647CF" w:rsidRPr="009E6200">
        <w:t xml:space="preserve">часть </w:t>
      </w:r>
      <w:r w:rsidRPr="009E6200">
        <w:t>исследования будут рассматриваться со статистической точки зрения как два раздельных этапа</w:t>
      </w:r>
      <w:r w:rsidR="00E1360F" w:rsidRPr="009E6200">
        <w:t xml:space="preserve">, при этом в основной </w:t>
      </w:r>
      <w:r w:rsidR="002647CF" w:rsidRPr="009E6200">
        <w:t xml:space="preserve">части </w:t>
      </w:r>
      <w:r w:rsidR="00E1360F" w:rsidRPr="009E6200">
        <w:t>исследования будет проводиться</w:t>
      </w:r>
      <w:r w:rsidR="009250E2" w:rsidRPr="009E6200">
        <w:t xml:space="preserve"> основной</w:t>
      </w:r>
      <w:r w:rsidR="00E1360F" w:rsidRPr="009E6200">
        <w:t xml:space="preserve"> анализ безопасности и эффективности (включая промежуточный анализ эффективности), </w:t>
      </w:r>
      <w:r w:rsidR="006C3C48" w:rsidRPr="009E6200">
        <w:t xml:space="preserve">в продленной </w:t>
      </w:r>
      <w:r w:rsidR="002647CF" w:rsidRPr="009E6200">
        <w:t xml:space="preserve">части </w:t>
      </w:r>
      <w:r w:rsidR="006C3C48" w:rsidRPr="009E6200">
        <w:t>–</w:t>
      </w:r>
      <w:r w:rsidR="009250E2" w:rsidRPr="009E6200">
        <w:t xml:space="preserve"> дополнительный</w:t>
      </w:r>
      <w:r w:rsidR="006C3C48" w:rsidRPr="009E6200">
        <w:t xml:space="preserve"> анализ безопасности </w:t>
      </w:r>
      <w:r w:rsidR="009250E2" w:rsidRPr="009E6200">
        <w:t>и эффективности.</w:t>
      </w:r>
    </w:p>
    <w:p w14:paraId="43825120" w14:textId="597A17F5" w:rsidR="00B46492" w:rsidRDefault="00B46492" w:rsidP="007B46F5">
      <w:pPr>
        <w:pStyle w:val="a2"/>
        <w:spacing w:before="0" w:after="0" w:line="240" w:lineRule="auto"/>
        <w:ind w:firstLine="284"/>
      </w:pPr>
      <w:r w:rsidRPr="009E6200">
        <w:t>В данном разделе кратко описывается запланированный анализ. Полный анализ будет описан в плане статистического анализа.</w:t>
      </w:r>
    </w:p>
    <w:p w14:paraId="3BF5F0A4" w14:textId="77777777" w:rsidR="00E27DD9" w:rsidRPr="009E6200" w:rsidRDefault="00E27DD9" w:rsidP="007B46F5">
      <w:pPr>
        <w:pStyle w:val="a2"/>
        <w:spacing w:before="0" w:after="0" w:line="240" w:lineRule="auto"/>
        <w:ind w:firstLine="284"/>
      </w:pPr>
    </w:p>
    <w:p w14:paraId="796F1D66" w14:textId="6E9F9F73" w:rsidR="00B46492" w:rsidRDefault="00B46492" w:rsidP="007B46F5">
      <w:pPr>
        <w:pStyle w:val="Heading3"/>
        <w:spacing w:before="0" w:after="0" w:line="240" w:lineRule="auto"/>
        <w:ind w:left="567" w:hanging="567"/>
        <w:jc w:val="both"/>
        <w:rPr>
          <w:rFonts w:cs="Times New Roman"/>
          <w:color w:val="auto"/>
          <w:sz w:val="24"/>
        </w:rPr>
      </w:pPr>
      <w:bookmarkStart w:id="251" w:name="_Toc461617315"/>
      <w:bookmarkStart w:id="252" w:name="_Toc473292994"/>
      <w:bookmarkStart w:id="253" w:name="_Toc496906335"/>
      <w:bookmarkStart w:id="254" w:name="_Toc496999311"/>
      <w:bookmarkStart w:id="255" w:name="_Toc523731625"/>
      <w:bookmarkStart w:id="256" w:name="_Toc11938957"/>
      <w:bookmarkStart w:id="257" w:name="_Toc120865313"/>
      <w:r w:rsidRPr="00E27DD9">
        <w:rPr>
          <w:rFonts w:cs="Times New Roman"/>
          <w:color w:val="auto"/>
          <w:sz w:val="24"/>
        </w:rPr>
        <w:t>Демографические и иные исходные данные (сопоставимость групп для анализа)</w:t>
      </w:r>
      <w:bookmarkEnd w:id="251"/>
      <w:bookmarkEnd w:id="252"/>
      <w:bookmarkEnd w:id="253"/>
      <w:bookmarkEnd w:id="254"/>
      <w:bookmarkEnd w:id="255"/>
      <w:bookmarkEnd w:id="256"/>
      <w:bookmarkEnd w:id="257"/>
    </w:p>
    <w:p w14:paraId="7CB4EECB" w14:textId="77777777" w:rsidR="00E27DD9" w:rsidRPr="00E27DD9" w:rsidRDefault="00E27DD9" w:rsidP="007B46F5">
      <w:pPr>
        <w:pStyle w:val="SDText"/>
        <w:rPr>
          <w:lang w:eastAsia="ru-RU"/>
        </w:rPr>
      </w:pPr>
    </w:p>
    <w:p w14:paraId="36C7DE06" w14:textId="4C11A04C" w:rsidR="00B46492" w:rsidRDefault="00B46492" w:rsidP="007B46F5">
      <w:pPr>
        <w:pStyle w:val="a2"/>
        <w:spacing w:before="0" w:after="0" w:line="240" w:lineRule="auto"/>
        <w:ind w:firstLine="284"/>
      </w:pPr>
      <w:r w:rsidRPr="009E6200">
        <w:t xml:space="preserve">Демографические характеристики, характеристики исходного уровня и последующего наблюдения, такие как анамнез, сопутствующие заболевания (классифицированные по </w:t>
      </w:r>
      <w:r w:rsidRPr="009E6200">
        <w:rPr>
          <w:lang w:val="en-US"/>
        </w:rPr>
        <w:t>MedDRA</w:t>
      </w:r>
      <w:r w:rsidRPr="009E6200">
        <w:t xml:space="preserve">) и сопутствующие препараты будут описываться по группам лечения для популяции ITT </w:t>
      </w:r>
      <w:r w:rsidR="00620D61">
        <w:t>(Intention-to-Treat)</w:t>
      </w:r>
      <w:r w:rsidR="00992857">
        <w:t xml:space="preserve"> </w:t>
      </w:r>
      <w:r w:rsidRPr="009E6200">
        <w:t>и затем safety, если они отличаются.</w:t>
      </w:r>
    </w:p>
    <w:p w14:paraId="7545B26B" w14:textId="77777777" w:rsidR="00E27DD9" w:rsidRPr="009E6200" w:rsidRDefault="00E27DD9" w:rsidP="007B46F5">
      <w:pPr>
        <w:pStyle w:val="a2"/>
        <w:spacing w:before="0" w:after="0" w:line="240" w:lineRule="auto"/>
        <w:ind w:firstLine="284"/>
      </w:pPr>
    </w:p>
    <w:p w14:paraId="2C9D4B59" w14:textId="36CD446C" w:rsidR="00B46492" w:rsidRPr="00E27DD9" w:rsidRDefault="00B46492" w:rsidP="007B46F5">
      <w:pPr>
        <w:pStyle w:val="Heading3"/>
        <w:spacing w:before="0" w:after="0" w:line="240" w:lineRule="auto"/>
        <w:ind w:left="567" w:hanging="567"/>
        <w:jc w:val="both"/>
        <w:rPr>
          <w:rFonts w:cs="Times New Roman"/>
          <w:color w:val="auto"/>
          <w:sz w:val="24"/>
        </w:rPr>
      </w:pPr>
      <w:bookmarkStart w:id="258" w:name="_Toc461617316"/>
      <w:bookmarkStart w:id="259" w:name="_Toc473292995"/>
      <w:bookmarkStart w:id="260" w:name="_Toc496906336"/>
      <w:bookmarkStart w:id="261" w:name="_Toc496999312"/>
      <w:bookmarkStart w:id="262" w:name="_Toc523731626"/>
      <w:bookmarkStart w:id="263" w:name="_Toc11938958"/>
      <w:bookmarkStart w:id="264" w:name="_Toc120865314"/>
      <w:r w:rsidRPr="00E27DD9">
        <w:rPr>
          <w:rFonts w:cs="Times New Roman"/>
          <w:color w:val="auto"/>
          <w:sz w:val="24"/>
        </w:rPr>
        <w:t>Анализ первичного параметра эффективности</w:t>
      </w:r>
      <w:bookmarkEnd w:id="258"/>
      <w:bookmarkEnd w:id="259"/>
      <w:bookmarkEnd w:id="260"/>
      <w:bookmarkEnd w:id="261"/>
      <w:bookmarkEnd w:id="262"/>
      <w:bookmarkEnd w:id="263"/>
      <w:bookmarkEnd w:id="264"/>
    </w:p>
    <w:p w14:paraId="7BC6B6C7" w14:textId="77777777" w:rsidR="00E27DD9" w:rsidRPr="00E27DD9" w:rsidRDefault="00E27DD9" w:rsidP="007B46F5">
      <w:pPr>
        <w:pStyle w:val="SDText"/>
        <w:rPr>
          <w:lang w:eastAsia="ru-RU"/>
        </w:rPr>
      </w:pPr>
    </w:p>
    <w:p w14:paraId="7D4C0FFF" w14:textId="0D45867F" w:rsidR="00404F1F" w:rsidRPr="009E6200" w:rsidRDefault="00404F1F" w:rsidP="007B46F5">
      <w:pPr>
        <w:pStyle w:val="SDText"/>
        <w:ind w:firstLine="567"/>
        <w:jc w:val="both"/>
      </w:pPr>
      <w:r w:rsidRPr="009E6200">
        <w:t>Анализ первичного параметра эффективности будет проводиться в рамках основного анализа</w:t>
      </w:r>
      <w:r w:rsidR="00906A8B" w:rsidRPr="009E6200">
        <w:t>.</w:t>
      </w:r>
    </w:p>
    <w:p w14:paraId="29604D88" w14:textId="1AC11B96" w:rsidR="001327EB" w:rsidRPr="009E6200" w:rsidRDefault="00B46492" w:rsidP="007B46F5">
      <w:pPr>
        <w:pStyle w:val="SDText"/>
        <w:ind w:firstLine="567"/>
        <w:jc w:val="both"/>
        <w:rPr>
          <w:szCs w:val="24"/>
        </w:rPr>
      </w:pPr>
      <w:r w:rsidRPr="009E6200">
        <w:t xml:space="preserve">В настоящем исследовании первичной конечной точкой эффективности </w:t>
      </w:r>
      <w:r w:rsidRPr="009E6200">
        <w:rPr>
          <w:szCs w:val="24"/>
        </w:rPr>
        <w:t>выбран</w:t>
      </w:r>
      <w:r w:rsidR="001327EB" w:rsidRPr="009E6200">
        <w:rPr>
          <w:szCs w:val="24"/>
        </w:rPr>
        <w:t>а частота объективного ответа через 6 месяцев, выраженная в виде отношения долей (относительного риска)</w:t>
      </w:r>
      <w:r w:rsidR="00DE7539" w:rsidRPr="009E6200">
        <w:rPr>
          <w:szCs w:val="24"/>
        </w:rPr>
        <w:t>.</w:t>
      </w:r>
    </w:p>
    <w:p w14:paraId="6E8B16B9" w14:textId="77777777" w:rsidR="00DE7539" w:rsidRPr="009E6200" w:rsidRDefault="00DE7539" w:rsidP="007B46F5">
      <w:pPr>
        <w:pStyle w:val="SDText"/>
        <w:ind w:firstLine="567"/>
        <w:jc w:val="both"/>
        <w:rPr>
          <w:rFonts w:cs="Times New Roman"/>
          <w:lang w:eastAsia="ru-RU"/>
        </w:rPr>
      </w:pPr>
      <w:r w:rsidRPr="009E6200">
        <w:rPr>
          <w:szCs w:val="24"/>
        </w:rPr>
        <w:t>Для анализа первич</w:t>
      </w:r>
      <w:r w:rsidR="006C3B76" w:rsidRPr="009E6200">
        <w:rPr>
          <w:szCs w:val="24"/>
        </w:rPr>
        <w:t xml:space="preserve">ного параметра эффективности будет применяться байесовский подход к оценке относительного риска, основанный на публикации </w:t>
      </w:r>
      <w:r w:rsidR="006C3B76" w:rsidRPr="009E6200">
        <w:rPr>
          <w:rFonts w:cs="Times New Roman"/>
          <w:lang w:val="en-US" w:eastAsia="ru-RU"/>
        </w:rPr>
        <w:t>Weiss</w:t>
      </w:r>
      <w:r w:rsidR="006C3B76" w:rsidRPr="009E6200">
        <w:rPr>
          <w:rFonts w:cs="Times New Roman"/>
          <w:lang w:eastAsia="ru-RU"/>
        </w:rPr>
        <w:t xml:space="preserve"> </w:t>
      </w:r>
      <w:r w:rsidR="006C3B76" w:rsidRPr="009E6200">
        <w:rPr>
          <w:rFonts w:cs="Times New Roman"/>
          <w:lang w:val="en-US" w:eastAsia="ru-RU"/>
        </w:rPr>
        <w:t>et</w:t>
      </w:r>
      <w:r w:rsidR="006C3B76" w:rsidRPr="009E6200">
        <w:rPr>
          <w:rFonts w:cs="Times New Roman"/>
          <w:lang w:eastAsia="ru-RU"/>
        </w:rPr>
        <w:t xml:space="preserve"> </w:t>
      </w:r>
      <w:r w:rsidR="006C3B76" w:rsidRPr="009E6200">
        <w:rPr>
          <w:rFonts w:cs="Times New Roman"/>
          <w:lang w:val="en-US" w:eastAsia="ru-RU"/>
        </w:rPr>
        <w:t>al</w:t>
      </w:r>
      <w:r w:rsidR="006C3B76" w:rsidRPr="009E6200">
        <w:rPr>
          <w:rFonts w:cs="Times New Roman"/>
          <w:lang w:eastAsia="ru-RU"/>
        </w:rPr>
        <w:t>. “</w:t>
      </w:r>
      <w:r w:rsidR="006C3B76" w:rsidRPr="009E6200">
        <w:rPr>
          <w:rFonts w:cs="Times New Roman"/>
          <w:lang w:val="en-US" w:eastAsia="ru-RU"/>
        </w:rPr>
        <w:t>Bayesian</w:t>
      </w:r>
      <w:r w:rsidR="006C3B76" w:rsidRPr="009E6200">
        <w:rPr>
          <w:rFonts w:cs="Times New Roman"/>
          <w:lang w:eastAsia="ru-RU"/>
        </w:rPr>
        <w:t xml:space="preserve"> </w:t>
      </w:r>
      <w:r w:rsidR="006C3B76" w:rsidRPr="009E6200">
        <w:rPr>
          <w:rFonts w:cs="Times New Roman"/>
          <w:lang w:val="en-US" w:eastAsia="ru-RU"/>
        </w:rPr>
        <w:t>methods</w:t>
      </w:r>
      <w:r w:rsidR="006C3B76" w:rsidRPr="009E6200">
        <w:rPr>
          <w:rFonts w:cs="Times New Roman"/>
          <w:lang w:eastAsia="ru-RU"/>
        </w:rPr>
        <w:t xml:space="preserve"> </w:t>
      </w:r>
      <w:r w:rsidR="006C3B76" w:rsidRPr="009E6200">
        <w:rPr>
          <w:rFonts w:cs="Times New Roman"/>
          <w:lang w:val="en-US" w:eastAsia="ru-RU"/>
        </w:rPr>
        <w:t>for</w:t>
      </w:r>
      <w:r w:rsidR="006C3B76" w:rsidRPr="009E6200">
        <w:rPr>
          <w:rFonts w:cs="Times New Roman"/>
          <w:lang w:eastAsia="ru-RU"/>
        </w:rPr>
        <w:t xml:space="preserve"> </w:t>
      </w:r>
      <w:r w:rsidR="006C3B76" w:rsidRPr="009E6200">
        <w:rPr>
          <w:rFonts w:cs="Times New Roman"/>
          <w:lang w:val="en-US" w:eastAsia="ru-RU"/>
        </w:rPr>
        <w:t>analysis</w:t>
      </w:r>
      <w:r w:rsidR="006C3B76" w:rsidRPr="009E6200">
        <w:rPr>
          <w:rFonts w:cs="Times New Roman"/>
          <w:lang w:eastAsia="ru-RU"/>
        </w:rPr>
        <w:t xml:space="preserve"> </w:t>
      </w:r>
      <w:r w:rsidR="006C3B76" w:rsidRPr="009E6200">
        <w:rPr>
          <w:rFonts w:cs="Times New Roman"/>
          <w:lang w:val="en-US" w:eastAsia="ru-RU"/>
        </w:rPr>
        <w:t>of</w:t>
      </w:r>
      <w:r w:rsidR="006C3B76" w:rsidRPr="009E6200">
        <w:rPr>
          <w:rFonts w:cs="Times New Roman"/>
          <w:lang w:eastAsia="ru-RU"/>
        </w:rPr>
        <w:t xml:space="preserve"> </w:t>
      </w:r>
      <w:r w:rsidR="006C3B76" w:rsidRPr="009E6200">
        <w:rPr>
          <w:rFonts w:cs="Times New Roman"/>
          <w:lang w:val="en-US" w:eastAsia="ru-RU"/>
        </w:rPr>
        <w:t>biosimilar</w:t>
      </w:r>
      <w:r w:rsidR="006C3B76" w:rsidRPr="009E6200">
        <w:rPr>
          <w:rFonts w:cs="Times New Roman"/>
          <w:lang w:eastAsia="ru-RU"/>
        </w:rPr>
        <w:t xml:space="preserve"> </w:t>
      </w:r>
      <w:r w:rsidR="006C3B76" w:rsidRPr="009E6200">
        <w:rPr>
          <w:rFonts w:cs="Times New Roman"/>
          <w:lang w:val="en-US" w:eastAsia="ru-RU"/>
        </w:rPr>
        <w:t>phase</w:t>
      </w:r>
      <w:r w:rsidR="006C3B76" w:rsidRPr="009E6200">
        <w:rPr>
          <w:rFonts w:cs="Times New Roman"/>
          <w:lang w:eastAsia="ru-RU"/>
        </w:rPr>
        <w:t xml:space="preserve"> </w:t>
      </w:r>
      <w:r w:rsidR="006C3B76" w:rsidRPr="009E6200">
        <w:rPr>
          <w:rFonts w:cs="Times New Roman"/>
          <w:lang w:val="en-US" w:eastAsia="ru-RU"/>
        </w:rPr>
        <w:t>III</w:t>
      </w:r>
      <w:r w:rsidR="006C3B76" w:rsidRPr="009E6200">
        <w:rPr>
          <w:rFonts w:cs="Times New Roman"/>
          <w:lang w:eastAsia="ru-RU"/>
        </w:rPr>
        <w:t xml:space="preserve"> </w:t>
      </w:r>
      <w:r w:rsidR="006C3B76" w:rsidRPr="009E6200">
        <w:rPr>
          <w:rFonts w:cs="Times New Roman"/>
          <w:lang w:val="en-US" w:eastAsia="ru-RU"/>
        </w:rPr>
        <w:t>trials</w:t>
      </w:r>
      <w:r w:rsidR="006C3B76" w:rsidRPr="009E6200">
        <w:rPr>
          <w:rFonts w:cs="Times New Roman"/>
          <w:lang w:eastAsia="ru-RU"/>
        </w:rPr>
        <w:t>” (</w:t>
      </w:r>
      <w:r w:rsidR="006C3B76" w:rsidRPr="009E6200">
        <w:rPr>
          <w:rFonts w:cs="Times New Roman"/>
          <w:lang w:val="en-US" w:eastAsia="ru-RU"/>
        </w:rPr>
        <w:t>Stat</w:t>
      </w:r>
      <w:r w:rsidR="006C3B76" w:rsidRPr="009E6200">
        <w:rPr>
          <w:rFonts w:cs="Times New Roman"/>
          <w:lang w:eastAsia="ru-RU"/>
        </w:rPr>
        <w:t xml:space="preserve"> </w:t>
      </w:r>
      <w:r w:rsidR="006C3B76" w:rsidRPr="009E6200">
        <w:rPr>
          <w:rFonts w:cs="Times New Roman"/>
          <w:lang w:val="en-US" w:eastAsia="ru-RU"/>
        </w:rPr>
        <w:t>Med</w:t>
      </w:r>
      <w:r w:rsidR="006C3B76" w:rsidRPr="009E6200">
        <w:rPr>
          <w:rFonts w:cs="Times New Roman"/>
          <w:lang w:eastAsia="ru-RU"/>
        </w:rPr>
        <w:t xml:space="preserve">. 2018 </w:t>
      </w:r>
      <w:r w:rsidR="006C3B76" w:rsidRPr="009E6200">
        <w:rPr>
          <w:rFonts w:cs="Times New Roman"/>
          <w:lang w:val="en-US" w:eastAsia="ru-RU"/>
        </w:rPr>
        <w:t>Sep</w:t>
      </w:r>
      <w:r w:rsidR="006C3B76" w:rsidRPr="009E6200">
        <w:rPr>
          <w:rFonts w:cs="Times New Roman"/>
          <w:lang w:eastAsia="ru-RU"/>
        </w:rPr>
        <w:t xml:space="preserve"> 10;37(20):2938-2953) </w:t>
      </w:r>
      <w:r w:rsidR="006C3B76" w:rsidRPr="009E6200">
        <w:rPr>
          <w:rFonts w:cs="Times New Roman"/>
          <w:lang w:eastAsia="ru-RU"/>
        </w:rPr>
        <w:fldChar w:fldCharType="begin"/>
      </w:r>
      <w:r w:rsidR="005C3D92" w:rsidRPr="009E6200">
        <w:rPr>
          <w:rFonts w:cs="Times New Roman"/>
          <w:lang w:eastAsia="ru-RU"/>
        </w:rPr>
        <w:instrText xml:space="preserve"> ADDIN ZOTERO_ITEM CSL_CITATION {"citationID":"ummeDjWn","properties":{"formattedCitation":"[2]","plainCitation":"[2]","noteIndex":0},"citationItems":[{"id":35023,"uris":["http://zotero.org/groups/2341397/items/SGTQCEEZ"],"uri":["http://zotero.org/groups/2341397/items/SGTQCEEZ"],"itemData":{"id":35023,"type":"article-journal","title":"Bayesian methods for analysis of biosimilar phase III trials","container-title":"Statistics in Medicine","page":"2938-2953","volume":"37","issue":"20","source":"PubMed","abstract":"A biologic is a product made from living organisms. A biosimilar is a new version of an already approved branded biologic. Regulatory guidelines recommend a totality-of-the-evidence approach with stepwise development for a new biosimilar. Initial steps for biosimilar development are (a) analytical comparisons to establish similarity in structure and function followed by (b) potential animal studies and a human pharmacokinetics/pharmacodynamics equivalence study. The last step is a phase III clinical trial to confirm similar efficacy, safety, and immunogenicity between the biosimilar and the biologic. A high degree of analytical and pharmacokinetics/pharmacodynamics similarity could provide justification for an eased statistical threshold in the phase III trial, which could then further facilitate an overall abbreviated approval process for biosimilars. Bayesian methods can help in the analysis of clinical trials, by adding proper prior information into the analysis, thereby potentially decreasing required sample size. We develop proper prior information for the analysis of a phase III trial for showing that a proposed biosimilar is similar to a reference biologic. For the reference product, we use a meta-analysis of published results to set a prior for the probability of efficacy, and we propose priors for the proposed biosimilar informed by the strength of the evidence generated in the earlier steps of the approval process. A simulation study shows that with few exceptions, the Bayesian relative risk analysis provides greater power, shorter 90% credible intervals with more than 90% frequentist coverage, and better root mean squared error.","DOI":"10.1002/sim.7814","ISSN":"1097-0258","note":"PMID: 29797335","journalAbbreviation":"Stat Med","language":"eng","author":[{"family":"Weiss","given":"Robert E."},{"family":"Xia","given":"Xiaomao"},{"family":"Zhang","given":"Nan"},{"family":"Wang","given":"Hui"},{"family":"Chi","given":"Eric"}],"issued":{"date-parts":[["2018",9,10]]}}}],"schema":"https://github.com/citation-style-language/schema/raw/master/csl-citation.json"} </w:instrText>
      </w:r>
      <w:r w:rsidR="006C3B76" w:rsidRPr="009E6200">
        <w:rPr>
          <w:rFonts w:cs="Times New Roman"/>
          <w:lang w:eastAsia="ru-RU"/>
        </w:rPr>
        <w:fldChar w:fldCharType="separate"/>
      </w:r>
      <w:r w:rsidR="006C3B76" w:rsidRPr="009E6200">
        <w:rPr>
          <w:rFonts w:cs="Times New Roman"/>
        </w:rPr>
        <w:t>[2]</w:t>
      </w:r>
      <w:r w:rsidR="006C3B76" w:rsidRPr="009E6200">
        <w:rPr>
          <w:rFonts w:cs="Times New Roman"/>
          <w:lang w:eastAsia="ru-RU"/>
        </w:rPr>
        <w:fldChar w:fldCharType="end"/>
      </w:r>
      <w:r w:rsidR="006C3B76" w:rsidRPr="009E6200">
        <w:rPr>
          <w:rFonts w:cs="Times New Roman"/>
          <w:lang w:eastAsia="ru-RU"/>
        </w:rPr>
        <w:t xml:space="preserve">, </w:t>
      </w:r>
      <w:r w:rsidR="002433C4" w:rsidRPr="009E6200">
        <w:rPr>
          <w:rFonts w:cs="Times New Roman"/>
          <w:lang w:eastAsia="ru-RU"/>
        </w:rPr>
        <w:t xml:space="preserve">при этом будет рассчитан 90%-ный байесовский доверительный интервал для отношения долей (относительного риска). </w:t>
      </w:r>
    </w:p>
    <w:p w14:paraId="68F39983" w14:textId="77777777" w:rsidR="002433C4" w:rsidRPr="009E6200" w:rsidRDefault="002433C4" w:rsidP="007B46F5">
      <w:pPr>
        <w:pStyle w:val="SDText"/>
        <w:ind w:firstLine="567"/>
        <w:jc w:val="both"/>
        <w:rPr>
          <w:szCs w:val="24"/>
        </w:rPr>
      </w:pPr>
      <w:r w:rsidRPr="009E6200">
        <w:rPr>
          <w:rFonts w:cs="Times New Roman"/>
          <w:lang w:eastAsia="ru-RU"/>
        </w:rPr>
        <w:t>Препараты будут считаться клинически эквивалентными в случае, если 90%-ный доверительный интервал, рассчитанный указанным выше методом, полностью будет укладываться в границы [0,67;1,5].</w:t>
      </w:r>
    </w:p>
    <w:p w14:paraId="1798893B" w14:textId="3406C3E7" w:rsidR="00525F4F" w:rsidRDefault="00B46492" w:rsidP="007B46F5">
      <w:pPr>
        <w:ind w:firstLine="567"/>
        <w:jc w:val="both"/>
      </w:pPr>
      <w:r w:rsidRPr="00004968">
        <w:t xml:space="preserve">Анализ первичного параметра эффективности будет проведен </w:t>
      </w:r>
      <w:r w:rsidR="00525F4F" w:rsidRPr="00004968">
        <w:t xml:space="preserve">в двух популяциях пациентов, ITT (Intention-to Treat) (основная популяция), и PP (Per Protocol) (дополнительная популяция). </w:t>
      </w:r>
    </w:p>
    <w:p w14:paraId="02964ACA" w14:textId="37DA589F" w:rsidR="00581868" w:rsidRPr="00004968" w:rsidRDefault="00581868" w:rsidP="007B46F5">
      <w:pPr>
        <w:ind w:firstLine="567"/>
        <w:jc w:val="both"/>
      </w:pPr>
      <w:r w:rsidRPr="009E6200">
        <w:t xml:space="preserve">В случае расхождений между результатами в популяциях </w:t>
      </w:r>
      <w:r w:rsidRPr="009E6200">
        <w:rPr>
          <w:lang w:val="en-US"/>
        </w:rPr>
        <w:t>ITT</w:t>
      </w:r>
      <w:r w:rsidRPr="009E6200">
        <w:t xml:space="preserve"> и </w:t>
      </w:r>
      <w:r w:rsidRPr="009E6200">
        <w:rPr>
          <w:lang w:val="en-US"/>
        </w:rPr>
        <w:t>PP</w:t>
      </w:r>
      <w:r w:rsidRPr="009E6200">
        <w:t xml:space="preserve"> будет проведен анализ причин возможных расхождений</w:t>
      </w:r>
    </w:p>
    <w:p w14:paraId="446C3260" w14:textId="77777777" w:rsidR="00F95BA5" w:rsidRPr="009E6200" w:rsidRDefault="00F95BA5" w:rsidP="007B46F5">
      <w:pPr>
        <w:pStyle w:val="SDText"/>
        <w:ind w:firstLine="284"/>
        <w:jc w:val="both"/>
      </w:pPr>
    </w:p>
    <w:p w14:paraId="303008F1" w14:textId="750DAFD4" w:rsidR="00B46492" w:rsidRPr="00F95BA5" w:rsidRDefault="00B46492" w:rsidP="007B46F5">
      <w:pPr>
        <w:pStyle w:val="Heading3"/>
        <w:spacing w:before="0" w:after="0" w:line="240" w:lineRule="auto"/>
        <w:ind w:left="567" w:hanging="567"/>
        <w:jc w:val="both"/>
        <w:rPr>
          <w:rFonts w:cs="Times New Roman"/>
          <w:color w:val="auto"/>
          <w:sz w:val="24"/>
        </w:rPr>
      </w:pPr>
      <w:bookmarkStart w:id="265" w:name="_Toc461617317"/>
      <w:bookmarkStart w:id="266" w:name="_Toc473292996"/>
      <w:bookmarkStart w:id="267" w:name="_Toc496906337"/>
      <w:bookmarkStart w:id="268" w:name="_Toc496999313"/>
      <w:bookmarkStart w:id="269" w:name="_Toc523731627"/>
      <w:bookmarkStart w:id="270" w:name="_Toc11938959"/>
      <w:bookmarkStart w:id="271" w:name="_Toc120865315"/>
      <w:r w:rsidRPr="00F95BA5">
        <w:rPr>
          <w:rFonts w:cs="Times New Roman"/>
          <w:color w:val="auto"/>
          <w:sz w:val="24"/>
        </w:rPr>
        <w:t>Анализ вторичных параметров эффективности</w:t>
      </w:r>
      <w:bookmarkEnd w:id="265"/>
      <w:bookmarkEnd w:id="266"/>
      <w:bookmarkEnd w:id="267"/>
      <w:bookmarkEnd w:id="268"/>
      <w:bookmarkEnd w:id="269"/>
      <w:bookmarkEnd w:id="270"/>
      <w:bookmarkEnd w:id="271"/>
    </w:p>
    <w:p w14:paraId="291F4470" w14:textId="77777777" w:rsidR="00F95BA5" w:rsidRPr="00F95BA5" w:rsidRDefault="00F95BA5" w:rsidP="007B46F5">
      <w:pPr>
        <w:pStyle w:val="SDText"/>
        <w:rPr>
          <w:lang w:eastAsia="ru-RU"/>
        </w:rPr>
      </w:pPr>
    </w:p>
    <w:p w14:paraId="510EB630" w14:textId="369248FE" w:rsidR="00906A8B" w:rsidRPr="009E6200" w:rsidRDefault="00043FC6" w:rsidP="007B46F5">
      <w:pPr>
        <w:pStyle w:val="a2"/>
        <w:spacing w:before="0" w:after="0" w:line="240" w:lineRule="auto"/>
        <w:ind w:firstLine="567"/>
      </w:pPr>
      <w:r w:rsidRPr="009E6200">
        <w:t xml:space="preserve">Вторичные параметры эффективности будут проанализированы в рамках основного анализа </w:t>
      </w:r>
      <w:r w:rsidR="008E7426" w:rsidRPr="009E6200">
        <w:t xml:space="preserve">(основные вторичные точки) </w:t>
      </w:r>
      <w:r w:rsidRPr="009E6200">
        <w:t>и дополнительного анализа</w:t>
      </w:r>
      <w:r w:rsidR="008E7426" w:rsidRPr="009E6200">
        <w:t xml:space="preserve"> (дополнительные вторичные точки)</w:t>
      </w:r>
      <w:r w:rsidRPr="009E6200">
        <w:t>:</w:t>
      </w:r>
    </w:p>
    <w:p w14:paraId="645F576A" w14:textId="77777777" w:rsidR="00E71914" w:rsidRPr="009E6200" w:rsidRDefault="00E71914" w:rsidP="007B46F5">
      <w:pPr>
        <w:pStyle w:val="a2"/>
        <w:spacing w:before="0" w:after="0" w:line="240" w:lineRule="auto"/>
        <w:ind w:firstLine="567"/>
      </w:pPr>
      <w:r w:rsidRPr="009E6200">
        <w:t>Основные вторичные конечные точки:</w:t>
      </w:r>
    </w:p>
    <w:p w14:paraId="38A96236" w14:textId="271D23FB" w:rsidR="00E71914" w:rsidRPr="009E6200" w:rsidRDefault="00E71914" w:rsidP="007B46F5">
      <w:pPr>
        <w:pStyle w:val="a2"/>
        <w:spacing w:before="0" w:after="0" w:line="240" w:lineRule="auto"/>
        <w:ind w:left="1134" w:hanging="283"/>
      </w:pPr>
      <w:r w:rsidRPr="009E6200">
        <w:t>1.</w:t>
      </w:r>
      <w:r w:rsidRPr="009E6200">
        <w:tab/>
        <w:t>Частота объективного ответа через 6 месяцев, выраженная в виде разницы рисков;</w:t>
      </w:r>
    </w:p>
    <w:p w14:paraId="55299040" w14:textId="77777777" w:rsidR="00E71914" w:rsidRPr="009E6200" w:rsidRDefault="00E71914" w:rsidP="007B46F5">
      <w:pPr>
        <w:pStyle w:val="a2"/>
        <w:spacing w:before="0" w:after="0" w:line="240" w:lineRule="auto"/>
        <w:ind w:left="1134" w:hanging="283"/>
      </w:pPr>
      <w:r w:rsidRPr="009E6200">
        <w:t>2.</w:t>
      </w:r>
      <w:r w:rsidRPr="009E6200">
        <w:tab/>
        <w:t>Общая выживаемость в течение 6 месяцев от начала лечения в каждой из групп;</w:t>
      </w:r>
    </w:p>
    <w:p w14:paraId="368FD0E6" w14:textId="77777777" w:rsidR="00E71914" w:rsidRPr="009E6200" w:rsidRDefault="00E71914" w:rsidP="007B46F5">
      <w:pPr>
        <w:pStyle w:val="a2"/>
        <w:spacing w:before="0" w:after="0" w:line="240" w:lineRule="auto"/>
        <w:ind w:left="1134" w:hanging="283"/>
      </w:pPr>
      <w:r w:rsidRPr="009E6200">
        <w:t>3.</w:t>
      </w:r>
      <w:r w:rsidRPr="009E6200">
        <w:tab/>
        <w:t>Выживаемость без прогрессирования в течение 6 месяцев от начала лечения в каждой из групп.</w:t>
      </w:r>
    </w:p>
    <w:p w14:paraId="357369DD" w14:textId="77777777" w:rsidR="00E71914" w:rsidRPr="009E6200" w:rsidRDefault="00E71914" w:rsidP="007B46F5">
      <w:pPr>
        <w:pStyle w:val="a2"/>
        <w:spacing w:before="0" w:after="0" w:line="240" w:lineRule="auto"/>
        <w:ind w:firstLine="709"/>
      </w:pPr>
      <w:r w:rsidRPr="009E6200">
        <w:t>Дополнительные вторичные конечные точки:</w:t>
      </w:r>
    </w:p>
    <w:p w14:paraId="27B113D6" w14:textId="68DE18E2" w:rsidR="00E71914" w:rsidRPr="009E6200" w:rsidRDefault="00E71914" w:rsidP="007B46F5">
      <w:pPr>
        <w:pStyle w:val="a2"/>
        <w:spacing w:before="0" w:after="0" w:line="240" w:lineRule="auto"/>
        <w:ind w:left="1134" w:hanging="283"/>
      </w:pPr>
      <w:r w:rsidRPr="009E6200">
        <w:t>1.</w:t>
      </w:r>
      <w:r w:rsidRPr="009E6200">
        <w:tab/>
        <w:t>Частота объективного ответа через 12 месяцев, выраженная в виде относительного риска;</w:t>
      </w:r>
    </w:p>
    <w:p w14:paraId="4F52B655" w14:textId="3F851490" w:rsidR="00E71914" w:rsidRPr="009E6200" w:rsidRDefault="00E71914" w:rsidP="007B46F5">
      <w:pPr>
        <w:pStyle w:val="a2"/>
        <w:spacing w:before="0" w:after="0" w:line="240" w:lineRule="auto"/>
        <w:ind w:left="1134" w:hanging="283"/>
      </w:pPr>
      <w:r w:rsidRPr="009E6200">
        <w:t>2.</w:t>
      </w:r>
      <w:r w:rsidRPr="009E6200">
        <w:tab/>
        <w:t>Частота объективного ответа через 12 месяцев, выраженная в виде разницы рисков;</w:t>
      </w:r>
    </w:p>
    <w:p w14:paraId="3329C08F" w14:textId="77777777" w:rsidR="00E71914" w:rsidRPr="009E6200" w:rsidRDefault="00E71914" w:rsidP="007B46F5">
      <w:pPr>
        <w:pStyle w:val="a2"/>
        <w:spacing w:before="0" w:after="0" w:line="240" w:lineRule="auto"/>
        <w:ind w:left="1134" w:hanging="283"/>
      </w:pPr>
      <w:r w:rsidRPr="009E6200">
        <w:t>3.</w:t>
      </w:r>
      <w:r w:rsidRPr="009E6200">
        <w:tab/>
        <w:t>Общая выживаемость в течение 12 месяцев от начала лечения в каждой из групп;</w:t>
      </w:r>
    </w:p>
    <w:p w14:paraId="5B5BD31D" w14:textId="63CCF415" w:rsidR="00E71914" w:rsidRPr="009E6200" w:rsidRDefault="00E71914" w:rsidP="007B46F5">
      <w:pPr>
        <w:pStyle w:val="a2"/>
        <w:spacing w:before="0" w:after="0" w:line="240" w:lineRule="auto"/>
        <w:ind w:left="1134" w:hanging="283"/>
      </w:pPr>
      <w:r w:rsidRPr="009E6200">
        <w:t>4.</w:t>
      </w:r>
      <w:r w:rsidRPr="009E6200">
        <w:tab/>
        <w:t>Выживаемость без прогрессирования в течение 12 месяцев от начала лечения в каждой из групп</w:t>
      </w:r>
    </w:p>
    <w:p w14:paraId="3DD3D7BF" w14:textId="7B11481A" w:rsidR="00B46492" w:rsidRPr="009E6200" w:rsidRDefault="00B02A63" w:rsidP="007B46F5">
      <w:pPr>
        <w:pStyle w:val="a2"/>
        <w:spacing w:before="0" w:after="0" w:line="240" w:lineRule="auto"/>
        <w:ind w:firstLine="709"/>
      </w:pPr>
      <w:r w:rsidRPr="009E6200">
        <w:t xml:space="preserve">Следующие вторичные </w:t>
      </w:r>
      <w:r w:rsidR="00B46492" w:rsidRPr="009E6200">
        <w:t>параметры эффективности представлены показателями, выраженными в виде дихотомических данных:</w:t>
      </w:r>
    </w:p>
    <w:p w14:paraId="03089E32" w14:textId="099F320F" w:rsidR="001327EB" w:rsidRPr="009E6200" w:rsidRDefault="001327EB" w:rsidP="007B46F5">
      <w:pPr>
        <w:pStyle w:val="SDText"/>
        <w:ind w:firstLine="851"/>
        <w:jc w:val="both"/>
        <w:rPr>
          <w:szCs w:val="24"/>
        </w:rPr>
      </w:pPr>
      <w:r w:rsidRPr="009E6200">
        <w:rPr>
          <w:szCs w:val="24"/>
        </w:rPr>
        <w:t>1. Частота объективного ответа;</w:t>
      </w:r>
    </w:p>
    <w:p w14:paraId="10DAC3E0" w14:textId="0886A71D" w:rsidR="001327EB" w:rsidRPr="009E6200" w:rsidRDefault="005D6588" w:rsidP="007B46F5">
      <w:pPr>
        <w:pStyle w:val="SDText"/>
        <w:ind w:firstLine="851"/>
        <w:jc w:val="both"/>
        <w:rPr>
          <w:szCs w:val="24"/>
        </w:rPr>
      </w:pPr>
      <w:r>
        <w:rPr>
          <w:szCs w:val="24"/>
        </w:rPr>
        <w:t>2</w:t>
      </w:r>
      <w:r w:rsidR="001327EB" w:rsidRPr="009E6200">
        <w:rPr>
          <w:szCs w:val="24"/>
        </w:rPr>
        <w:t>. Общая выживаемость;</w:t>
      </w:r>
    </w:p>
    <w:p w14:paraId="339932C8" w14:textId="793F55FE" w:rsidR="001327EB" w:rsidRPr="009E6200" w:rsidRDefault="005D6588" w:rsidP="007B46F5">
      <w:pPr>
        <w:pStyle w:val="SDText"/>
        <w:ind w:firstLine="851"/>
        <w:jc w:val="both"/>
        <w:rPr>
          <w:szCs w:val="24"/>
        </w:rPr>
      </w:pPr>
      <w:r>
        <w:rPr>
          <w:szCs w:val="24"/>
        </w:rPr>
        <w:t>3</w:t>
      </w:r>
      <w:r w:rsidR="001327EB" w:rsidRPr="009E6200">
        <w:rPr>
          <w:szCs w:val="24"/>
        </w:rPr>
        <w:t>. Выживаемость без прогрессирования.</w:t>
      </w:r>
    </w:p>
    <w:p w14:paraId="173DE44C" w14:textId="77777777" w:rsidR="00B46492" w:rsidRPr="009E6200" w:rsidRDefault="00DE7539" w:rsidP="007B46F5">
      <w:pPr>
        <w:pStyle w:val="SDText"/>
        <w:ind w:firstLine="709"/>
        <w:jc w:val="both"/>
        <w:rPr>
          <w:lang w:eastAsia="ru-RU"/>
        </w:rPr>
      </w:pPr>
      <w:r w:rsidRPr="009E6200">
        <w:rPr>
          <w:lang w:eastAsia="ru-RU"/>
        </w:rPr>
        <w:t>Сравнение групп по частотным показателям будет проводиться с помощью точного критерия Фишера либо критерия χ</w:t>
      </w:r>
      <w:r w:rsidRPr="009E6200">
        <w:rPr>
          <w:vertAlign w:val="superscript"/>
          <w:lang w:eastAsia="ru-RU"/>
        </w:rPr>
        <w:t>2</w:t>
      </w:r>
      <w:r w:rsidRPr="009E6200">
        <w:rPr>
          <w:lang w:eastAsia="ru-RU"/>
        </w:rPr>
        <w:t xml:space="preserve"> («хи-квадрат»), в зависимости от ожидаемого значения в ячейках таблицы сопряженности</w:t>
      </w:r>
      <w:r w:rsidRPr="009E6200">
        <w:rPr>
          <w:rFonts w:cs="Times New Roman"/>
          <w:lang w:eastAsia="ru-RU" w:bidi="ru-RU"/>
        </w:rPr>
        <w:t>, для всех вышеуказанных вторичных конечных точек будут рассчитаны точные биномиальные доверительные интервалы методом Клоппера-Пирсона.</w:t>
      </w:r>
    </w:p>
    <w:p w14:paraId="3C6BEF95" w14:textId="77777777" w:rsidR="00B46492" w:rsidRPr="009E6200" w:rsidRDefault="00B46492" w:rsidP="007B46F5">
      <w:pPr>
        <w:pStyle w:val="SDText"/>
        <w:ind w:firstLine="709"/>
        <w:jc w:val="both"/>
        <w:rPr>
          <w:lang w:eastAsia="ru-RU" w:bidi="ru-RU"/>
        </w:rPr>
      </w:pPr>
      <w:r w:rsidRPr="009E6200">
        <w:rPr>
          <w:lang w:eastAsia="ru-RU" w:bidi="ru-RU"/>
        </w:rPr>
        <w:t xml:space="preserve">Для анализа </w:t>
      </w:r>
      <w:r w:rsidR="00DE7539" w:rsidRPr="009E6200">
        <w:rPr>
          <w:lang w:eastAsia="ru-RU" w:bidi="ru-RU"/>
        </w:rPr>
        <w:t xml:space="preserve">времени до наступления исхода (смерти для общей выживаемости, прогрессирования для выживаемости без прогрессирования) </w:t>
      </w:r>
      <w:r w:rsidRPr="009E6200">
        <w:rPr>
          <w:lang w:eastAsia="ru-RU" w:bidi="ru-RU"/>
        </w:rPr>
        <w:t xml:space="preserve">будут применяться методы оценки дожития, включая графики дожития Каплана-Мейера, </w:t>
      </w:r>
      <w:r w:rsidR="00DE7539" w:rsidRPr="009E6200">
        <w:rPr>
          <w:lang w:eastAsia="ru-RU" w:bidi="ru-RU"/>
        </w:rPr>
        <w:t xml:space="preserve">логранговый критерий, </w:t>
      </w:r>
      <w:r w:rsidRPr="009E6200">
        <w:rPr>
          <w:lang w:eastAsia="ru-RU" w:bidi="ru-RU"/>
        </w:rPr>
        <w:t>а также метод регрессии пропорционального риска по Коксу</w:t>
      </w:r>
      <w:r w:rsidR="00DE7539" w:rsidRPr="009E6200">
        <w:rPr>
          <w:lang w:eastAsia="ru-RU" w:bidi="ru-RU"/>
        </w:rPr>
        <w:t xml:space="preserve"> (в случае необходимости проведения многофакторного анализа).</w:t>
      </w:r>
    </w:p>
    <w:p w14:paraId="13D2F4E8" w14:textId="4E6F8059" w:rsidR="00B46492" w:rsidRDefault="00B46492" w:rsidP="007B46F5">
      <w:pPr>
        <w:pStyle w:val="SDText"/>
        <w:ind w:firstLine="284"/>
        <w:jc w:val="both"/>
      </w:pPr>
      <w:r w:rsidRPr="009E6200">
        <w:t xml:space="preserve">Анализ вторичных параметров эффективности будет проведен как на популяции </w:t>
      </w:r>
      <w:r w:rsidRPr="009E6200">
        <w:rPr>
          <w:lang w:val="en-US"/>
        </w:rPr>
        <w:t>ITT</w:t>
      </w:r>
      <w:r w:rsidRPr="009E6200">
        <w:t xml:space="preserve"> (</w:t>
      </w:r>
      <w:r w:rsidR="00780F9B" w:rsidRPr="009E6200">
        <w:t>основная популяция</w:t>
      </w:r>
      <w:r w:rsidRPr="009E6200">
        <w:t xml:space="preserve">), так и на популяции </w:t>
      </w:r>
      <w:r w:rsidRPr="009E6200">
        <w:rPr>
          <w:lang w:val="en-US"/>
        </w:rPr>
        <w:t>PP</w:t>
      </w:r>
      <w:r w:rsidRPr="009E6200">
        <w:t xml:space="preserve"> (</w:t>
      </w:r>
      <w:r w:rsidR="00780F9B" w:rsidRPr="009E6200">
        <w:t>дополнительная популяция</w:t>
      </w:r>
      <w:r w:rsidRPr="009E6200">
        <w:t xml:space="preserve">). </w:t>
      </w:r>
    </w:p>
    <w:p w14:paraId="4629AAE3" w14:textId="77777777" w:rsidR="00F95BA5" w:rsidRPr="009E6200" w:rsidRDefault="00F95BA5" w:rsidP="007B46F5">
      <w:pPr>
        <w:pStyle w:val="SDText"/>
        <w:ind w:firstLine="284"/>
        <w:jc w:val="both"/>
      </w:pPr>
    </w:p>
    <w:p w14:paraId="1F0A3097" w14:textId="77777777" w:rsidR="00FC0B23" w:rsidRPr="00F95BA5" w:rsidRDefault="00FC0B23" w:rsidP="007B46F5">
      <w:pPr>
        <w:pStyle w:val="Heading3"/>
        <w:spacing w:before="0" w:after="0" w:line="240" w:lineRule="auto"/>
        <w:ind w:left="426" w:hanging="426"/>
        <w:jc w:val="both"/>
        <w:rPr>
          <w:rFonts w:cs="Times New Roman"/>
          <w:color w:val="auto"/>
          <w:sz w:val="24"/>
        </w:rPr>
      </w:pPr>
      <w:bookmarkStart w:id="272" w:name="_Toc120865316"/>
      <w:r w:rsidRPr="00F95BA5">
        <w:rPr>
          <w:rFonts w:cs="Times New Roman"/>
          <w:color w:val="auto"/>
          <w:sz w:val="24"/>
        </w:rPr>
        <w:t>Анализ параметров безопасности</w:t>
      </w:r>
      <w:bookmarkEnd w:id="246"/>
      <w:bookmarkEnd w:id="247"/>
      <w:bookmarkEnd w:id="248"/>
      <w:bookmarkEnd w:id="249"/>
      <w:bookmarkEnd w:id="250"/>
      <w:bookmarkEnd w:id="272"/>
    </w:p>
    <w:p w14:paraId="701F41CE" w14:textId="77777777" w:rsidR="00F95BA5" w:rsidRDefault="00F95BA5" w:rsidP="007B46F5">
      <w:pPr>
        <w:jc w:val="both"/>
        <w:rPr>
          <w:rFonts w:cs="Times New Roman"/>
          <w:szCs w:val="24"/>
        </w:rPr>
      </w:pPr>
    </w:p>
    <w:p w14:paraId="64F6CF32" w14:textId="06846923" w:rsidR="00FC0B23" w:rsidRDefault="00FC0B23" w:rsidP="007B46F5">
      <w:pPr>
        <w:ind w:firstLine="426"/>
        <w:jc w:val="both"/>
        <w:rPr>
          <w:rFonts w:cs="Times New Roman"/>
          <w:szCs w:val="24"/>
        </w:rPr>
      </w:pPr>
      <w:r w:rsidRPr="009E6200">
        <w:rPr>
          <w:rFonts w:cs="Times New Roman"/>
          <w:szCs w:val="24"/>
        </w:rPr>
        <w:t>Оценка безопасности будет включать следующие параметры:</w:t>
      </w:r>
    </w:p>
    <w:p w14:paraId="20C20A88" w14:textId="029FC5B5" w:rsidR="005D6588" w:rsidRDefault="005D6588" w:rsidP="005D6588">
      <w:pPr>
        <w:jc w:val="both"/>
        <w:rPr>
          <w:rFonts w:cs="Times New Roman"/>
          <w:szCs w:val="24"/>
        </w:rPr>
      </w:pPr>
    </w:p>
    <w:p w14:paraId="51FE9DE5" w14:textId="77777777" w:rsidR="005D6588" w:rsidRDefault="005D6588" w:rsidP="005D6588">
      <w:pPr>
        <w:jc w:val="both"/>
        <w:rPr>
          <w:b/>
          <w:i/>
          <w:lang w:eastAsia="ru-RU" w:bidi="ru-RU"/>
        </w:rPr>
      </w:pPr>
      <w:r>
        <w:rPr>
          <w:b/>
          <w:i/>
          <w:lang w:eastAsia="ru-RU" w:bidi="ru-RU"/>
        </w:rPr>
        <w:t>Основные параметры безопасности:</w:t>
      </w:r>
    </w:p>
    <w:p w14:paraId="2FFC2A84" w14:textId="77777777" w:rsidR="005D6588" w:rsidRDefault="005D6588" w:rsidP="005D6588">
      <w:pPr>
        <w:jc w:val="both"/>
        <w:rPr>
          <w:b/>
          <w:i/>
          <w:lang w:eastAsia="ru-RU" w:bidi="ru-RU"/>
        </w:rPr>
      </w:pPr>
    </w:p>
    <w:p w14:paraId="77F7D900" w14:textId="77777777" w:rsidR="005D6588" w:rsidRDefault="005D6588" w:rsidP="005D6588">
      <w:pPr>
        <w:ind w:left="14" w:firstLine="4"/>
        <w:jc w:val="both"/>
        <w:rPr>
          <w:i/>
          <w:lang w:eastAsia="ru-RU" w:bidi="ru-RU"/>
        </w:rPr>
      </w:pPr>
      <w:r>
        <w:rPr>
          <w:i/>
          <w:lang w:eastAsia="ru-RU" w:bidi="ru-RU"/>
        </w:rPr>
        <w:t>Точки будут оцениваться отдельно в группах терапии в основной и продленной части исследования:</w:t>
      </w:r>
    </w:p>
    <w:p w14:paraId="7A4CC70A" w14:textId="77777777" w:rsidR="005D6588" w:rsidRDefault="005D6588" w:rsidP="005D6588">
      <w:pPr>
        <w:ind w:left="581" w:hanging="567"/>
        <w:jc w:val="both"/>
      </w:pPr>
      <w:r>
        <w:fldChar w:fldCharType="begin"/>
      </w:r>
      <w:r>
        <w:instrText xml:space="preserve"> </w:instrText>
      </w:r>
      <w:r>
        <w:rPr>
          <w:lang w:val="en-US"/>
        </w:rPr>
        <w:instrText>SEQ</w:instrText>
      </w:r>
      <w:r w:rsidRPr="005D6588">
        <w:instrText xml:space="preserve"> </w:instrText>
      </w:r>
      <w:r>
        <w:rPr>
          <w:lang w:val="en-US"/>
        </w:rPr>
        <w:instrText>Parametry</w:instrText>
      </w:r>
      <w:r>
        <w:instrText>_</w:instrText>
      </w:r>
      <w:r>
        <w:rPr>
          <w:lang w:val="en-US"/>
        </w:rPr>
        <w:instrText>bezopasnosti</w:instrText>
      </w:r>
      <w:r>
        <w:instrText xml:space="preserve"> \* </w:instrText>
      </w:r>
      <w:r>
        <w:rPr>
          <w:lang w:val="en-US"/>
        </w:rPr>
        <w:instrText>MERGEFORMAT</w:instrText>
      </w:r>
      <w:r w:rsidRPr="005D6588">
        <w:instrText xml:space="preserve"> </w:instrText>
      </w:r>
      <w:r>
        <w:fldChar w:fldCharType="separate"/>
      </w:r>
      <w:r>
        <w:rPr>
          <w:noProof/>
        </w:rPr>
        <w:t>1</w:t>
      </w:r>
      <w:r>
        <w:fldChar w:fldCharType="end"/>
      </w:r>
      <w:r>
        <w:t>.</w:t>
      </w:r>
      <w:r>
        <w:tab/>
        <w:t>Доля пациентов (%) с развитием НЯ любой степени тяжести;</w:t>
      </w:r>
    </w:p>
    <w:p w14:paraId="6E7CB627" w14:textId="77777777" w:rsidR="005D6588" w:rsidRDefault="005D6588" w:rsidP="005D6588">
      <w:pPr>
        <w:ind w:left="581" w:hanging="567"/>
        <w:jc w:val="both"/>
      </w:pPr>
      <w:r>
        <w:t>2. Доля пациентов (%) с развитием НР любой степени тяжести;</w:t>
      </w:r>
    </w:p>
    <w:p w14:paraId="4164E92F" w14:textId="77777777" w:rsidR="005D6588" w:rsidRDefault="005D6588" w:rsidP="005D6588">
      <w:pPr>
        <w:ind w:left="581" w:hanging="567"/>
        <w:jc w:val="both"/>
      </w:pPr>
      <w:r>
        <w:t>3. Доля пациентов с развитием СНЯ/СНР;</w:t>
      </w:r>
    </w:p>
    <w:p w14:paraId="57528305" w14:textId="77777777" w:rsidR="005D6588" w:rsidRDefault="005D6588" w:rsidP="005D6588">
      <w:pPr>
        <w:ind w:left="581" w:hanging="567"/>
        <w:jc w:val="both"/>
      </w:pPr>
      <w:r>
        <w:t>4. Доля пациентов (%) с развитием НЯ 3-4 степени тяжести;</w:t>
      </w:r>
    </w:p>
    <w:p w14:paraId="13793395" w14:textId="77777777" w:rsidR="005D6588" w:rsidRDefault="005D6588" w:rsidP="005D6588">
      <w:pPr>
        <w:ind w:left="581" w:hanging="567"/>
        <w:jc w:val="both"/>
      </w:pPr>
      <w:r>
        <w:t>5. Доля пациентов (%) с развитием НР 3-4 степени тяжести;</w:t>
      </w:r>
    </w:p>
    <w:p w14:paraId="2BBC89A9" w14:textId="77777777" w:rsidR="005D6588" w:rsidRDefault="005D6588" w:rsidP="005D6588">
      <w:pPr>
        <w:ind w:left="581" w:hanging="567"/>
        <w:jc w:val="both"/>
      </w:pPr>
      <w:r>
        <w:t>6. Доля пациентов, которым потребовалась отмена терапии по причине развития НР/СНР;</w:t>
      </w:r>
    </w:p>
    <w:p w14:paraId="7AF9EA83" w14:textId="77777777" w:rsidR="005D6588" w:rsidRDefault="005D6588" w:rsidP="005D6588">
      <w:pPr>
        <w:ind w:left="581" w:hanging="567"/>
        <w:jc w:val="both"/>
      </w:pPr>
      <w:r>
        <w:t>7. Доля пациентов (%), у которых сформировались связывающие (САТ) и нейтрализующие (НАТ) антитела к бевацизумабу.</w:t>
      </w:r>
    </w:p>
    <w:p w14:paraId="60A6A6CA" w14:textId="77777777" w:rsidR="005D6588" w:rsidRDefault="005D6588" w:rsidP="005D6588">
      <w:pPr>
        <w:jc w:val="both"/>
        <w:rPr>
          <w:b/>
          <w:i/>
          <w:lang w:eastAsia="ru-RU" w:bidi="ru-RU"/>
        </w:rPr>
      </w:pPr>
    </w:p>
    <w:p w14:paraId="74596F51" w14:textId="77777777" w:rsidR="005D6588" w:rsidRDefault="005D6588" w:rsidP="005D6588">
      <w:pPr>
        <w:jc w:val="both"/>
        <w:rPr>
          <w:b/>
          <w:i/>
          <w:lang w:eastAsia="ru-RU" w:bidi="ru-RU"/>
        </w:rPr>
      </w:pPr>
      <w:r>
        <w:rPr>
          <w:b/>
          <w:i/>
          <w:lang w:eastAsia="ru-RU" w:bidi="ru-RU"/>
        </w:rPr>
        <w:t>Дополнительные параметры безопасности:</w:t>
      </w:r>
    </w:p>
    <w:p w14:paraId="261071C2" w14:textId="77777777" w:rsidR="005D6588" w:rsidRDefault="005D6588" w:rsidP="005D6588">
      <w:pPr>
        <w:jc w:val="both"/>
        <w:rPr>
          <w:b/>
          <w:i/>
          <w:lang w:eastAsia="ru-RU" w:bidi="ru-RU"/>
        </w:rPr>
      </w:pPr>
    </w:p>
    <w:p w14:paraId="5FE8F8B7" w14:textId="77777777" w:rsidR="005D6588" w:rsidRDefault="005D6588" w:rsidP="005D6588">
      <w:pPr>
        <w:ind w:left="581" w:hanging="567"/>
        <w:jc w:val="both"/>
        <w:rPr>
          <w:lang w:eastAsia="ru-RU" w:bidi="ru-RU"/>
        </w:rPr>
      </w:pPr>
      <w:r>
        <w:t>8.</w:t>
      </w:r>
      <w:r>
        <w:tab/>
      </w:r>
      <w:r>
        <w:rPr>
          <w:lang w:eastAsia="ru-RU" w:bidi="ru-RU"/>
        </w:rPr>
        <w:t>Основные показатели жизнедеятельности (АД, ЧСС, ЧДД, температура тела) в основной части исследования в группах лечения;</w:t>
      </w:r>
    </w:p>
    <w:p w14:paraId="079A6B23" w14:textId="77777777" w:rsidR="005D6588" w:rsidRDefault="005D6588" w:rsidP="005D6588">
      <w:pPr>
        <w:ind w:left="581" w:hanging="567"/>
        <w:jc w:val="both"/>
        <w:rPr>
          <w:lang w:eastAsia="ru-RU" w:bidi="ru-RU"/>
        </w:rPr>
      </w:pPr>
      <w:r>
        <w:t>9.</w:t>
      </w:r>
      <w:r>
        <w:tab/>
      </w:r>
      <w:r>
        <w:rPr>
          <w:lang w:eastAsia="ru-RU" w:bidi="ru-RU"/>
        </w:rPr>
        <w:t>Результаты лабораторных и функциональных исследований: общий анализ крови, биохимический анализ крови, общий анализ мочи, коагулограмма, электрокардиограмма в основной части исследования в группах лечения.</w:t>
      </w:r>
    </w:p>
    <w:p w14:paraId="559524C5" w14:textId="77777777" w:rsidR="005D6588" w:rsidRDefault="005D6588" w:rsidP="007B46F5">
      <w:pPr>
        <w:pStyle w:val="SDText"/>
        <w:ind w:firstLine="709"/>
        <w:jc w:val="both"/>
        <w:rPr>
          <w:lang w:eastAsia="ru-RU"/>
        </w:rPr>
      </w:pPr>
      <w:bookmarkStart w:id="273" w:name="_Toc496906339"/>
    </w:p>
    <w:p w14:paraId="00F3BB5A" w14:textId="299F0BD1" w:rsidR="00761C5A" w:rsidRPr="009E6200" w:rsidRDefault="00761C5A" w:rsidP="007B46F5">
      <w:pPr>
        <w:pStyle w:val="SDText"/>
        <w:ind w:firstLine="709"/>
        <w:jc w:val="both"/>
        <w:rPr>
          <w:lang w:eastAsia="ru-RU"/>
        </w:rPr>
      </w:pPr>
      <w:r w:rsidRPr="009E6200">
        <w:rPr>
          <w:lang w:eastAsia="ru-RU"/>
        </w:rPr>
        <w:t xml:space="preserve">Анализ безопасности будет проводиться отдельно для основной и продленной </w:t>
      </w:r>
      <w:r w:rsidR="002647CF" w:rsidRPr="009E6200">
        <w:rPr>
          <w:lang w:eastAsia="ru-RU"/>
        </w:rPr>
        <w:t xml:space="preserve">части </w:t>
      </w:r>
      <w:r w:rsidRPr="009E6200">
        <w:rPr>
          <w:lang w:eastAsia="ru-RU"/>
        </w:rPr>
        <w:t xml:space="preserve">исследования (соответственно на популяциях </w:t>
      </w:r>
      <w:r w:rsidRPr="009E6200">
        <w:rPr>
          <w:lang w:val="en-US" w:eastAsia="ru-RU"/>
        </w:rPr>
        <w:t>safety</w:t>
      </w:r>
      <w:r w:rsidRPr="009E6200">
        <w:rPr>
          <w:lang w:eastAsia="ru-RU"/>
        </w:rPr>
        <w:t xml:space="preserve"> и популяции продленно</w:t>
      </w:r>
      <w:r w:rsidR="00EB3476" w:rsidRPr="009E6200">
        <w:rPr>
          <w:lang w:eastAsia="ru-RU"/>
        </w:rPr>
        <w:t xml:space="preserve">й </w:t>
      </w:r>
      <w:r w:rsidR="002647CF" w:rsidRPr="009E6200">
        <w:rPr>
          <w:lang w:eastAsia="ru-RU"/>
        </w:rPr>
        <w:t>части</w:t>
      </w:r>
      <w:r w:rsidR="00EB3476" w:rsidRPr="009E6200">
        <w:rPr>
          <w:lang w:eastAsia="ru-RU"/>
        </w:rPr>
        <w:t>).</w:t>
      </w:r>
    </w:p>
    <w:p w14:paraId="216723F8" w14:textId="77777777" w:rsidR="00FC0B23" w:rsidRPr="009E6200" w:rsidRDefault="00FC0B23" w:rsidP="007B46F5">
      <w:pPr>
        <w:pStyle w:val="SDText"/>
        <w:jc w:val="both"/>
        <w:rPr>
          <w:lang w:eastAsia="ru-RU"/>
        </w:rPr>
      </w:pPr>
      <w:r w:rsidRPr="009E6200">
        <w:rPr>
          <w:lang w:eastAsia="ru-RU"/>
        </w:rPr>
        <w:t xml:space="preserve">Сравнение групп </w:t>
      </w:r>
      <w:r w:rsidR="007369A8" w:rsidRPr="009E6200">
        <w:rPr>
          <w:lang w:eastAsia="ru-RU"/>
        </w:rPr>
        <w:t xml:space="preserve">по </w:t>
      </w:r>
      <w:r w:rsidRPr="009E6200">
        <w:rPr>
          <w:lang w:eastAsia="ru-RU"/>
        </w:rPr>
        <w:t>частотным показателям будет проводиться с помощью точного критерия Фишера либо критерия χ</w:t>
      </w:r>
      <w:r w:rsidRPr="009E6200">
        <w:rPr>
          <w:vertAlign w:val="superscript"/>
          <w:lang w:eastAsia="ru-RU"/>
        </w:rPr>
        <w:t>2</w:t>
      </w:r>
      <w:r w:rsidRPr="009E6200">
        <w:rPr>
          <w:lang w:eastAsia="ru-RU"/>
        </w:rPr>
        <w:t xml:space="preserve"> («хи-квадрат»)</w:t>
      </w:r>
      <w:r w:rsidR="007369A8" w:rsidRPr="009E6200">
        <w:rPr>
          <w:lang w:eastAsia="ru-RU"/>
        </w:rPr>
        <w:t xml:space="preserve">, в зависимости от </w:t>
      </w:r>
      <w:r w:rsidR="00152AE2" w:rsidRPr="009E6200">
        <w:rPr>
          <w:lang w:eastAsia="ru-RU"/>
        </w:rPr>
        <w:t xml:space="preserve">ожидаемого </w:t>
      </w:r>
      <w:r w:rsidR="007369A8" w:rsidRPr="009E6200">
        <w:rPr>
          <w:lang w:eastAsia="ru-RU"/>
        </w:rPr>
        <w:t>значения</w:t>
      </w:r>
      <w:r w:rsidR="00152AE2" w:rsidRPr="009E6200">
        <w:rPr>
          <w:lang w:eastAsia="ru-RU"/>
        </w:rPr>
        <w:t xml:space="preserve"> в ячейках таблицы сопряженности.</w:t>
      </w:r>
    </w:p>
    <w:p w14:paraId="0CDBA462" w14:textId="29E8E7B9" w:rsidR="00840275" w:rsidRDefault="00840275" w:rsidP="007B46F5">
      <w:pPr>
        <w:pStyle w:val="SDText"/>
        <w:ind w:firstLine="709"/>
        <w:jc w:val="both"/>
        <w:rPr>
          <w:lang w:eastAsia="ru-RU"/>
        </w:rPr>
      </w:pPr>
      <w:r w:rsidRPr="009E6200">
        <w:rPr>
          <w:lang w:eastAsia="ru-RU"/>
        </w:rPr>
        <w:t xml:space="preserve">Для </w:t>
      </w:r>
      <w:r w:rsidR="005E0777" w:rsidRPr="009E6200">
        <w:rPr>
          <w:lang w:eastAsia="ru-RU"/>
        </w:rPr>
        <w:t xml:space="preserve">количественных </w:t>
      </w:r>
      <w:r w:rsidRPr="009E6200">
        <w:rPr>
          <w:lang w:eastAsia="ru-RU"/>
        </w:rPr>
        <w:t xml:space="preserve">результатов лабораторных исследований </w:t>
      </w:r>
      <w:r w:rsidR="005E0777" w:rsidRPr="009E6200">
        <w:rPr>
          <w:lang w:eastAsia="ru-RU"/>
        </w:rPr>
        <w:t xml:space="preserve">сравнение </w:t>
      </w:r>
      <w:r w:rsidR="00204708" w:rsidRPr="009E6200">
        <w:rPr>
          <w:lang w:eastAsia="ru-RU"/>
        </w:rPr>
        <w:t xml:space="preserve">между группами на соответствующих визитах </w:t>
      </w:r>
      <w:r w:rsidR="005E0777" w:rsidRPr="009E6200">
        <w:rPr>
          <w:lang w:eastAsia="ru-RU"/>
        </w:rPr>
        <w:t>будет проводиться при помощи</w:t>
      </w:r>
      <w:r w:rsidR="00204708" w:rsidRPr="009E6200">
        <w:rPr>
          <w:lang w:eastAsia="ru-RU"/>
        </w:rPr>
        <w:t xml:space="preserve"> t-критерия либо критерия Манна-Уитни (в зависимости от характера распределения количественных показателей).</w:t>
      </w:r>
      <w:r w:rsidR="00097DC3" w:rsidRPr="009E6200">
        <w:rPr>
          <w:lang w:eastAsia="ru-RU"/>
        </w:rPr>
        <w:t xml:space="preserve"> Для оценки динамики количественных результатов лабораторных </w:t>
      </w:r>
      <w:r w:rsidR="00472145" w:rsidRPr="009E6200">
        <w:rPr>
          <w:lang w:eastAsia="ru-RU"/>
        </w:rPr>
        <w:t>к моменту завершения исследования по сравнению с началом исследования будет применяться парный t-критерий либо парный критерий Вилкоксона (в зависимости от характера распределения количественных показателей).</w:t>
      </w:r>
    </w:p>
    <w:p w14:paraId="670E5D9A" w14:textId="77777777" w:rsidR="00F95BA5" w:rsidRPr="009E6200" w:rsidRDefault="00F95BA5" w:rsidP="007B46F5">
      <w:pPr>
        <w:pStyle w:val="SDText"/>
        <w:ind w:firstLine="709"/>
        <w:jc w:val="both"/>
        <w:rPr>
          <w:lang w:eastAsia="ru-RU"/>
        </w:rPr>
      </w:pPr>
    </w:p>
    <w:p w14:paraId="613E06EC" w14:textId="5FE6FD7C" w:rsidR="00FC0B23" w:rsidRDefault="00524641" w:rsidP="007B46F5">
      <w:pPr>
        <w:pStyle w:val="Heading2"/>
      </w:pPr>
      <w:bookmarkStart w:id="274" w:name="_Toc496999315"/>
      <w:bookmarkStart w:id="275" w:name="_Toc523731629"/>
      <w:bookmarkStart w:id="276" w:name="_Toc120865317"/>
      <w:r>
        <w:t>Сроки проведения</w:t>
      </w:r>
      <w:r w:rsidR="00FC0B23" w:rsidRPr="009E6200">
        <w:t xml:space="preserve"> анализа</w:t>
      </w:r>
      <w:bookmarkEnd w:id="273"/>
      <w:bookmarkEnd w:id="274"/>
      <w:bookmarkEnd w:id="275"/>
      <w:bookmarkEnd w:id="276"/>
    </w:p>
    <w:p w14:paraId="1865A572" w14:textId="77777777" w:rsidR="00F95BA5" w:rsidRPr="00F95BA5" w:rsidRDefault="00F95BA5" w:rsidP="007B46F5">
      <w:pPr>
        <w:pStyle w:val="SDText"/>
        <w:rPr>
          <w:lang w:eastAsia="ru-RU"/>
        </w:rPr>
      </w:pPr>
    </w:p>
    <w:p w14:paraId="239C8096" w14:textId="7B827B4F" w:rsidR="00FC0B23" w:rsidRPr="009E6200" w:rsidRDefault="00EB0093" w:rsidP="007B46F5">
      <w:pPr>
        <w:pStyle w:val="SDText"/>
        <w:ind w:firstLine="709"/>
        <w:jc w:val="both"/>
        <w:rPr>
          <w:lang w:eastAsia="ru-RU"/>
        </w:rPr>
      </w:pPr>
      <w:r w:rsidRPr="009E6200">
        <w:rPr>
          <w:lang w:eastAsia="ru-RU"/>
        </w:rPr>
        <w:t xml:space="preserve">Промежуточный анализ в настоящем исследовани не </w:t>
      </w:r>
      <w:r w:rsidR="00532506" w:rsidRPr="009E6200">
        <w:rPr>
          <w:lang w:eastAsia="ru-RU"/>
        </w:rPr>
        <w:t xml:space="preserve">запланирован. </w:t>
      </w:r>
    </w:p>
    <w:p w14:paraId="54C4EE73" w14:textId="66D16AC2" w:rsidR="00532506" w:rsidRPr="009E6200" w:rsidRDefault="00532506" w:rsidP="007B46F5">
      <w:pPr>
        <w:pStyle w:val="SDText"/>
        <w:ind w:firstLine="709"/>
        <w:jc w:val="both"/>
        <w:rPr>
          <w:lang w:eastAsia="ru-RU"/>
        </w:rPr>
      </w:pPr>
      <w:r w:rsidRPr="009E6200">
        <w:rPr>
          <w:lang w:eastAsia="ru-RU"/>
        </w:rPr>
        <w:t>Основной анализ эффективности и безопасно</w:t>
      </w:r>
      <w:r w:rsidR="00071F73" w:rsidRPr="009E6200">
        <w:rPr>
          <w:lang w:eastAsia="ru-RU"/>
        </w:rPr>
        <w:t xml:space="preserve">сти </w:t>
      </w:r>
      <w:r w:rsidR="001063D3" w:rsidRPr="009E6200">
        <w:rPr>
          <w:lang w:eastAsia="ru-RU"/>
        </w:rPr>
        <w:t xml:space="preserve">будет проведен после завершения всеми пациентами </w:t>
      </w:r>
      <w:r w:rsidR="002E4D16" w:rsidRPr="009E6200">
        <w:rPr>
          <w:lang w:eastAsia="ru-RU"/>
        </w:rPr>
        <w:t>Визита 9</w:t>
      </w:r>
      <w:r w:rsidR="00E67C02" w:rsidRPr="009E6200">
        <w:rPr>
          <w:lang w:eastAsia="ru-RU"/>
        </w:rPr>
        <w:t>, дополнительный анализ эффективности и безопасности будет проведен после завершения всеми пациентами Визита 18.</w:t>
      </w:r>
    </w:p>
    <w:p w14:paraId="0AF978E2" w14:textId="244B4034" w:rsidR="00E67C02" w:rsidRPr="009E6200" w:rsidRDefault="00E67C02" w:rsidP="007B46F5">
      <w:pPr>
        <w:pStyle w:val="SDText"/>
        <w:ind w:firstLine="709"/>
        <w:jc w:val="both"/>
        <w:rPr>
          <w:rFonts w:cs="Times New Roman"/>
        </w:rPr>
      </w:pPr>
      <w:r w:rsidRPr="009E6200">
        <w:rPr>
          <w:lang w:eastAsia="ru-RU"/>
        </w:rPr>
        <w:t>Данные</w:t>
      </w:r>
      <w:r w:rsidR="00D75AEC" w:rsidRPr="009E6200">
        <w:rPr>
          <w:lang w:eastAsia="ru-RU"/>
        </w:rPr>
        <w:t>, полученные из рутинной клинической практики</w:t>
      </w:r>
      <w:r w:rsidR="005C4DCC" w:rsidRPr="009E6200">
        <w:rPr>
          <w:lang w:eastAsia="ru-RU"/>
        </w:rPr>
        <w:t xml:space="preserve"> (Визит 19 и далее, до завершения участия всех пациентов в исследовани</w:t>
      </w:r>
      <w:r w:rsidR="00526110" w:rsidRPr="009E6200">
        <w:rPr>
          <w:lang w:eastAsia="ru-RU"/>
        </w:rPr>
        <w:t>и</w:t>
      </w:r>
      <w:r w:rsidR="005C4DCC" w:rsidRPr="009E6200">
        <w:rPr>
          <w:lang w:eastAsia="ru-RU"/>
        </w:rPr>
        <w:t xml:space="preserve"> либо наступления условий, предписывающих прекращение</w:t>
      </w:r>
      <w:r w:rsidR="00526110" w:rsidRPr="009E6200">
        <w:rPr>
          <w:lang w:eastAsia="ru-RU"/>
        </w:rPr>
        <w:t xml:space="preserve"> участия как отдельных пациентов, так и исследования в целом)</w:t>
      </w:r>
      <w:r w:rsidR="00B76DF9" w:rsidRPr="009E6200">
        <w:rPr>
          <w:lang w:eastAsia="ru-RU"/>
        </w:rPr>
        <w:t xml:space="preserve">, будут представлены в </w:t>
      </w:r>
      <w:r w:rsidR="00D25292" w:rsidRPr="009E6200">
        <w:rPr>
          <w:lang w:eastAsia="ru-RU"/>
        </w:rPr>
        <w:t xml:space="preserve">виде информационных материалов, которые будут направлены в исследовательские центры и регуляторные органы </w:t>
      </w:r>
      <w:r w:rsidR="001C350A" w:rsidRPr="009E6200">
        <w:rPr>
          <w:lang w:eastAsia="ru-RU"/>
        </w:rPr>
        <w:t xml:space="preserve">с информационной целью. В связи с тем, что </w:t>
      </w:r>
      <w:r w:rsidR="00721E2A" w:rsidRPr="009E6200">
        <w:rPr>
          <w:lang w:eastAsia="ru-RU"/>
        </w:rPr>
        <w:t>в рамках последующего наблюдения информация будет собираться только в рамках рутинной клинической практики</w:t>
      </w:r>
      <w:r w:rsidR="00D36483" w:rsidRPr="009E6200">
        <w:rPr>
          <w:lang w:eastAsia="ru-RU"/>
        </w:rPr>
        <w:t xml:space="preserve"> и будет носить несравнительный характер</w:t>
      </w:r>
      <w:r w:rsidR="00721E2A" w:rsidRPr="009E6200">
        <w:rPr>
          <w:lang w:eastAsia="ru-RU"/>
        </w:rPr>
        <w:t xml:space="preserve">, она будет представлена описательно, по фактическим данным, без проведения </w:t>
      </w:r>
      <w:r w:rsidR="00CC642D" w:rsidRPr="009E6200">
        <w:rPr>
          <w:lang w:eastAsia="ru-RU"/>
        </w:rPr>
        <w:t xml:space="preserve">какого-либо статистического анализа. </w:t>
      </w:r>
    </w:p>
    <w:p w14:paraId="45FDCB6A" w14:textId="712A8CAD" w:rsidR="00027254" w:rsidRPr="009E6200" w:rsidRDefault="00027254" w:rsidP="007B46F5">
      <w:pPr>
        <w:pStyle w:val="SDText"/>
        <w:jc w:val="both"/>
        <w:rPr>
          <w:rFonts w:cs="Times New Roman"/>
        </w:rPr>
      </w:pPr>
    </w:p>
    <w:p w14:paraId="347181F1" w14:textId="77777777" w:rsidR="00FC0B23" w:rsidRPr="009E6200" w:rsidRDefault="00FC0B23" w:rsidP="007B46F5">
      <w:pPr>
        <w:pStyle w:val="Heading2"/>
      </w:pPr>
      <w:bookmarkStart w:id="277" w:name="_Toc496999316"/>
      <w:bookmarkStart w:id="278" w:name="_Toc523731630"/>
      <w:bookmarkStart w:id="279" w:name="_Toc120865318"/>
      <w:r w:rsidRPr="009E6200">
        <w:t>Планируемое количество участников клинического исследования с обоснованием размера выборки</w:t>
      </w:r>
      <w:bookmarkEnd w:id="277"/>
      <w:bookmarkEnd w:id="278"/>
      <w:bookmarkEnd w:id="279"/>
    </w:p>
    <w:p w14:paraId="6969C3C6" w14:textId="77777777" w:rsidR="005A436A" w:rsidRDefault="001F6468" w:rsidP="007B46F5">
      <w:pPr>
        <w:pStyle w:val="SDText"/>
        <w:jc w:val="both"/>
        <w:rPr>
          <w:lang w:eastAsia="ru-RU"/>
        </w:rPr>
      </w:pPr>
      <w:r w:rsidRPr="009E6200">
        <w:rPr>
          <w:lang w:eastAsia="ru-RU"/>
        </w:rPr>
        <w:fldChar w:fldCharType="begin"/>
      </w:r>
      <w:r w:rsidRPr="009E6200">
        <w:rPr>
          <w:lang w:eastAsia="ru-RU"/>
        </w:rPr>
        <w:instrText xml:space="preserve"> REF OLE_LINK_Sample_size \h </w:instrText>
      </w:r>
      <w:r w:rsidR="009E6200">
        <w:rPr>
          <w:lang w:eastAsia="ru-RU"/>
        </w:rPr>
        <w:instrText xml:space="preserve"> \* MERGEFORMAT </w:instrText>
      </w:r>
      <w:r w:rsidRPr="009E6200">
        <w:rPr>
          <w:lang w:eastAsia="ru-RU"/>
        </w:rPr>
      </w:r>
      <w:r w:rsidRPr="009E6200">
        <w:rPr>
          <w:lang w:eastAsia="ru-RU"/>
        </w:rPr>
        <w:fldChar w:fldCharType="separate"/>
      </w:r>
    </w:p>
    <w:sdt>
      <w:sdtPr>
        <w:rPr>
          <w:lang w:eastAsia="ru-RU"/>
        </w:rPr>
        <w:alias w:val="Обоснование размера выборки"/>
        <w:tag w:val="Обоснование размера выборки"/>
        <w:id w:val="839508383"/>
        <w:placeholder>
          <w:docPart w:val="36B982DE889A42B8B888DFD7B88E85E9"/>
        </w:placeholder>
      </w:sdtPr>
      <w:sdtEndPr/>
      <w:sdtContent>
        <w:sdt>
          <w:sdtPr>
            <w:rPr>
              <w:lang w:eastAsia="ru-RU"/>
            </w:rPr>
            <w:alias w:val="Обоснование размера выборки"/>
            <w:tag w:val="Обоснование размера выборки"/>
            <w:id w:val="-329917828"/>
            <w:placeholder>
              <w:docPart w:val="C587B18EE2CE46D7BD0F12E122AF8645"/>
            </w:placeholder>
          </w:sdtPr>
          <w:sdtEndPr/>
          <w:sdtContent>
            <w:p w14:paraId="122CC6C5" w14:textId="3C262FF2" w:rsidR="005A436A" w:rsidRPr="009E6200" w:rsidRDefault="005A436A" w:rsidP="007B46F5">
              <w:pPr>
                <w:pStyle w:val="SDText"/>
                <w:ind w:firstLine="709"/>
                <w:jc w:val="both"/>
                <w:rPr>
                  <w:rFonts w:cs="Times New Roman"/>
                  <w:lang w:eastAsia="ru-RU"/>
                </w:rPr>
              </w:pPr>
              <w:r w:rsidRPr="009E6200">
                <w:rPr>
                  <w:lang w:eastAsia="ru-RU"/>
                </w:rPr>
                <w:t>С</w:t>
              </w:r>
              <w:r w:rsidR="00F95BA5">
                <w:rPr>
                  <w:lang w:eastAsia="ru-RU"/>
                </w:rPr>
                <w:tab/>
              </w:r>
              <w:r w:rsidRPr="009E6200">
                <w:rPr>
                  <w:lang w:eastAsia="ru-RU"/>
                </w:rPr>
                <w:t xml:space="preserve"> целью установления биоаналогичности препаратов </w:t>
              </w:r>
              <w:r w:rsidRPr="009E6200">
                <w:rPr>
                  <w:lang w:val="en-US" w:eastAsia="ru-RU"/>
                </w:rPr>
                <w:t>RPH</w:t>
              </w:r>
              <w:r w:rsidRPr="00887681">
                <w:rPr>
                  <w:lang w:eastAsia="ru-RU"/>
                </w:rPr>
                <w:t>-001</w:t>
              </w:r>
              <w:r w:rsidRPr="009E6200">
                <w:rPr>
                  <w:lang w:eastAsia="ru-RU"/>
                </w:rPr>
                <w:t xml:space="preserve"> и Авастина</w:t>
              </w:r>
              <w:r w:rsidRPr="009E6200">
                <w:rPr>
                  <w:rFonts w:cs="Times New Roman"/>
                  <w:vertAlign w:val="superscript"/>
                  <w:lang w:eastAsia="ru-RU"/>
                </w:rPr>
                <w:t>®</w:t>
              </w:r>
              <w:r w:rsidRPr="009E6200">
                <w:rPr>
                  <w:rFonts w:cs="Times New Roman"/>
                  <w:vertAlign w:val="superscript"/>
                  <w:lang w:eastAsia="ru-RU"/>
                </w:rPr>
                <w:softHyphen/>
              </w:r>
              <w:r w:rsidRPr="009E6200">
                <w:rPr>
                  <w:rFonts w:cs="Times New Roman"/>
                  <w:vertAlign w:val="superscript"/>
                  <w:lang w:eastAsia="ru-RU"/>
                </w:rPr>
                <w:softHyphen/>
              </w:r>
              <w:r w:rsidRPr="009E6200">
                <w:rPr>
                  <w:rFonts w:cs="Times New Roman"/>
                  <w:lang w:eastAsia="ru-RU"/>
                </w:rPr>
                <w:t xml:space="preserve"> настоящее исследование запланировано как исследование терапевтической (клинической) эквивалентности. Учитывая, что установившиеся подходы к исследованиям </w:t>
              </w:r>
              <w:r w:rsidRPr="009E6200">
                <w:rPr>
                  <w:rFonts w:cs="Times New Roman"/>
                  <w:lang w:val="en-US" w:eastAsia="ru-RU"/>
                </w:rPr>
                <w:t>III</w:t>
              </w:r>
              <w:r w:rsidRPr="009E6200">
                <w:rPr>
                  <w:rFonts w:cs="Times New Roman"/>
                  <w:lang w:eastAsia="ru-RU"/>
                </w:rPr>
                <w:t xml:space="preserve"> фазы для биоаналогов в настоящее время недостаточно чувствительны в отношении доказательства бионалогичности и клинически значимых отличий в эффективности и безопасности препаратов </w:t>
              </w:r>
              <w:r w:rsidRPr="009E6200">
                <w:rPr>
                  <w:rFonts w:cs="Times New Roman"/>
                </w:rPr>
                <w:t>[1]</w:t>
              </w:r>
              <w:r w:rsidRPr="009E6200">
                <w:rPr>
                  <w:rFonts w:cs="Times New Roman"/>
                  <w:lang w:eastAsia="ru-RU"/>
                </w:rPr>
                <w:t xml:space="preserve">, для планирования объема выборки и последующего анализа первичной конечной точки в настоящем исследовании будет использоваться байесовский подход, основанный на публикации  </w:t>
              </w:r>
              <w:r w:rsidRPr="009E6200">
                <w:rPr>
                  <w:rFonts w:cs="Times New Roman"/>
                  <w:lang w:val="en-US" w:eastAsia="ru-RU"/>
                </w:rPr>
                <w:t>Weiss</w:t>
              </w:r>
              <w:r w:rsidRPr="009E6200">
                <w:rPr>
                  <w:rFonts w:cs="Times New Roman"/>
                  <w:lang w:eastAsia="ru-RU"/>
                </w:rPr>
                <w:t xml:space="preserve"> </w:t>
              </w:r>
              <w:r w:rsidRPr="009E6200">
                <w:rPr>
                  <w:rFonts w:cs="Times New Roman"/>
                  <w:lang w:val="en-US" w:eastAsia="ru-RU"/>
                </w:rPr>
                <w:t>et</w:t>
              </w:r>
              <w:r w:rsidRPr="009E6200">
                <w:rPr>
                  <w:rFonts w:cs="Times New Roman"/>
                  <w:lang w:eastAsia="ru-RU"/>
                </w:rPr>
                <w:t xml:space="preserve"> </w:t>
              </w:r>
              <w:r w:rsidRPr="009E6200">
                <w:rPr>
                  <w:rFonts w:cs="Times New Roman"/>
                  <w:lang w:val="en-US" w:eastAsia="ru-RU"/>
                </w:rPr>
                <w:t>al</w:t>
              </w:r>
              <w:r w:rsidRPr="009E6200">
                <w:rPr>
                  <w:rFonts w:cs="Times New Roman"/>
                  <w:lang w:eastAsia="ru-RU"/>
                </w:rPr>
                <w:t xml:space="preserve">. </w:t>
              </w:r>
              <w:r w:rsidRPr="005A436A">
                <w:rPr>
                  <w:rFonts w:cs="Times New Roman"/>
                  <w:lang w:eastAsia="ru-RU"/>
                </w:rPr>
                <w:t>“</w:t>
              </w:r>
              <w:r w:rsidRPr="009E6200">
                <w:rPr>
                  <w:rFonts w:cs="Times New Roman"/>
                  <w:lang w:val="en-US" w:eastAsia="ru-RU"/>
                </w:rPr>
                <w:t>Bayesian</w:t>
              </w:r>
              <w:r w:rsidRPr="005A436A">
                <w:rPr>
                  <w:rFonts w:cs="Times New Roman"/>
                  <w:lang w:eastAsia="ru-RU"/>
                </w:rPr>
                <w:t xml:space="preserve"> </w:t>
              </w:r>
              <w:r w:rsidRPr="009E6200">
                <w:rPr>
                  <w:rFonts w:cs="Times New Roman"/>
                  <w:lang w:val="en-US" w:eastAsia="ru-RU"/>
                </w:rPr>
                <w:t>methods</w:t>
              </w:r>
              <w:r w:rsidRPr="005A436A">
                <w:rPr>
                  <w:rFonts w:cs="Times New Roman"/>
                  <w:lang w:eastAsia="ru-RU"/>
                </w:rPr>
                <w:t xml:space="preserve"> </w:t>
              </w:r>
              <w:r w:rsidRPr="009E6200">
                <w:rPr>
                  <w:rFonts w:cs="Times New Roman"/>
                  <w:lang w:val="en-US" w:eastAsia="ru-RU"/>
                </w:rPr>
                <w:t>for</w:t>
              </w:r>
              <w:r w:rsidRPr="005A436A">
                <w:rPr>
                  <w:rFonts w:cs="Times New Roman"/>
                  <w:lang w:eastAsia="ru-RU"/>
                </w:rPr>
                <w:t xml:space="preserve"> </w:t>
              </w:r>
              <w:r w:rsidRPr="009E6200">
                <w:rPr>
                  <w:rFonts w:cs="Times New Roman"/>
                  <w:lang w:val="en-US" w:eastAsia="ru-RU"/>
                </w:rPr>
                <w:t>analysis</w:t>
              </w:r>
              <w:r w:rsidRPr="005A436A">
                <w:rPr>
                  <w:rFonts w:cs="Times New Roman"/>
                  <w:lang w:eastAsia="ru-RU"/>
                </w:rPr>
                <w:t xml:space="preserve"> </w:t>
              </w:r>
              <w:r w:rsidRPr="009E6200">
                <w:rPr>
                  <w:rFonts w:cs="Times New Roman"/>
                  <w:lang w:val="en-US" w:eastAsia="ru-RU"/>
                </w:rPr>
                <w:t>of</w:t>
              </w:r>
              <w:r w:rsidRPr="005A436A">
                <w:rPr>
                  <w:rFonts w:cs="Times New Roman"/>
                  <w:lang w:eastAsia="ru-RU"/>
                </w:rPr>
                <w:t xml:space="preserve"> </w:t>
              </w:r>
              <w:r w:rsidRPr="009E6200">
                <w:rPr>
                  <w:rFonts w:cs="Times New Roman"/>
                  <w:lang w:val="en-US" w:eastAsia="ru-RU"/>
                </w:rPr>
                <w:t>biosimilar</w:t>
              </w:r>
              <w:r w:rsidRPr="005A436A">
                <w:rPr>
                  <w:rFonts w:cs="Times New Roman"/>
                  <w:lang w:eastAsia="ru-RU"/>
                </w:rPr>
                <w:t xml:space="preserve"> </w:t>
              </w:r>
              <w:r w:rsidRPr="009E6200">
                <w:rPr>
                  <w:rFonts w:cs="Times New Roman"/>
                  <w:lang w:val="en-US" w:eastAsia="ru-RU"/>
                </w:rPr>
                <w:t>phase</w:t>
              </w:r>
              <w:r w:rsidRPr="005A436A">
                <w:rPr>
                  <w:rFonts w:cs="Times New Roman"/>
                  <w:lang w:eastAsia="ru-RU"/>
                </w:rPr>
                <w:t xml:space="preserve"> </w:t>
              </w:r>
              <w:r w:rsidRPr="009E6200">
                <w:rPr>
                  <w:rFonts w:cs="Times New Roman"/>
                  <w:lang w:val="en-US" w:eastAsia="ru-RU"/>
                </w:rPr>
                <w:t>III</w:t>
              </w:r>
              <w:r w:rsidRPr="005A436A">
                <w:rPr>
                  <w:rFonts w:cs="Times New Roman"/>
                  <w:lang w:eastAsia="ru-RU"/>
                </w:rPr>
                <w:t xml:space="preserve"> </w:t>
              </w:r>
              <w:r w:rsidRPr="009E6200">
                <w:rPr>
                  <w:rFonts w:cs="Times New Roman"/>
                  <w:lang w:val="en-US" w:eastAsia="ru-RU"/>
                </w:rPr>
                <w:t>trials</w:t>
              </w:r>
              <w:r w:rsidRPr="005A436A">
                <w:rPr>
                  <w:rFonts w:cs="Times New Roman"/>
                  <w:lang w:eastAsia="ru-RU"/>
                </w:rPr>
                <w:t>” (</w:t>
              </w:r>
              <w:r w:rsidRPr="009E6200">
                <w:rPr>
                  <w:rFonts w:cs="Times New Roman"/>
                  <w:lang w:val="en-US" w:eastAsia="ru-RU"/>
                </w:rPr>
                <w:t>Stat</w:t>
              </w:r>
              <w:r w:rsidRPr="005A436A">
                <w:rPr>
                  <w:rFonts w:cs="Times New Roman"/>
                  <w:lang w:eastAsia="ru-RU"/>
                </w:rPr>
                <w:t xml:space="preserve"> </w:t>
              </w:r>
              <w:r w:rsidRPr="009E6200">
                <w:rPr>
                  <w:rFonts w:cs="Times New Roman"/>
                  <w:lang w:val="en-US" w:eastAsia="ru-RU"/>
                </w:rPr>
                <w:t>Med</w:t>
              </w:r>
              <w:r w:rsidRPr="005A436A">
                <w:rPr>
                  <w:rFonts w:cs="Times New Roman"/>
                  <w:lang w:eastAsia="ru-RU"/>
                </w:rPr>
                <w:t xml:space="preserve">. 2018 </w:t>
              </w:r>
              <w:r w:rsidRPr="009E6200">
                <w:rPr>
                  <w:rFonts w:cs="Times New Roman"/>
                  <w:lang w:val="en-US" w:eastAsia="ru-RU"/>
                </w:rPr>
                <w:t>Sep</w:t>
              </w:r>
              <w:r w:rsidRPr="005A436A">
                <w:rPr>
                  <w:rFonts w:cs="Times New Roman"/>
                  <w:lang w:eastAsia="ru-RU"/>
                </w:rPr>
                <w:t xml:space="preserve"> 10;37(20):2938-2953) </w:t>
              </w:r>
              <w:r w:rsidRPr="009E6200">
                <w:rPr>
                  <w:rFonts w:cs="Times New Roman"/>
                </w:rPr>
                <w:t>[2]</w:t>
              </w:r>
              <w:r w:rsidRPr="009E6200">
                <w:rPr>
                  <w:rFonts w:cs="Times New Roman"/>
                  <w:lang w:eastAsia="ru-RU"/>
                </w:rPr>
                <w:t>, который при анализе относительного риска позволяет получить большую мощность, более узкие границы 90% доверительного интервала (который будет соответствовать границам более 90% для стандартного частотного подхода), а также меньшую величину ошибки при меньшем объеме выборки по сравнению со стандартными частотными методами.</w:t>
              </w:r>
            </w:p>
            <w:p w14:paraId="5AD23461" w14:textId="77777777" w:rsidR="005A436A" w:rsidRPr="009E6200" w:rsidRDefault="005A436A" w:rsidP="007B46F5">
              <w:pPr>
                <w:pStyle w:val="SDText"/>
                <w:ind w:firstLine="709"/>
                <w:jc w:val="both"/>
                <w:rPr>
                  <w:lang w:eastAsia="ru-RU" w:bidi="ru-RU"/>
                </w:rPr>
              </w:pPr>
              <w:r w:rsidRPr="009E6200">
                <w:rPr>
                  <w:rFonts w:cs="Arial"/>
                  <w:color w:val="000000"/>
                  <w:szCs w:val="20"/>
                  <w:shd w:val="clear" w:color="auto" w:fill="FFFFFF"/>
                </w:rPr>
                <w:t>В связи с использованием методики, описанной в вышеприведенной публикации, в качестве первичной конечной точки выбрана ч</w:t>
              </w:r>
              <w:r w:rsidRPr="005A436A">
                <w:rPr>
                  <w:rFonts w:cs="Arial"/>
                  <w:color w:val="000000"/>
                  <w:szCs w:val="20"/>
                  <w:shd w:val="clear" w:color="auto" w:fill="FFFFFF"/>
                </w:rPr>
                <w:t>астота</w:t>
              </w:r>
              <w:r w:rsidRPr="009E6200">
                <w:rPr>
                  <w:lang w:eastAsia="ru-RU" w:bidi="ru-RU"/>
                </w:rPr>
                <w:t xml:space="preserve"> объективного ответа через 6 месяцев, выраженная в виде отношения долей (то есть относительного риска). </w:t>
              </w:r>
            </w:p>
            <w:p w14:paraId="4D304BA6" w14:textId="77777777" w:rsidR="005A436A" w:rsidRPr="009E6200" w:rsidRDefault="005A436A" w:rsidP="007B46F5">
              <w:pPr>
                <w:pStyle w:val="SDText"/>
                <w:jc w:val="both"/>
                <w:rPr>
                  <w:rFonts w:cs="Arial"/>
                  <w:color w:val="000000"/>
                  <w:szCs w:val="20"/>
                  <w:shd w:val="clear" w:color="auto" w:fill="FFFFFF"/>
                </w:rPr>
              </w:pPr>
              <w:r w:rsidRPr="009E6200">
                <w:rPr>
                  <w:rFonts w:cs="Arial"/>
                  <w:color w:val="000000"/>
                  <w:szCs w:val="20"/>
                  <w:shd w:val="clear" w:color="auto" w:fill="FFFFFF"/>
                </w:rPr>
                <w:t>Для расчета объема выборки были выдвинуты следующие допущения:</w:t>
              </w:r>
            </w:p>
            <w:p w14:paraId="50D2F40C" w14:textId="77777777" w:rsidR="005A436A" w:rsidRPr="009E6200" w:rsidRDefault="005A436A" w:rsidP="007B46F5">
              <w:pPr>
                <w:pStyle w:val="SDText"/>
                <w:numPr>
                  <w:ilvl w:val="0"/>
                  <w:numId w:val="27"/>
                </w:numPr>
                <w:ind w:left="851" w:hanging="284"/>
                <w:jc w:val="both"/>
                <w:rPr>
                  <w:rFonts w:cs="Arial"/>
                  <w:color w:val="000000"/>
                  <w:szCs w:val="20"/>
                  <w:shd w:val="clear" w:color="auto" w:fill="FFFFFF"/>
                </w:rPr>
              </w:pPr>
              <w:r w:rsidRPr="009E6200">
                <w:rPr>
                  <w:rFonts w:cs="Arial"/>
                  <w:color w:val="000000"/>
                  <w:szCs w:val="20"/>
                  <w:shd w:val="clear" w:color="auto" w:fill="FFFFFF"/>
                </w:rPr>
                <w:t>Расчет произведен на основании точного байесовского подхода для долей с использованием модифицированной модели наихудшего исхода (</w:t>
              </w:r>
              <w:r w:rsidRPr="009E6200">
                <w:rPr>
                  <w:rFonts w:cs="Arial"/>
                  <w:color w:val="000000"/>
                  <w:szCs w:val="20"/>
                  <w:shd w:val="clear" w:color="auto" w:fill="FFFFFF"/>
                  <w:lang w:val="en-US"/>
                </w:rPr>
                <w:t>MWOC</w:t>
              </w:r>
              <w:r w:rsidRPr="009E6200">
                <w:rPr>
                  <w:rFonts w:cs="Arial"/>
                  <w:color w:val="000000"/>
                  <w:szCs w:val="20"/>
                  <w:shd w:val="clear" w:color="auto" w:fill="FFFFFF"/>
                </w:rPr>
                <w:t>) как наиболее консервативной оценки объема выборки</w:t>
              </w:r>
            </w:p>
            <w:p w14:paraId="47E95AE8" w14:textId="77777777" w:rsidR="005A436A" w:rsidRPr="009E6200" w:rsidRDefault="005A436A" w:rsidP="007B46F5">
              <w:pPr>
                <w:pStyle w:val="SDText"/>
                <w:numPr>
                  <w:ilvl w:val="0"/>
                  <w:numId w:val="27"/>
                </w:numPr>
                <w:ind w:left="851" w:hanging="284"/>
                <w:jc w:val="both"/>
                <w:rPr>
                  <w:rFonts w:cs="Arial"/>
                  <w:color w:val="000000"/>
                  <w:szCs w:val="20"/>
                  <w:shd w:val="clear" w:color="auto" w:fill="FFFFFF"/>
                </w:rPr>
              </w:pPr>
              <w:r w:rsidRPr="009E6200">
                <w:rPr>
                  <w:rFonts w:cs="Arial"/>
                  <w:color w:val="000000"/>
                  <w:szCs w:val="20"/>
                  <w:shd w:val="clear" w:color="auto" w:fill="FFFFFF"/>
                </w:rPr>
                <w:t xml:space="preserve">Границы признания терапевтической (клинической) эквивалентности выбраны на основании исследования  биоаналога бевацизумаба при аналогичной нозологии (Efficacy and Safety of the Biosimilar ABP 215 </w:t>
              </w:r>
              <w:r w:rsidRPr="009E6200">
                <w:rPr>
                  <w:rFonts w:cs="Arial"/>
                  <w:color w:val="000000"/>
                  <w:szCs w:val="20"/>
                  <w:shd w:val="clear" w:color="auto" w:fill="FFFFFF"/>
                  <w:lang w:val="en-US"/>
                </w:rPr>
                <w:t>Compared</w:t>
              </w:r>
              <w:r w:rsidRPr="009E6200">
                <w:rPr>
                  <w:rFonts w:cs="Arial"/>
                  <w:color w:val="000000"/>
                  <w:szCs w:val="20"/>
                  <w:shd w:val="clear" w:color="auto" w:fill="FFFFFF"/>
                </w:rPr>
                <w:t xml:space="preserve"> </w:t>
              </w:r>
              <w:r w:rsidRPr="009E6200">
                <w:rPr>
                  <w:rFonts w:cs="Arial"/>
                  <w:color w:val="000000"/>
                  <w:szCs w:val="20"/>
                  <w:shd w:val="clear" w:color="auto" w:fill="FFFFFF"/>
                  <w:lang w:val="en-US"/>
                </w:rPr>
                <w:t>with</w:t>
              </w:r>
              <w:r w:rsidRPr="009E6200">
                <w:rPr>
                  <w:rFonts w:cs="Arial"/>
                  <w:color w:val="000000"/>
                  <w:szCs w:val="20"/>
                  <w:shd w:val="clear" w:color="auto" w:fill="FFFFFF"/>
                </w:rPr>
                <w:t xml:space="preserve"> </w:t>
              </w:r>
              <w:r w:rsidRPr="009E6200">
                <w:rPr>
                  <w:rFonts w:cs="Arial"/>
                  <w:color w:val="000000"/>
                  <w:szCs w:val="20"/>
                  <w:shd w:val="clear" w:color="auto" w:fill="FFFFFF"/>
                  <w:lang w:val="en-US"/>
                </w:rPr>
                <w:t>Bevacizumab</w:t>
              </w:r>
              <w:r w:rsidRPr="009E6200">
                <w:rPr>
                  <w:rFonts w:cs="Arial"/>
                  <w:color w:val="000000"/>
                  <w:szCs w:val="20"/>
                  <w:shd w:val="clear" w:color="auto" w:fill="FFFFFF"/>
                </w:rPr>
                <w:t xml:space="preserve"> </w:t>
              </w:r>
              <w:r w:rsidRPr="009E6200">
                <w:rPr>
                  <w:rFonts w:cs="Arial"/>
                  <w:color w:val="000000"/>
                  <w:szCs w:val="20"/>
                  <w:shd w:val="clear" w:color="auto" w:fill="FFFFFF"/>
                  <w:lang w:val="en-US"/>
                </w:rPr>
                <w:t>in</w:t>
              </w:r>
              <w:r w:rsidRPr="009E6200">
                <w:rPr>
                  <w:rFonts w:cs="Arial"/>
                  <w:color w:val="000000"/>
                  <w:szCs w:val="20"/>
                  <w:shd w:val="clear" w:color="auto" w:fill="FFFFFF"/>
                </w:rPr>
                <w:t xml:space="preserve"> </w:t>
              </w:r>
              <w:r w:rsidRPr="009E6200">
                <w:rPr>
                  <w:rFonts w:cs="Arial"/>
                  <w:color w:val="000000"/>
                  <w:szCs w:val="20"/>
                  <w:shd w:val="clear" w:color="auto" w:fill="FFFFFF"/>
                  <w:lang w:val="en-US"/>
                </w:rPr>
                <w:t>Patients</w:t>
              </w:r>
              <w:r w:rsidRPr="009E6200">
                <w:rPr>
                  <w:rFonts w:cs="Arial"/>
                  <w:color w:val="000000"/>
                  <w:szCs w:val="20"/>
                  <w:shd w:val="clear" w:color="auto" w:fill="FFFFFF"/>
                </w:rPr>
                <w:t xml:space="preserve"> </w:t>
              </w:r>
              <w:r w:rsidRPr="009E6200">
                <w:rPr>
                  <w:rFonts w:cs="Arial"/>
                  <w:color w:val="000000"/>
                  <w:szCs w:val="20"/>
                  <w:shd w:val="clear" w:color="auto" w:fill="FFFFFF"/>
                  <w:lang w:val="en-US"/>
                </w:rPr>
                <w:t>with</w:t>
              </w:r>
              <w:r w:rsidRPr="009E6200">
                <w:rPr>
                  <w:rFonts w:cs="Arial"/>
                  <w:color w:val="000000"/>
                  <w:szCs w:val="20"/>
                  <w:shd w:val="clear" w:color="auto" w:fill="FFFFFF"/>
                </w:rPr>
                <w:t xml:space="preserve"> </w:t>
              </w:r>
              <w:r w:rsidRPr="009E6200">
                <w:rPr>
                  <w:rFonts w:cs="Arial"/>
                  <w:color w:val="000000"/>
                  <w:szCs w:val="20"/>
                  <w:shd w:val="clear" w:color="auto" w:fill="FFFFFF"/>
                  <w:lang w:val="en-US"/>
                </w:rPr>
                <w:t>Advanced</w:t>
              </w:r>
              <w:r w:rsidRPr="009E6200">
                <w:rPr>
                  <w:rFonts w:cs="Arial"/>
                  <w:color w:val="000000"/>
                  <w:szCs w:val="20"/>
                  <w:shd w:val="clear" w:color="auto" w:fill="FFFFFF"/>
                </w:rPr>
                <w:t xml:space="preserve"> </w:t>
              </w:r>
              <w:r w:rsidRPr="009E6200">
                <w:rPr>
                  <w:rFonts w:cs="Arial"/>
                  <w:color w:val="000000"/>
                  <w:szCs w:val="20"/>
                  <w:shd w:val="clear" w:color="auto" w:fill="FFFFFF"/>
                  <w:lang w:val="en-US"/>
                </w:rPr>
                <w:t>Nonsquamous</w:t>
              </w:r>
              <w:r w:rsidRPr="009E6200">
                <w:rPr>
                  <w:rFonts w:cs="Arial"/>
                  <w:color w:val="000000"/>
                  <w:szCs w:val="20"/>
                  <w:shd w:val="clear" w:color="auto" w:fill="FFFFFF"/>
                </w:rPr>
                <w:t xml:space="preserve"> </w:t>
              </w:r>
              <w:r w:rsidRPr="009E6200">
                <w:rPr>
                  <w:rFonts w:cs="Arial"/>
                  <w:color w:val="000000"/>
                  <w:szCs w:val="20"/>
                  <w:shd w:val="clear" w:color="auto" w:fill="FFFFFF"/>
                  <w:lang w:val="en-US"/>
                </w:rPr>
                <w:t>Non</w:t>
              </w:r>
              <w:r w:rsidRPr="009E6200">
                <w:rPr>
                  <w:rFonts w:cs="Arial"/>
                  <w:color w:val="000000"/>
                  <w:szCs w:val="20"/>
                  <w:shd w:val="clear" w:color="auto" w:fill="FFFFFF"/>
                </w:rPr>
                <w:t>–</w:t>
              </w:r>
              <w:r w:rsidRPr="009E6200">
                <w:rPr>
                  <w:rFonts w:cs="Arial"/>
                  <w:color w:val="000000"/>
                  <w:szCs w:val="20"/>
                  <w:shd w:val="clear" w:color="auto" w:fill="FFFFFF"/>
                  <w:lang w:val="en-US"/>
                </w:rPr>
                <w:t>small</w:t>
              </w:r>
              <w:r w:rsidRPr="009E6200">
                <w:rPr>
                  <w:rFonts w:cs="Arial"/>
                  <w:color w:val="000000"/>
                  <w:szCs w:val="20"/>
                  <w:shd w:val="clear" w:color="auto" w:fill="FFFFFF"/>
                </w:rPr>
                <w:t xml:space="preserve"> </w:t>
              </w:r>
              <w:r w:rsidRPr="009E6200">
                <w:rPr>
                  <w:rFonts w:cs="Arial"/>
                  <w:color w:val="000000"/>
                  <w:szCs w:val="20"/>
                  <w:shd w:val="clear" w:color="auto" w:fill="FFFFFF"/>
                  <w:lang w:val="en-US"/>
                </w:rPr>
                <w:t>Cell</w:t>
              </w:r>
              <w:r w:rsidRPr="009E6200">
                <w:rPr>
                  <w:rFonts w:cs="Arial"/>
                  <w:color w:val="000000"/>
                  <w:szCs w:val="20"/>
                  <w:shd w:val="clear" w:color="auto" w:fill="FFFFFF"/>
                </w:rPr>
                <w:t xml:space="preserve"> </w:t>
              </w:r>
              <w:r w:rsidRPr="009E6200">
                <w:rPr>
                  <w:rFonts w:cs="Arial"/>
                  <w:color w:val="000000"/>
                  <w:szCs w:val="20"/>
                  <w:shd w:val="clear" w:color="auto" w:fill="FFFFFF"/>
                  <w:lang w:val="en-US"/>
                </w:rPr>
                <w:t>Lung</w:t>
              </w:r>
              <w:r w:rsidRPr="009E6200">
                <w:rPr>
                  <w:rFonts w:cs="Arial"/>
                  <w:color w:val="000000"/>
                  <w:szCs w:val="20"/>
                  <w:shd w:val="clear" w:color="auto" w:fill="FFFFFF"/>
                </w:rPr>
                <w:t xml:space="preserve"> </w:t>
              </w:r>
              <w:r w:rsidRPr="009E6200">
                <w:rPr>
                  <w:rFonts w:cs="Arial"/>
                  <w:color w:val="000000"/>
                  <w:szCs w:val="20"/>
                  <w:shd w:val="clear" w:color="auto" w:fill="FFFFFF"/>
                  <w:lang w:val="en-US"/>
                </w:rPr>
                <w:t>Cancer</w:t>
              </w:r>
              <w:r w:rsidRPr="009E6200">
                <w:rPr>
                  <w:rFonts w:cs="Arial"/>
                  <w:color w:val="000000"/>
                  <w:szCs w:val="20"/>
                  <w:shd w:val="clear" w:color="auto" w:fill="FFFFFF"/>
                </w:rPr>
                <w:t xml:space="preserve"> (</w:t>
              </w:r>
              <w:r w:rsidRPr="009E6200">
                <w:rPr>
                  <w:rFonts w:cs="Arial"/>
                  <w:color w:val="000000"/>
                  <w:szCs w:val="20"/>
                  <w:shd w:val="clear" w:color="auto" w:fill="FFFFFF"/>
                  <w:lang w:val="en-US"/>
                </w:rPr>
                <w:t>MAPLE</w:t>
              </w:r>
              <w:r w:rsidRPr="009E6200">
                <w:rPr>
                  <w:rFonts w:cs="Arial"/>
                  <w:color w:val="000000"/>
                  <w:szCs w:val="20"/>
                  <w:shd w:val="clear" w:color="auto" w:fill="FFFFFF"/>
                </w:rPr>
                <w:t xml:space="preserve">): </w:t>
              </w:r>
              <w:r w:rsidRPr="009E6200">
                <w:rPr>
                  <w:rFonts w:cs="Arial"/>
                  <w:color w:val="000000"/>
                  <w:szCs w:val="20"/>
                  <w:shd w:val="clear" w:color="auto" w:fill="FFFFFF"/>
                  <w:lang w:val="en-US"/>
                </w:rPr>
                <w:t>A</w:t>
              </w:r>
              <w:r w:rsidRPr="009E6200">
                <w:rPr>
                  <w:rFonts w:cs="Arial"/>
                  <w:color w:val="000000"/>
                  <w:szCs w:val="20"/>
                  <w:shd w:val="clear" w:color="auto" w:fill="FFFFFF"/>
                </w:rPr>
                <w:t xml:space="preserve"> </w:t>
              </w:r>
              <w:r w:rsidRPr="009E6200">
                <w:rPr>
                  <w:rFonts w:cs="Arial"/>
                  <w:color w:val="000000"/>
                  <w:szCs w:val="20"/>
                  <w:shd w:val="clear" w:color="auto" w:fill="FFFFFF"/>
                  <w:lang w:val="en-US"/>
                </w:rPr>
                <w:t>Randomized</w:t>
              </w:r>
              <w:r w:rsidRPr="009E6200">
                <w:rPr>
                  <w:rFonts w:cs="Arial"/>
                  <w:color w:val="000000"/>
                  <w:szCs w:val="20"/>
                  <w:shd w:val="clear" w:color="auto" w:fill="FFFFFF"/>
                </w:rPr>
                <w:t xml:space="preserve">, </w:t>
              </w:r>
              <w:r w:rsidRPr="009E6200">
                <w:rPr>
                  <w:rFonts w:cs="Arial"/>
                  <w:color w:val="000000"/>
                  <w:szCs w:val="20"/>
                  <w:shd w:val="clear" w:color="auto" w:fill="FFFFFF"/>
                  <w:lang w:val="en-US"/>
                </w:rPr>
                <w:t>Double</w:t>
              </w:r>
              <w:r w:rsidRPr="00887681">
                <w:rPr>
                  <w:rFonts w:cs="Arial"/>
                  <w:color w:val="000000"/>
                  <w:szCs w:val="20"/>
                  <w:shd w:val="clear" w:color="auto" w:fill="FFFFFF"/>
                </w:rPr>
                <w:t>-</w:t>
              </w:r>
              <w:r w:rsidRPr="009E6200">
                <w:rPr>
                  <w:rFonts w:cs="Arial"/>
                  <w:color w:val="000000"/>
                  <w:szCs w:val="20"/>
                  <w:shd w:val="clear" w:color="auto" w:fill="FFFFFF"/>
                  <w:lang w:val="en-US"/>
                </w:rPr>
                <w:t>blind</w:t>
              </w:r>
              <w:r w:rsidRPr="009E6200">
                <w:rPr>
                  <w:rFonts w:cs="Arial"/>
                  <w:color w:val="000000"/>
                  <w:szCs w:val="20"/>
                  <w:shd w:val="clear" w:color="auto" w:fill="FFFFFF"/>
                </w:rPr>
                <w:t xml:space="preserve">, Phase III Study) </w:t>
              </w:r>
              <w:r w:rsidRPr="009E6200">
                <w:rPr>
                  <w:rFonts w:cs="Times New Roman"/>
                </w:rPr>
                <w:t>[3]</w:t>
              </w:r>
              <w:r w:rsidRPr="009E6200">
                <w:rPr>
                  <w:rFonts w:cs="Arial"/>
                  <w:color w:val="000000"/>
                  <w:szCs w:val="20"/>
                  <w:shd w:val="clear" w:color="auto" w:fill="FFFFFF"/>
                </w:rPr>
                <w:t xml:space="preserve">, в котором также использовался показатель отношения долей (относительного риска) – в данном случае использованы границы от 0,67 до 1,5. </w:t>
              </w:r>
            </w:p>
            <w:p w14:paraId="5E515B5C" w14:textId="77777777" w:rsidR="005A436A" w:rsidRPr="009E6200" w:rsidRDefault="005A436A" w:rsidP="007B46F5">
              <w:pPr>
                <w:pStyle w:val="SDText"/>
                <w:numPr>
                  <w:ilvl w:val="0"/>
                  <w:numId w:val="27"/>
                </w:numPr>
                <w:ind w:left="851" w:hanging="284"/>
                <w:jc w:val="both"/>
                <w:rPr>
                  <w:rFonts w:cs="Arial"/>
                  <w:color w:val="000000"/>
                  <w:szCs w:val="20"/>
                  <w:shd w:val="clear" w:color="auto" w:fill="FFFFFF"/>
                </w:rPr>
              </w:pPr>
              <w:r w:rsidRPr="009E6200">
                <w:rPr>
                  <w:rFonts w:cs="Arial"/>
                  <w:color w:val="000000"/>
                  <w:szCs w:val="20"/>
                  <w:shd w:val="clear" w:color="auto" w:fill="FFFFFF"/>
                </w:rPr>
                <w:t xml:space="preserve">Частота объективного ответа через 6 месяцев для биоаналогов бевацизумаба (по данным публичных отчетов </w:t>
              </w:r>
              <w:r w:rsidRPr="009E6200">
                <w:rPr>
                  <w:rFonts w:cs="Arial"/>
                  <w:color w:val="000000"/>
                  <w:szCs w:val="20"/>
                  <w:shd w:val="clear" w:color="auto" w:fill="FFFFFF"/>
                  <w:lang w:val="en-US"/>
                </w:rPr>
                <w:t>EMA</w:t>
              </w:r>
              <w:r w:rsidRPr="009E6200">
                <w:rPr>
                  <w:rFonts w:cs="Arial"/>
                  <w:color w:val="000000"/>
                  <w:szCs w:val="20"/>
                  <w:shd w:val="clear" w:color="auto" w:fill="FFFFFF"/>
                </w:rPr>
                <w:t xml:space="preserve"> и F</w:t>
              </w:r>
              <w:r w:rsidRPr="005A436A">
                <w:rPr>
                  <w:rFonts w:cs="Arial"/>
                  <w:color w:val="000000"/>
                  <w:szCs w:val="20"/>
                  <w:shd w:val="clear" w:color="auto" w:fill="FFFFFF"/>
                </w:rPr>
                <w:t>DA</w:t>
              </w:r>
              <w:r w:rsidRPr="009E6200">
                <w:rPr>
                  <w:rFonts w:cs="Arial"/>
                  <w:color w:val="000000"/>
                  <w:szCs w:val="20"/>
                  <w:shd w:val="clear" w:color="auto" w:fill="FFFFFF"/>
                </w:rPr>
                <w:t xml:space="preserve">, а также публичных данных с сайта </w:t>
              </w:r>
              <w:r w:rsidRPr="009E6200">
                <w:rPr>
                  <w:rFonts w:cs="Arial"/>
                  <w:color w:val="000000"/>
                  <w:szCs w:val="20"/>
                  <w:shd w:val="clear" w:color="auto" w:fill="FFFFFF"/>
                  <w:lang w:val="en-US"/>
                </w:rPr>
                <w:t>clinicaltrials</w:t>
              </w:r>
              <w:r w:rsidRPr="009E6200">
                <w:rPr>
                  <w:rFonts w:cs="Arial"/>
                  <w:color w:val="000000"/>
                  <w:szCs w:val="20"/>
                  <w:shd w:val="clear" w:color="auto" w:fill="FFFFFF"/>
                </w:rPr>
                <w:t>.</w:t>
              </w:r>
              <w:r w:rsidRPr="009E6200">
                <w:rPr>
                  <w:rFonts w:cs="Arial"/>
                  <w:color w:val="000000"/>
                  <w:szCs w:val="20"/>
                  <w:shd w:val="clear" w:color="auto" w:fill="FFFFFF"/>
                  <w:lang w:val="en-US"/>
                </w:rPr>
                <w:t>gov</w:t>
              </w:r>
              <w:r w:rsidRPr="009E6200">
                <w:rPr>
                  <w:rFonts w:cs="Arial"/>
                  <w:color w:val="000000"/>
                  <w:szCs w:val="20"/>
                  <w:shd w:val="clear" w:color="auto" w:fill="FFFFFF"/>
                </w:rPr>
                <w:t>) составляет в среднем 40%, соответственно, вышеуказанные границы в абсолютном выражении составляют от 26,8% до 60%, что соответствует ширине доверительного интервала для разницы долей = 33,2% (для расчетов использована величина 33%)</w:t>
              </w:r>
            </w:p>
            <w:p w14:paraId="722AB388" w14:textId="77777777" w:rsidR="005A436A" w:rsidRPr="009E6200" w:rsidRDefault="005A436A" w:rsidP="007B46F5">
              <w:pPr>
                <w:pStyle w:val="SDText"/>
                <w:numPr>
                  <w:ilvl w:val="0"/>
                  <w:numId w:val="27"/>
                </w:numPr>
                <w:ind w:left="851" w:hanging="284"/>
                <w:jc w:val="both"/>
                <w:rPr>
                  <w:rFonts w:cs="Arial"/>
                  <w:color w:val="000000"/>
                  <w:szCs w:val="20"/>
                  <w:shd w:val="clear" w:color="auto" w:fill="FFFFFF"/>
                </w:rPr>
              </w:pPr>
              <w:r w:rsidRPr="009E6200">
                <w:rPr>
                  <w:rFonts w:cs="Arial"/>
                  <w:color w:val="000000"/>
                  <w:szCs w:val="20"/>
                  <w:shd w:val="clear" w:color="auto" w:fill="FFFFFF"/>
                </w:rPr>
                <w:t xml:space="preserve">В связи с близостью ЧОО к 50% претестовая вероятность, используемая в расчетах, оценена как неинформативная (частота достижения и недостижения исхода оценены как приблизительно равные, то есть для расчетов использованы неинформативные показатели </w:t>
              </w:r>
              <w:r w:rsidRPr="009E6200">
                <w:rPr>
                  <w:rFonts w:cs="Arial"/>
                  <w:color w:val="000000"/>
                  <w:szCs w:val="20"/>
                  <w:shd w:val="clear" w:color="auto" w:fill="FFFFFF"/>
                  <w:lang w:val="en-US"/>
                </w:rPr>
                <w:t>c</w:t>
              </w:r>
              <w:r w:rsidRPr="009E6200">
                <w:rPr>
                  <w:rFonts w:cs="Arial"/>
                  <w:color w:val="000000"/>
                  <w:szCs w:val="20"/>
                  <w:shd w:val="clear" w:color="auto" w:fill="FFFFFF"/>
                </w:rPr>
                <w:t xml:space="preserve"> и </w:t>
              </w:r>
              <w:r w:rsidRPr="009E6200">
                <w:rPr>
                  <w:rFonts w:cs="Arial"/>
                  <w:color w:val="000000"/>
                  <w:szCs w:val="20"/>
                  <w:shd w:val="clear" w:color="auto" w:fill="FFFFFF"/>
                  <w:lang w:val="en-US"/>
                </w:rPr>
                <w:t>d</w:t>
              </w:r>
              <w:r w:rsidRPr="009E6200">
                <w:rPr>
                  <w:rFonts w:cs="Arial"/>
                  <w:color w:val="000000"/>
                  <w:szCs w:val="20"/>
                  <w:shd w:val="clear" w:color="auto" w:fill="FFFFFF"/>
                </w:rPr>
                <w:t xml:space="preserve"> для бета-плотности биномиального распределения) – </w:t>
              </w:r>
              <w:r w:rsidRPr="009E6200">
                <w:rPr>
                  <w:rFonts w:cs="Arial"/>
                  <w:color w:val="000000"/>
                  <w:szCs w:val="20"/>
                  <w:shd w:val="clear" w:color="auto" w:fill="FFFFFF"/>
                  <w:lang w:val="en-US"/>
                </w:rPr>
                <w:t>Beta</w:t>
              </w:r>
              <w:r w:rsidRPr="009E6200">
                <w:rPr>
                  <w:rFonts w:cs="Arial"/>
                  <w:color w:val="000000"/>
                  <w:szCs w:val="20"/>
                  <w:shd w:val="clear" w:color="auto" w:fill="FFFFFF"/>
                </w:rPr>
                <w:t>[1,1]</w:t>
              </w:r>
            </w:p>
            <w:p w14:paraId="6B3663D0" w14:textId="77777777" w:rsidR="005A436A" w:rsidRPr="009E6200" w:rsidRDefault="005A436A" w:rsidP="007B46F5">
              <w:pPr>
                <w:pStyle w:val="SDText"/>
                <w:numPr>
                  <w:ilvl w:val="0"/>
                  <w:numId w:val="27"/>
                </w:numPr>
                <w:ind w:left="851" w:hanging="284"/>
                <w:jc w:val="both"/>
                <w:rPr>
                  <w:rFonts w:cs="Arial"/>
                  <w:color w:val="000000"/>
                  <w:szCs w:val="20"/>
                  <w:shd w:val="clear" w:color="auto" w:fill="FFFFFF"/>
                </w:rPr>
              </w:pPr>
              <w:r w:rsidRPr="009E6200">
                <w:rPr>
                  <w:rFonts w:cs="Arial"/>
                  <w:color w:val="000000"/>
                  <w:szCs w:val="20"/>
                  <w:shd w:val="clear" w:color="auto" w:fill="FFFFFF"/>
                </w:rPr>
                <w:t>Уровень значимости составляет 5% (как основной, так и для модели наихудшего исхода)</w:t>
              </w:r>
            </w:p>
            <w:p w14:paraId="20A002B3" w14:textId="77777777" w:rsidR="005A436A" w:rsidRPr="009E6200" w:rsidRDefault="005A436A" w:rsidP="007B46F5">
              <w:pPr>
                <w:pStyle w:val="SDText"/>
                <w:numPr>
                  <w:ilvl w:val="0"/>
                  <w:numId w:val="27"/>
                </w:numPr>
                <w:ind w:left="851" w:hanging="284"/>
                <w:jc w:val="both"/>
                <w:rPr>
                  <w:rFonts w:cs="Arial"/>
                  <w:color w:val="000000"/>
                  <w:szCs w:val="20"/>
                  <w:shd w:val="clear" w:color="auto" w:fill="FFFFFF"/>
                </w:rPr>
              </w:pPr>
              <w:r w:rsidRPr="009E6200">
                <w:rPr>
                  <w:rFonts w:cs="Arial"/>
                  <w:color w:val="000000"/>
                  <w:szCs w:val="20"/>
                  <w:shd w:val="clear" w:color="auto" w:fill="FFFFFF"/>
                </w:rPr>
                <w:t>Объем групп будет равным</w:t>
              </w:r>
            </w:p>
            <w:p w14:paraId="3594424D" w14:textId="77777777" w:rsidR="005A436A" w:rsidRPr="009E6200" w:rsidRDefault="005A436A" w:rsidP="007B46F5">
              <w:pPr>
                <w:pStyle w:val="SDText"/>
                <w:numPr>
                  <w:ilvl w:val="0"/>
                  <w:numId w:val="27"/>
                </w:numPr>
                <w:ind w:left="851" w:hanging="284"/>
                <w:jc w:val="both"/>
                <w:rPr>
                  <w:rFonts w:cs="Arial"/>
                  <w:color w:val="000000"/>
                  <w:szCs w:val="20"/>
                  <w:shd w:val="clear" w:color="auto" w:fill="FFFFFF"/>
                </w:rPr>
              </w:pPr>
              <w:r w:rsidRPr="009E6200">
                <w:rPr>
                  <w:rFonts w:cs="Arial"/>
                  <w:color w:val="000000"/>
                  <w:szCs w:val="20"/>
                  <w:shd w:val="clear" w:color="auto" w:fill="FFFFFF"/>
                </w:rPr>
                <w:t>Выбытие в ходе исследования не закладывается в расчет в связи с использованием методов компенсации отсутствующих данных в основном анализе</w:t>
              </w:r>
            </w:p>
            <w:p w14:paraId="13C0636F" w14:textId="77777777" w:rsidR="005A436A" w:rsidRPr="009E6200" w:rsidRDefault="005A436A" w:rsidP="007B46F5">
              <w:pPr>
                <w:pStyle w:val="SDText"/>
                <w:ind w:firstLine="360"/>
                <w:jc w:val="both"/>
                <w:rPr>
                  <w:rFonts w:cs="Arial"/>
                  <w:color w:val="000000"/>
                  <w:szCs w:val="20"/>
                  <w:shd w:val="clear" w:color="auto" w:fill="FFFFFF"/>
                </w:rPr>
              </w:pPr>
              <w:r w:rsidRPr="009E6200">
                <w:rPr>
                  <w:rFonts w:cs="Arial"/>
                  <w:color w:val="000000"/>
                  <w:szCs w:val="20"/>
                  <w:shd w:val="clear" w:color="auto" w:fill="FFFFFF"/>
                </w:rPr>
                <w:t xml:space="preserve">Расчеты проведены с использованием процедуры propdiff.mblmodwoc пакета SampleSizeProportions (версия 1.0) языка статистического программирования </w:t>
              </w:r>
              <w:r w:rsidRPr="009E6200">
                <w:rPr>
                  <w:rFonts w:cs="Arial"/>
                  <w:color w:val="000000"/>
                  <w:szCs w:val="20"/>
                  <w:shd w:val="clear" w:color="auto" w:fill="FFFFFF"/>
                  <w:lang w:val="en-US"/>
                </w:rPr>
                <w:t>R</w:t>
              </w:r>
              <w:r w:rsidRPr="009E6200">
                <w:rPr>
                  <w:rFonts w:cs="Arial"/>
                  <w:color w:val="000000"/>
                  <w:szCs w:val="20"/>
                  <w:shd w:val="clear" w:color="auto" w:fill="FFFFFF"/>
                </w:rPr>
                <w:t xml:space="preserve"> (использована версия языка </w:t>
              </w:r>
              <w:r w:rsidRPr="009E6200">
                <w:rPr>
                  <w:rFonts w:cs="Arial"/>
                  <w:color w:val="000000"/>
                  <w:szCs w:val="20"/>
                  <w:shd w:val="clear" w:color="auto" w:fill="FFFFFF"/>
                  <w:lang w:val="en-US"/>
                </w:rPr>
                <w:t>R</w:t>
              </w:r>
              <w:r w:rsidRPr="009E6200">
                <w:rPr>
                  <w:rFonts w:cs="Arial"/>
                  <w:color w:val="000000"/>
                  <w:szCs w:val="20"/>
                  <w:shd w:val="clear" w:color="auto" w:fill="FFFFFF"/>
                </w:rPr>
                <w:t xml:space="preserve"> 3.5.1 от </w:t>
              </w:r>
              <w:r w:rsidRPr="009E6200">
                <w:rPr>
                  <w:rFonts w:cs="Arial"/>
                  <w:color w:val="000000"/>
                  <w:szCs w:val="20"/>
                  <w:shd w:val="clear" w:color="auto" w:fill="FFFFFF"/>
                  <w:lang w:val="en-US"/>
                </w:rPr>
                <w:t>Microsoft</w:t>
              </w:r>
              <w:r w:rsidRPr="009E6200">
                <w:rPr>
                  <w:rFonts w:cs="Arial"/>
                  <w:color w:val="000000"/>
                  <w:szCs w:val="20"/>
                  <w:shd w:val="clear" w:color="auto" w:fill="FFFFFF"/>
                </w:rPr>
                <w:t xml:space="preserve"> (</w:t>
              </w:r>
              <w:r w:rsidRPr="009E6200">
                <w:rPr>
                  <w:rFonts w:cs="Arial"/>
                  <w:color w:val="000000"/>
                  <w:szCs w:val="20"/>
                  <w:shd w:val="clear" w:color="auto" w:fill="FFFFFF"/>
                  <w:lang w:val="en-US"/>
                </w:rPr>
                <w:t>Microsoft</w:t>
              </w:r>
              <w:r w:rsidRPr="009E6200">
                <w:rPr>
                  <w:rFonts w:cs="Arial"/>
                  <w:color w:val="000000"/>
                  <w:szCs w:val="20"/>
                  <w:shd w:val="clear" w:color="auto" w:fill="FFFFFF"/>
                </w:rPr>
                <w:t xml:space="preserve"> </w:t>
              </w:r>
              <w:r w:rsidRPr="009E6200">
                <w:rPr>
                  <w:rFonts w:cs="Arial"/>
                  <w:color w:val="000000"/>
                  <w:szCs w:val="20"/>
                  <w:shd w:val="clear" w:color="auto" w:fill="FFFFFF"/>
                  <w:lang w:val="en-US"/>
                </w:rPr>
                <w:t>R</w:t>
              </w:r>
              <w:r w:rsidRPr="009E6200">
                <w:rPr>
                  <w:rFonts w:cs="Arial"/>
                  <w:color w:val="000000"/>
                  <w:szCs w:val="20"/>
                  <w:shd w:val="clear" w:color="auto" w:fill="FFFFFF"/>
                </w:rPr>
                <w:t xml:space="preserve"> </w:t>
              </w:r>
              <w:r w:rsidRPr="009E6200">
                <w:rPr>
                  <w:rFonts w:cs="Arial"/>
                  <w:color w:val="000000"/>
                  <w:szCs w:val="20"/>
                  <w:shd w:val="clear" w:color="auto" w:fill="FFFFFF"/>
                  <w:lang w:val="en-US"/>
                </w:rPr>
                <w:t>Application</w:t>
              </w:r>
              <w:r w:rsidRPr="009E6200">
                <w:rPr>
                  <w:rFonts w:cs="Arial"/>
                  <w:color w:val="000000"/>
                  <w:szCs w:val="20"/>
                  <w:shd w:val="clear" w:color="auto" w:fill="FFFFFF"/>
                </w:rPr>
                <w:t xml:space="preserve"> </w:t>
              </w:r>
              <w:r w:rsidRPr="009E6200">
                <w:rPr>
                  <w:rFonts w:cs="Arial"/>
                  <w:color w:val="000000"/>
                  <w:szCs w:val="20"/>
                  <w:shd w:val="clear" w:color="auto" w:fill="FFFFFF"/>
                  <w:lang w:val="en-US"/>
                </w:rPr>
                <w:t>Network</w:t>
              </w:r>
              <w:r w:rsidRPr="009E6200">
                <w:rPr>
                  <w:rFonts w:cs="Arial"/>
                  <w:color w:val="000000"/>
                  <w:szCs w:val="20"/>
                  <w:shd w:val="clear" w:color="auto" w:fill="FFFFFF"/>
                </w:rPr>
                <w:t xml:space="preserve">, </w:t>
              </w:r>
              <w:r w:rsidRPr="00D34232">
                <w:rPr>
                  <w:rFonts w:cs="Arial"/>
                  <w:szCs w:val="20"/>
                  <w:shd w:val="clear" w:color="auto" w:fill="FFFFFF"/>
                  <w:lang w:val="en-US"/>
                </w:rPr>
                <w:t>https</w:t>
              </w:r>
              <w:r w:rsidRPr="00D34232">
                <w:rPr>
                  <w:rFonts w:cs="Arial"/>
                  <w:szCs w:val="20"/>
                  <w:shd w:val="clear" w:color="auto" w:fill="FFFFFF"/>
                </w:rPr>
                <w:t>://</w:t>
              </w:r>
              <w:r w:rsidRPr="00D34232">
                <w:rPr>
                  <w:rFonts w:cs="Arial"/>
                  <w:szCs w:val="20"/>
                  <w:shd w:val="clear" w:color="auto" w:fill="FFFFFF"/>
                  <w:lang w:val="en-US"/>
                </w:rPr>
                <w:t>mran</w:t>
              </w:r>
              <w:r w:rsidRPr="00D34232">
                <w:rPr>
                  <w:rFonts w:cs="Arial"/>
                  <w:szCs w:val="20"/>
                  <w:shd w:val="clear" w:color="auto" w:fill="FFFFFF"/>
                </w:rPr>
                <w:t>.</w:t>
              </w:r>
              <w:r w:rsidRPr="00D34232">
                <w:rPr>
                  <w:rFonts w:cs="Arial"/>
                  <w:szCs w:val="20"/>
                  <w:shd w:val="clear" w:color="auto" w:fill="FFFFFF"/>
                  <w:lang w:val="en-US"/>
                </w:rPr>
                <w:t>microsoft</w:t>
              </w:r>
              <w:r w:rsidRPr="00D34232">
                <w:rPr>
                  <w:rFonts w:cs="Arial"/>
                  <w:szCs w:val="20"/>
                  <w:shd w:val="clear" w:color="auto" w:fill="FFFFFF"/>
                </w:rPr>
                <w:t>.</w:t>
              </w:r>
              <w:r w:rsidRPr="00D34232">
                <w:rPr>
                  <w:rFonts w:cs="Arial"/>
                  <w:szCs w:val="20"/>
                  <w:shd w:val="clear" w:color="auto" w:fill="FFFFFF"/>
                  <w:lang w:val="en-US"/>
                </w:rPr>
                <w:t>com</w:t>
              </w:r>
              <w:r w:rsidRPr="009E6200">
                <w:rPr>
                  <w:rFonts w:cs="Arial"/>
                  <w:color w:val="000000"/>
                  <w:szCs w:val="20"/>
                  <w:shd w:val="clear" w:color="auto" w:fill="FFFFFF"/>
                </w:rPr>
                <w:t>).</w:t>
              </w:r>
            </w:p>
            <w:p w14:paraId="334A1B50" w14:textId="77777777" w:rsidR="005A436A" w:rsidRDefault="005A436A" w:rsidP="007B46F5">
              <w:pPr>
                <w:pStyle w:val="SDText"/>
                <w:ind w:firstLine="360"/>
                <w:jc w:val="both"/>
                <w:rPr>
                  <w:lang w:eastAsia="ru-RU"/>
                </w:rPr>
              </w:pPr>
              <w:r w:rsidRPr="009E6200">
                <w:rPr>
                  <w:rFonts w:cs="Arial"/>
                  <w:color w:val="000000"/>
                  <w:szCs w:val="20"/>
                  <w:shd w:val="clear" w:color="auto" w:fill="FFFFFF"/>
                </w:rPr>
                <w:t>Используя указанные выше допущения и условия, объем выборки, полученный с использованием симуляции Монте-Карло, составил 68 пациентов в каждой группе (итого – 136 пациентов).</w:t>
              </w:r>
            </w:p>
          </w:sdtContent>
        </w:sdt>
      </w:sdtContent>
    </w:sdt>
    <w:p w14:paraId="1E17D4E9" w14:textId="32FD1CE4" w:rsidR="001F6468" w:rsidRPr="009E6200" w:rsidRDefault="001F6468" w:rsidP="007B46F5">
      <w:pPr>
        <w:pStyle w:val="SDText"/>
        <w:jc w:val="both"/>
        <w:rPr>
          <w:lang w:eastAsia="ru-RU"/>
        </w:rPr>
      </w:pPr>
      <w:r w:rsidRPr="009E6200">
        <w:rPr>
          <w:lang w:eastAsia="ru-RU"/>
        </w:rPr>
        <w:fldChar w:fldCharType="end"/>
      </w:r>
    </w:p>
    <w:p w14:paraId="134FBC93" w14:textId="756E55FA" w:rsidR="00FC0B23" w:rsidRDefault="00FC0B23" w:rsidP="007B46F5">
      <w:pPr>
        <w:pStyle w:val="Heading2"/>
      </w:pPr>
      <w:bookmarkStart w:id="280" w:name="_Toc496999317"/>
      <w:bookmarkStart w:id="281" w:name="_Toc523731631"/>
      <w:bookmarkStart w:id="282" w:name="_Toc120865319"/>
      <w:r w:rsidRPr="009E6200">
        <w:t>Применяемый уровень значимости клинического исследования</w:t>
      </w:r>
      <w:bookmarkEnd w:id="280"/>
      <w:bookmarkEnd w:id="281"/>
      <w:bookmarkEnd w:id="282"/>
    </w:p>
    <w:p w14:paraId="24E54C69" w14:textId="77777777" w:rsidR="00CC556B" w:rsidRPr="00CC556B" w:rsidRDefault="00CC556B" w:rsidP="007B46F5">
      <w:pPr>
        <w:pStyle w:val="SDText"/>
        <w:rPr>
          <w:lang w:eastAsia="ru-RU"/>
        </w:rPr>
      </w:pPr>
    </w:p>
    <w:p w14:paraId="75020347" w14:textId="77777777" w:rsidR="004279FC" w:rsidRPr="009E6200" w:rsidRDefault="004279FC" w:rsidP="007B46F5">
      <w:pPr>
        <w:pStyle w:val="SDText"/>
        <w:ind w:firstLine="709"/>
        <w:jc w:val="both"/>
        <w:rPr>
          <w:lang w:eastAsia="ru-RU"/>
        </w:rPr>
      </w:pPr>
      <w:r w:rsidRPr="009E6200">
        <w:rPr>
          <w:lang w:eastAsia="ru-RU"/>
        </w:rPr>
        <w:t>В настоящем исследовании будет применяться 5%-ный уровень значимости для всех используемых статистических критериев.</w:t>
      </w:r>
    </w:p>
    <w:p w14:paraId="6944BD9E" w14:textId="44185BEF" w:rsidR="00FC0B23" w:rsidRDefault="00FC0B23" w:rsidP="007B46F5">
      <w:pPr>
        <w:pStyle w:val="Heading2"/>
      </w:pPr>
      <w:bookmarkStart w:id="283" w:name="_Toc496999318"/>
      <w:bookmarkStart w:id="284" w:name="_Toc523731632"/>
      <w:bookmarkStart w:id="285" w:name="_Toc120865320"/>
      <w:r w:rsidRPr="009E6200">
        <w:t>Критерии прекращения клинического исследования</w:t>
      </w:r>
      <w:bookmarkEnd w:id="283"/>
      <w:bookmarkEnd w:id="284"/>
      <w:bookmarkEnd w:id="285"/>
    </w:p>
    <w:p w14:paraId="758BACB3" w14:textId="77777777" w:rsidR="00CC556B" w:rsidRPr="00CC556B" w:rsidRDefault="00CC556B" w:rsidP="007B46F5">
      <w:pPr>
        <w:pStyle w:val="SDText"/>
        <w:rPr>
          <w:lang w:eastAsia="ru-RU"/>
        </w:rPr>
      </w:pPr>
    </w:p>
    <w:p w14:paraId="0D2B35EF" w14:textId="6C397921" w:rsidR="00FC0B23" w:rsidRDefault="004476E2" w:rsidP="007B46F5">
      <w:pPr>
        <w:pStyle w:val="SDText"/>
        <w:ind w:firstLine="578"/>
        <w:jc w:val="both"/>
        <w:rPr>
          <w:rFonts w:cs="Times New Roman"/>
        </w:rPr>
      </w:pPr>
      <w:r w:rsidRPr="009E6200">
        <w:rPr>
          <w:rFonts w:cs="Times New Roman"/>
        </w:rPr>
        <w:t xml:space="preserve">Статистические критерия для прекращения клинического исследования настоящим протоколом не установлены. </w:t>
      </w:r>
      <w:r w:rsidR="00FC0B23" w:rsidRPr="009E6200">
        <w:rPr>
          <w:rFonts w:cs="Times New Roman"/>
        </w:rPr>
        <w:t>Исследование может быть прекращено при нас</w:t>
      </w:r>
      <w:r w:rsidR="00527166" w:rsidRPr="009E6200">
        <w:rPr>
          <w:rFonts w:cs="Times New Roman"/>
        </w:rPr>
        <w:t>туплении условий, изложенных в Р</w:t>
      </w:r>
      <w:r w:rsidR="00FC0B23" w:rsidRPr="009E6200">
        <w:rPr>
          <w:rFonts w:cs="Times New Roman"/>
        </w:rPr>
        <w:t>азделе</w:t>
      </w:r>
      <w:r w:rsidR="00E10270" w:rsidRPr="009E6200">
        <w:t xml:space="preserve"> </w:t>
      </w:r>
      <w:r w:rsidR="00E10270" w:rsidRPr="009E6200">
        <w:fldChar w:fldCharType="begin"/>
      </w:r>
      <w:r w:rsidR="00E10270" w:rsidRPr="009E6200">
        <w:instrText xml:space="preserve"> REF _Ref524080754 \r \h </w:instrText>
      </w:r>
      <w:r w:rsidR="009E6200">
        <w:instrText xml:space="preserve"> \* MERGEFORMAT </w:instrText>
      </w:r>
      <w:r w:rsidR="00E10270" w:rsidRPr="009E6200">
        <w:fldChar w:fldCharType="separate"/>
      </w:r>
      <w:r w:rsidR="005A436A">
        <w:t>4.7</w:t>
      </w:r>
      <w:r w:rsidR="00E10270" w:rsidRPr="009E6200">
        <w:fldChar w:fldCharType="end"/>
      </w:r>
      <w:r w:rsidR="00FC0B23" w:rsidRPr="009E6200">
        <w:rPr>
          <w:rFonts w:cs="Times New Roman"/>
        </w:rPr>
        <w:t xml:space="preserve"> настоящего протокола. </w:t>
      </w:r>
    </w:p>
    <w:p w14:paraId="73E8D834" w14:textId="77777777" w:rsidR="00CC556B" w:rsidRPr="009E6200" w:rsidRDefault="00CC556B" w:rsidP="007B46F5">
      <w:pPr>
        <w:pStyle w:val="SDText"/>
        <w:ind w:firstLine="578"/>
        <w:jc w:val="both"/>
        <w:rPr>
          <w:rFonts w:cs="Times New Roman"/>
        </w:rPr>
      </w:pPr>
    </w:p>
    <w:p w14:paraId="4DC0DC01" w14:textId="3AFACBD4" w:rsidR="00FC0B23" w:rsidRDefault="00FC0B23" w:rsidP="007B46F5">
      <w:pPr>
        <w:pStyle w:val="Heading2"/>
      </w:pPr>
      <w:bookmarkStart w:id="286" w:name="_Toc496999319"/>
      <w:bookmarkStart w:id="287" w:name="_Toc523731633"/>
      <w:bookmarkStart w:id="288" w:name="_Toc120865321"/>
      <w:r w:rsidRPr="009E6200">
        <w:t>Процедуры учета отсутствующих, не подлежащих анализу и сомнительных данных</w:t>
      </w:r>
      <w:bookmarkEnd w:id="286"/>
      <w:bookmarkEnd w:id="287"/>
      <w:bookmarkEnd w:id="288"/>
    </w:p>
    <w:p w14:paraId="426A4B59" w14:textId="77777777" w:rsidR="00CC556B" w:rsidRPr="00CC556B" w:rsidRDefault="00CC556B" w:rsidP="007B46F5">
      <w:pPr>
        <w:pStyle w:val="SDText"/>
        <w:rPr>
          <w:lang w:eastAsia="ru-RU"/>
        </w:rPr>
      </w:pPr>
    </w:p>
    <w:p w14:paraId="7AC4E575" w14:textId="77777777" w:rsidR="00FC0B23" w:rsidRPr="009E6200" w:rsidRDefault="00FC0B23" w:rsidP="007B46F5">
      <w:pPr>
        <w:pStyle w:val="SDText"/>
        <w:ind w:firstLine="709"/>
        <w:jc w:val="both"/>
        <w:rPr>
          <w:lang w:eastAsia="ru-RU"/>
        </w:rPr>
      </w:pPr>
      <w:r w:rsidRPr="009E6200">
        <w:rPr>
          <w:lang w:eastAsia="ru-RU"/>
        </w:rPr>
        <w:t xml:space="preserve">В ходе мониторинговых визитов в клинический центр специалисты по клиническим исследованиям (мониторы), уполномоченные спонсором, проведут анализ </w:t>
      </w:r>
      <w:r w:rsidR="001C186C" w:rsidRPr="009E6200">
        <w:rPr>
          <w:lang w:eastAsia="ru-RU"/>
        </w:rPr>
        <w:t>эИРК</w:t>
      </w:r>
      <w:r w:rsidRPr="009E6200">
        <w:rPr>
          <w:lang w:eastAsia="ru-RU"/>
        </w:rPr>
        <w:t xml:space="preserve"> субъектов исследования на предмет отсутствия в них необходимых данных. В случае отсутствия данных в </w:t>
      </w:r>
      <w:r w:rsidR="001C186C" w:rsidRPr="009E6200">
        <w:rPr>
          <w:lang w:eastAsia="ru-RU"/>
        </w:rPr>
        <w:t>эИРК</w:t>
      </w:r>
      <w:r w:rsidRPr="009E6200">
        <w:rPr>
          <w:lang w:eastAsia="ru-RU"/>
        </w:rPr>
        <w:t xml:space="preserve"> и наличия соответствующей информации в первичной документации, будут сформулированы запросы к исследователям и предписания по устранению несоответствий.</w:t>
      </w:r>
    </w:p>
    <w:p w14:paraId="6EA3A433" w14:textId="77777777" w:rsidR="00FC0B23" w:rsidRPr="009E6200" w:rsidRDefault="00FC0B23" w:rsidP="007B46F5">
      <w:pPr>
        <w:pStyle w:val="SDText"/>
        <w:jc w:val="both"/>
        <w:rPr>
          <w:lang w:eastAsia="ru-RU"/>
        </w:rPr>
      </w:pPr>
      <w:r w:rsidRPr="009E6200">
        <w:rPr>
          <w:lang w:eastAsia="ru-RU"/>
        </w:rPr>
        <w:t>Специалист по статистике, уполномоченный спонсором, и менеджеры по контролю и обработке данных при проверке базы данных результатов исследования проведут анализ на предмет наличия сомнительных, пропущенных и не подлежащих анализу данных, по результатам которого могут быть также сформулированы запросы к исследователям.</w:t>
      </w:r>
    </w:p>
    <w:p w14:paraId="16DF2B8C" w14:textId="77777777" w:rsidR="00FC0B23" w:rsidRPr="009E6200" w:rsidRDefault="00FC0B23" w:rsidP="007B46F5">
      <w:pPr>
        <w:pStyle w:val="SDText"/>
        <w:jc w:val="both"/>
        <w:rPr>
          <w:lang w:eastAsia="ru-RU"/>
        </w:rPr>
      </w:pPr>
      <w:r w:rsidRPr="009E6200">
        <w:rPr>
          <w:lang w:eastAsia="ru-RU"/>
        </w:rPr>
        <w:t xml:space="preserve">Исследователи, по возможности, устранят выявленные ошибки в </w:t>
      </w:r>
      <w:r w:rsidR="001C186C" w:rsidRPr="009E6200">
        <w:rPr>
          <w:lang w:eastAsia="ru-RU"/>
        </w:rPr>
        <w:t>эИРК</w:t>
      </w:r>
      <w:r w:rsidRPr="009E6200">
        <w:rPr>
          <w:lang w:eastAsia="ru-RU"/>
        </w:rPr>
        <w:t xml:space="preserve"> и проинформируют об этом главного исследователя и уполномоченных представителей спонсора. Если выявленные ошибки в данных будет невозможно устранить после завершения участия пациентов в исследовании, в ходе статистического анализа данных будет проводиться анализ чувствительности результирующих параметров к наличию сомнительных данных. Информация о пропущенных, сомнительных и не подлежащих анализу данных будет представлена в финальном отчете о клиническом исследовании.</w:t>
      </w:r>
    </w:p>
    <w:p w14:paraId="0A964672" w14:textId="3BD38381" w:rsidR="00FC0B23" w:rsidRPr="009E6200" w:rsidRDefault="009B21B8" w:rsidP="007B46F5">
      <w:pPr>
        <w:pStyle w:val="SDText"/>
        <w:ind w:firstLine="709"/>
        <w:jc w:val="both"/>
        <w:rPr>
          <w:lang w:eastAsia="ru-RU"/>
        </w:rPr>
      </w:pPr>
      <w:r w:rsidRPr="009E6200">
        <w:rPr>
          <w:lang w:eastAsia="ru-RU"/>
        </w:rPr>
        <w:t xml:space="preserve">Для конечных точек эффективности, в связи с особенностями определения статуса пациента согласно </w:t>
      </w:r>
      <w:r w:rsidRPr="009E6200">
        <w:rPr>
          <w:lang w:val="en-US" w:eastAsia="ru-RU"/>
        </w:rPr>
        <w:t>RECIST</w:t>
      </w:r>
      <w:r w:rsidRPr="009E6200">
        <w:rPr>
          <w:lang w:eastAsia="ru-RU"/>
        </w:rPr>
        <w:t xml:space="preserve"> 1.1, восполнение данных неприменимо, поскольку статус по </w:t>
      </w:r>
      <w:r w:rsidRPr="009E6200">
        <w:rPr>
          <w:lang w:val="en-US" w:eastAsia="ru-RU"/>
        </w:rPr>
        <w:t>RECIST</w:t>
      </w:r>
      <w:r w:rsidRPr="009E6200">
        <w:rPr>
          <w:lang w:eastAsia="ru-RU"/>
        </w:rPr>
        <w:t xml:space="preserve"> 1.1 будет оцениваться на основе последних доступных данных на момент завершения исследования / выбытия из исследования</w:t>
      </w:r>
      <w:r w:rsidR="00FC0B23" w:rsidRPr="009E6200">
        <w:rPr>
          <w:lang w:eastAsia="ru-RU"/>
        </w:rPr>
        <w:t>.</w:t>
      </w:r>
      <w:r w:rsidR="00B70536" w:rsidRPr="009E6200">
        <w:rPr>
          <w:lang w:eastAsia="ru-RU"/>
        </w:rPr>
        <w:t xml:space="preserve"> В рамках анализа чувствительности результатов исследованию к наличию неполной информации о выбывших пациентах будет проведен анализ наилучшего и наихудшего из сценариев (то есть на основе предположений о том, что все выбывшие пациенты либо достигли, либо не достигли </w:t>
      </w:r>
      <w:r w:rsidR="00CC7BD8" w:rsidRPr="009E6200">
        <w:rPr>
          <w:lang w:eastAsia="ru-RU"/>
        </w:rPr>
        <w:t>объективного ответа).</w:t>
      </w:r>
    </w:p>
    <w:p w14:paraId="421939D0" w14:textId="0065BF99" w:rsidR="00186C94" w:rsidRDefault="00CC7BD8" w:rsidP="007B46F5">
      <w:pPr>
        <w:pStyle w:val="SDText"/>
        <w:jc w:val="both"/>
        <w:rPr>
          <w:lang w:eastAsia="ru-RU"/>
        </w:rPr>
      </w:pPr>
      <w:r w:rsidRPr="009E6200">
        <w:rPr>
          <w:lang w:eastAsia="ru-RU"/>
        </w:rPr>
        <w:t>Для конечных точек безопасности анализ будет проводиться на основании фактических данных без восполнения.</w:t>
      </w:r>
    </w:p>
    <w:p w14:paraId="5A7401E2" w14:textId="77777777" w:rsidR="00CC556B" w:rsidRPr="009E6200" w:rsidRDefault="00CC556B" w:rsidP="007B46F5">
      <w:pPr>
        <w:pStyle w:val="SDText"/>
        <w:jc w:val="both"/>
        <w:rPr>
          <w:lang w:eastAsia="ru-RU"/>
        </w:rPr>
      </w:pPr>
    </w:p>
    <w:p w14:paraId="5CCBB574" w14:textId="0A05F030" w:rsidR="00FC0B23" w:rsidRDefault="00FC0B23" w:rsidP="007B46F5">
      <w:pPr>
        <w:pStyle w:val="Heading2"/>
      </w:pPr>
      <w:bookmarkStart w:id="289" w:name="_Toc496999320"/>
      <w:bookmarkStart w:id="290" w:name="_Toc523731634"/>
      <w:bookmarkStart w:id="291" w:name="_Toc120865322"/>
      <w:r w:rsidRPr="009E6200">
        <w:t>Процедуры сообщения о любых отклонениях от первоначального статистического плана</w:t>
      </w:r>
      <w:bookmarkEnd w:id="289"/>
      <w:bookmarkEnd w:id="290"/>
      <w:bookmarkEnd w:id="291"/>
    </w:p>
    <w:p w14:paraId="20DC106B" w14:textId="77777777" w:rsidR="00CC556B" w:rsidRPr="00CC556B" w:rsidRDefault="00CC556B" w:rsidP="007B46F5">
      <w:pPr>
        <w:pStyle w:val="SDText"/>
        <w:rPr>
          <w:lang w:eastAsia="ru-RU"/>
        </w:rPr>
      </w:pPr>
    </w:p>
    <w:p w14:paraId="0DFD1BA1" w14:textId="1A720FEF" w:rsidR="0049012F" w:rsidRDefault="00FC0B23" w:rsidP="007B46F5">
      <w:pPr>
        <w:pStyle w:val="SDText"/>
        <w:ind w:firstLine="709"/>
        <w:jc w:val="both"/>
      </w:pPr>
      <w:r w:rsidRPr="009E6200">
        <w:t>Все отклонения от первоначального статистического плана должны быть описаны и обоснованы в поправке к протоколу и/или финальном отчете об исследовании (в последнем случае, план статистического анализа, разрабатываемый до начала проведения финального статистического анализа, должен содержать список данных отклонений с обоснованием причин для отклонения от статистического плана по протоколу).</w:t>
      </w:r>
    </w:p>
    <w:p w14:paraId="24D9FF8B" w14:textId="77777777" w:rsidR="00CC556B" w:rsidRPr="009E6200" w:rsidRDefault="00CC556B" w:rsidP="007B46F5">
      <w:pPr>
        <w:pStyle w:val="SDText"/>
        <w:ind w:firstLine="709"/>
        <w:jc w:val="both"/>
      </w:pPr>
    </w:p>
    <w:p w14:paraId="4219A5F6" w14:textId="3C466E4B" w:rsidR="00FC0B23" w:rsidRDefault="00FC0B23" w:rsidP="007B46F5">
      <w:pPr>
        <w:pStyle w:val="Heading2"/>
      </w:pPr>
      <w:bookmarkStart w:id="292" w:name="_Toc496999321"/>
      <w:bookmarkStart w:id="293" w:name="_Toc523731635"/>
      <w:bookmarkStart w:id="294" w:name="_Toc120865323"/>
      <w:r w:rsidRPr="009E6200">
        <w:t>Процедуры отбора участников клинического исследования для анализа</w:t>
      </w:r>
      <w:bookmarkEnd w:id="292"/>
      <w:bookmarkEnd w:id="293"/>
      <w:bookmarkEnd w:id="294"/>
    </w:p>
    <w:p w14:paraId="7501F8ED" w14:textId="77777777" w:rsidR="00CC556B" w:rsidRPr="00CC556B" w:rsidRDefault="00CC556B" w:rsidP="007B46F5">
      <w:pPr>
        <w:pStyle w:val="SDText"/>
        <w:rPr>
          <w:lang w:eastAsia="ru-RU"/>
        </w:rPr>
      </w:pPr>
    </w:p>
    <w:p w14:paraId="6D00AA3A" w14:textId="735FF34D" w:rsidR="00256272" w:rsidRDefault="00525F4F" w:rsidP="007B46F5">
      <w:pPr>
        <w:pStyle w:val="Heading3"/>
        <w:tabs>
          <w:tab w:val="num" w:pos="142"/>
          <w:tab w:val="left" w:pos="1134"/>
        </w:tabs>
        <w:suppressAutoHyphens/>
        <w:spacing w:before="0" w:after="0" w:line="240" w:lineRule="auto"/>
        <w:ind w:left="709" w:hanging="709"/>
        <w:jc w:val="both"/>
        <w:rPr>
          <w:sz w:val="24"/>
        </w:rPr>
      </w:pPr>
      <w:bookmarkStart w:id="295" w:name="_Toc474276113"/>
      <w:bookmarkStart w:id="296" w:name="_Toc515999877"/>
      <w:bookmarkStart w:id="297" w:name="_Toc519152681"/>
      <w:bookmarkStart w:id="298" w:name="_Toc3410465"/>
      <w:bookmarkStart w:id="299" w:name="_Toc11938968"/>
      <w:bookmarkStart w:id="300" w:name="_Toc120865324"/>
      <w:r>
        <w:rPr>
          <w:sz w:val="24"/>
        </w:rPr>
        <w:t>П</w:t>
      </w:r>
      <w:r w:rsidR="00256272" w:rsidRPr="009E6200">
        <w:rPr>
          <w:sz w:val="24"/>
        </w:rPr>
        <w:t>опуляция, отбираемая по принципу назначенного лечения (ITT)</w:t>
      </w:r>
      <w:bookmarkEnd w:id="295"/>
      <w:bookmarkEnd w:id="296"/>
      <w:bookmarkEnd w:id="297"/>
      <w:bookmarkEnd w:id="298"/>
      <w:bookmarkEnd w:id="299"/>
      <w:bookmarkEnd w:id="300"/>
    </w:p>
    <w:p w14:paraId="445B5ECD" w14:textId="77777777" w:rsidR="00CC556B" w:rsidRPr="00CC556B" w:rsidRDefault="00CC556B" w:rsidP="007B46F5">
      <w:pPr>
        <w:pStyle w:val="SDText"/>
        <w:rPr>
          <w:lang w:eastAsia="ru-RU"/>
        </w:rPr>
      </w:pPr>
    </w:p>
    <w:p w14:paraId="2D368095" w14:textId="52F05689" w:rsidR="00581868" w:rsidRDefault="00581868" w:rsidP="007B46F5">
      <w:pPr>
        <w:ind w:firstLine="708"/>
        <w:jc w:val="both"/>
      </w:pPr>
      <w:r w:rsidRPr="00125A5C">
        <w:t xml:space="preserve">Популяция ITT включает всех рандомизированных субъектов. В соответствии с принципом «назначенной терапии» анализ субъектов будет проводиться согласно виду лечения, в группу которого субъекты были распределены. </w:t>
      </w:r>
      <w:r w:rsidRPr="009E6200">
        <w:t>Этот набор данных является основным для анализа первичного и вторичных параметров эффективности.</w:t>
      </w:r>
    </w:p>
    <w:p w14:paraId="343B93A9" w14:textId="77777777" w:rsidR="00CC556B" w:rsidRPr="009E6200" w:rsidRDefault="00CC556B" w:rsidP="007B46F5">
      <w:pPr>
        <w:pStyle w:val="a2"/>
        <w:spacing w:before="0" w:after="0" w:line="240" w:lineRule="auto"/>
        <w:ind w:firstLine="709"/>
      </w:pPr>
    </w:p>
    <w:p w14:paraId="117FEA9D" w14:textId="1A0F762B" w:rsidR="00256272" w:rsidRDefault="00256272" w:rsidP="007B46F5">
      <w:pPr>
        <w:pStyle w:val="Heading3"/>
        <w:tabs>
          <w:tab w:val="num" w:pos="142"/>
          <w:tab w:val="left" w:pos="1134"/>
        </w:tabs>
        <w:suppressAutoHyphens/>
        <w:spacing w:before="0" w:after="0" w:line="240" w:lineRule="auto"/>
        <w:ind w:left="567" w:hanging="567"/>
        <w:jc w:val="both"/>
        <w:rPr>
          <w:sz w:val="24"/>
        </w:rPr>
      </w:pPr>
      <w:bookmarkStart w:id="301" w:name="_Toc474276114"/>
      <w:bookmarkStart w:id="302" w:name="_Toc515999878"/>
      <w:bookmarkStart w:id="303" w:name="_Toc519152682"/>
      <w:bookmarkStart w:id="304" w:name="_Toc3410466"/>
      <w:bookmarkStart w:id="305" w:name="_Toc11938969"/>
      <w:bookmarkStart w:id="306" w:name="_Toc120865325"/>
      <w:r w:rsidRPr="009E6200">
        <w:rPr>
          <w:sz w:val="24"/>
        </w:rPr>
        <w:t>Популяция, отбираемая по принципу соответствия протоколу (PP)</w:t>
      </w:r>
      <w:bookmarkEnd w:id="301"/>
      <w:bookmarkEnd w:id="302"/>
      <w:bookmarkEnd w:id="303"/>
      <w:bookmarkEnd w:id="304"/>
      <w:bookmarkEnd w:id="305"/>
      <w:bookmarkEnd w:id="306"/>
    </w:p>
    <w:p w14:paraId="5E351753" w14:textId="77777777" w:rsidR="00CC556B" w:rsidRPr="00CC556B" w:rsidRDefault="00CC556B" w:rsidP="007B46F5">
      <w:pPr>
        <w:pStyle w:val="SDText"/>
        <w:rPr>
          <w:lang w:eastAsia="ru-RU"/>
        </w:rPr>
      </w:pPr>
    </w:p>
    <w:p w14:paraId="458E11CC" w14:textId="77777777" w:rsidR="00581868" w:rsidRPr="00125A5C" w:rsidRDefault="00256272" w:rsidP="007B46F5">
      <w:pPr>
        <w:ind w:firstLine="708"/>
        <w:jc w:val="both"/>
      </w:pPr>
      <w:r w:rsidRPr="009E6200">
        <w:t xml:space="preserve">Первичный и вторичный показатели эффективности дополнительно будут анализироваться с использованием набора данных участников исследования, отбираемых по принципу соответствия протоколу (PP). </w:t>
      </w:r>
      <w:r w:rsidR="00581868" w:rsidRPr="00125A5C">
        <w:t>Популяция PP включает всех рандомизированных субъектов, которые получили как минимум одно введение бевацизумаба в рамках настоящего исследования и не имеют значимых отклонений от протокола, влияющих на оценку основной конечной точки эффективности. Перечень субъектов со значимыми отклонениями будет определен на основе заслепленного просмотра данных.</w:t>
      </w:r>
    </w:p>
    <w:p w14:paraId="735841FA" w14:textId="77777777" w:rsidR="00256272" w:rsidRPr="009E6200" w:rsidRDefault="00256272" w:rsidP="007B46F5">
      <w:pPr>
        <w:pStyle w:val="a2"/>
        <w:spacing w:before="0" w:after="0" w:line="240" w:lineRule="auto"/>
        <w:ind w:firstLine="284"/>
      </w:pPr>
      <w:r w:rsidRPr="009E6200">
        <w:t>Участник будет исключаться из PP-набора данных в следующих случаях:</w:t>
      </w:r>
    </w:p>
    <w:p w14:paraId="1BE815D3" w14:textId="77777777" w:rsidR="00256272" w:rsidRPr="009E6200" w:rsidRDefault="00256272" w:rsidP="007B46F5">
      <w:pPr>
        <w:pStyle w:val="1"/>
        <w:spacing w:before="0" w:after="0" w:line="240" w:lineRule="auto"/>
        <w:ind w:left="681" w:hanging="397"/>
      </w:pPr>
      <w:r w:rsidRPr="009E6200">
        <w:t>Соответствует критериям исключения.</w:t>
      </w:r>
    </w:p>
    <w:p w14:paraId="3199F8D3" w14:textId="77777777" w:rsidR="00256272" w:rsidRPr="009E6200" w:rsidRDefault="00256272" w:rsidP="007B46F5">
      <w:pPr>
        <w:pStyle w:val="1"/>
        <w:spacing w:before="0" w:after="0" w:line="240" w:lineRule="auto"/>
        <w:ind w:left="681" w:hanging="397"/>
      </w:pPr>
      <w:r w:rsidRPr="009E6200">
        <w:t>Использования неразрешенной сопутствующей терапии.</w:t>
      </w:r>
    </w:p>
    <w:p w14:paraId="7AEB80D4" w14:textId="77777777" w:rsidR="00256272" w:rsidRPr="009E6200" w:rsidRDefault="00256272" w:rsidP="007B46F5">
      <w:pPr>
        <w:pStyle w:val="1"/>
        <w:spacing w:before="0" w:after="0" w:line="240" w:lineRule="auto"/>
        <w:ind w:left="681" w:hanging="397"/>
      </w:pPr>
      <w:r w:rsidRPr="009E6200">
        <w:t>Любого другого значительного нарушения протокола, признанного существенно нарушающим основную оценку эффективности у данного участника исследования.</w:t>
      </w:r>
    </w:p>
    <w:p w14:paraId="37BA3E7A" w14:textId="77777777" w:rsidR="00256272" w:rsidRPr="009E6200" w:rsidRDefault="00256272" w:rsidP="007B46F5">
      <w:pPr>
        <w:pStyle w:val="Heading3"/>
        <w:tabs>
          <w:tab w:val="num" w:pos="142"/>
          <w:tab w:val="left" w:pos="1134"/>
        </w:tabs>
        <w:suppressAutoHyphens/>
        <w:spacing w:before="280" w:after="160" w:line="240" w:lineRule="auto"/>
        <w:ind w:left="567" w:hanging="567"/>
        <w:jc w:val="both"/>
        <w:rPr>
          <w:sz w:val="24"/>
        </w:rPr>
      </w:pPr>
      <w:bookmarkStart w:id="307" w:name="_Toc474276115"/>
      <w:bookmarkStart w:id="308" w:name="_Toc515999879"/>
      <w:bookmarkStart w:id="309" w:name="_Toc519152683"/>
      <w:bookmarkStart w:id="310" w:name="_Toc3410467"/>
      <w:bookmarkStart w:id="311" w:name="_Toc11938970"/>
      <w:bookmarkStart w:id="312" w:name="_Toc120865326"/>
      <w:r w:rsidRPr="009E6200">
        <w:rPr>
          <w:sz w:val="24"/>
        </w:rPr>
        <w:t>Популяция для анализа безопасности</w:t>
      </w:r>
      <w:bookmarkEnd w:id="307"/>
      <w:bookmarkEnd w:id="308"/>
      <w:bookmarkEnd w:id="309"/>
      <w:bookmarkEnd w:id="310"/>
      <w:bookmarkEnd w:id="311"/>
      <w:bookmarkEnd w:id="312"/>
    </w:p>
    <w:p w14:paraId="7EFB92BA" w14:textId="77777777" w:rsidR="00256272" w:rsidRPr="009E6200" w:rsidRDefault="00256272" w:rsidP="007B46F5">
      <w:pPr>
        <w:pStyle w:val="a2"/>
        <w:spacing w:before="0" w:after="0" w:line="240" w:lineRule="auto"/>
        <w:ind w:firstLine="567"/>
      </w:pPr>
      <w:r w:rsidRPr="009E6200">
        <w:t>Набор данных, анализируемый для оценки безопасности (</w:t>
      </w:r>
      <w:r w:rsidRPr="009E6200">
        <w:rPr>
          <w:lang w:val="en-US"/>
        </w:rPr>
        <w:t>safety</w:t>
      </w:r>
      <w:r w:rsidRPr="009E6200">
        <w:t xml:space="preserve">), идентичен полному набору данных </w:t>
      </w:r>
      <w:r w:rsidRPr="009E6200">
        <w:rPr>
          <w:lang w:val="en-US"/>
        </w:rPr>
        <w:t>FAS</w:t>
      </w:r>
      <w:r w:rsidRPr="009E6200">
        <w:t>. Однако, в отличие от популяции в зависимости от назначенного лечения, участники анализируются в зависимости от реального лечения (в том случае, если оно отличается от лечения, которое было назначено путем рандомизации). Все виды анализа безопасности будут основываться на использовании набора данных для оценки безопасности.</w:t>
      </w:r>
    </w:p>
    <w:p w14:paraId="4300F269" w14:textId="77777777" w:rsidR="00256272" w:rsidRPr="009E6200" w:rsidRDefault="00256272" w:rsidP="007B46F5">
      <w:pPr>
        <w:pStyle w:val="a2"/>
        <w:spacing w:before="0" w:after="0" w:line="240" w:lineRule="auto"/>
        <w:ind w:firstLine="432"/>
      </w:pPr>
      <w:r w:rsidRPr="009E6200">
        <w:t>Все решения в отношении определения анализируемых баз данных будут приняты до закрытия базы данных</w:t>
      </w:r>
      <w:r w:rsidR="00EB3476" w:rsidRPr="009E6200">
        <w:t xml:space="preserve"> (промежуточного или окончательного)</w:t>
      </w:r>
      <w:r w:rsidRPr="009E6200">
        <w:t>.</w:t>
      </w:r>
    </w:p>
    <w:p w14:paraId="16607BA4" w14:textId="77777777" w:rsidR="00FC0B23" w:rsidRPr="009E6200" w:rsidRDefault="00FC0B23" w:rsidP="007B46F5">
      <w:pPr>
        <w:pStyle w:val="SDText"/>
        <w:ind w:left="720"/>
        <w:jc w:val="both"/>
      </w:pPr>
    </w:p>
    <w:p w14:paraId="0E73FFB9" w14:textId="77777777" w:rsidR="004C5FA4" w:rsidRPr="009E6200" w:rsidRDefault="004C5FA4" w:rsidP="007B46F5">
      <w:pPr>
        <w:jc w:val="both"/>
        <w:rPr>
          <w:rFonts w:eastAsiaTheme="majorEastAsia" w:cstheme="majorBidi"/>
          <w:b/>
          <w:sz w:val="32"/>
          <w:szCs w:val="32"/>
        </w:rPr>
      </w:pPr>
      <w:r w:rsidRPr="009E6200">
        <w:br w:type="page"/>
      </w:r>
    </w:p>
    <w:p w14:paraId="13261814" w14:textId="11C59716" w:rsidR="00B03DAD" w:rsidRPr="00014095" w:rsidRDefault="006711A9" w:rsidP="007B46F5">
      <w:pPr>
        <w:pStyle w:val="Heading1"/>
        <w:spacing w:before="0" w:after="0" w:line="240" w:lineRule="auto"/>
        <w:jc w:val="both"/>
        <w:rPr>
          <w:color w:val="auto"/>
          <w:sz w:val="28"/>
          <w:szCs w:val="28"/>
        </w:rPr>
      </w:pPr>
      <w:bookmarkStart w:id="313" w:name="_Toc120865327"/>
      <w:r w:rsidRPr="00014095">
        <w:rPr>
          <w:color w:val="auto"/>
          <w:sz w:val="28"/>
          <w:szCs w:val="28"/>
        </w:rPr>
        <w:t>Описание действий по контролю качества и обеспечению качества</w:t>
      </w:r>
      <w:bookmarkEnd w:id="313"/>
    </w:p>
    <w:p w14:paraId="6441E7E1" w14:textId="77777777" w:rsidR="00CC556B" w:rsidRPr="00CC556B" w:rsidRDefault="00CC556B" w:rsidP="007B46F5"/>
    <w:p w14:paraId="37766FC3" w14:textId="0D05145C" w:rsidR="00505A38" w:rsidRDefault="00505A38" w:rsidP="007B46F5">
      <w:pPr>
        <w:pStyle w:val="Heading2"/>
      </w:pPr>
      <w:bookmarkStart w:id="314" w:name="_Toc120865328"/>
      <w:r w:rsidRPr="009E6200">
        <w:t>Мониторинг исследования и контроль качества</w:t>
      </w:r>
      <w:bookmarkEnd w:id="314"/>
    </w:p>
    <w:p w14:paraId="16EAD50F" w14:textId="77777777" w:rsidR="00CC556B" w:rsidRPr="00CC556B" w:rsidRDefault="00CC556B" w:rsidP="007B46F5">
      <w:pPr>
        <w:pStyle w:val="SDText"/>
        <w:rPr>
          <w:lang w:eastAsia="ru-RU"/>
        </w:rPr>
      </w:pPr>
    </w:p>
    <w:p w14:paraId="55AA6408" w14:textId="77777777" w:rsidR="00505A38" w:rsidRPr="009E6200" w:rsidRDefault="00505A38" w:rsidP="007B46F5">
      <w:pPr>
        <w:pStyle w:val="SDText"/>
        <w:ind w:firstLine="709"/>
        <w:jc w:val="both"/>
      </w:pPr>
      <w:r w:rsidRPr="009E6200">
        <w:t>Регулярные визиты специалиста по клиническим исследованиям (монитора), по поручению спонсора и в соответствии со стандартными операционными процедурами (СОП), перед началом, в ходе исследования и при его завершении способствуют успешному проведению исследования и служат гарантией сбора точных данных, своевременного выявления возможных ошибок, документирования процесса клинического исследования и обеспечения защиты прав субъектов исследования и соответствия проведения исследования принципам надлежащей клинической практики (ICH GCP), требованиям международного законодательства и законодательства РФ</w:t>
      </w:r>
      <w:r w:rsidR="002366D3" w:rsidRPr="009E6200">
        <w:t xml:space="preserve"> и ЕАЭС</w:t>
      </w:r>
      <w:r w:rsidRPr="009E6200">
        <w:t>.</w:t>
      </w:r>
    </w:p>
    <w:p w14:paraId="04CC58BB" w14:textId="77777777" w:rsidR="00505A38" w:rsidRPr="009E6200" w:rsidRDefault="00505A38" w:rsidP="007B46F5">
      <w:pPr>
        <w:pStyle w:val="SDText"/>
        <w:ind w:firstLine="360"/>
        <w:jc w:val="both"/>
      </w:pPr>
      <w:r w:rsidRPr="009E6200">
        <w:t>Рутинный мониторинг исследования включает:</w:t>
      </w:r>
    </w:p>
    <w:p w14:paraId="2E74BEE6" w14:textId="77777777" w:rsidR="00505A38" w:rsidRPr="009E6200" w:rsidRDefault="00505A38" w:rsidP="007B46F5">
      <w:pPr>
        <w:pStyle w:val="SDText"/>
        <w:numPr>
          <w:ilvl w:val="0"/>
          <w:numId w:val="3"/>
        </w:numPr>
        <w:ind w:left="993" w:hanging="284"/>
        <w:jc w:val="both"/>
      </w:pPr>
      <w:r w:rsidRPr="009E6200">
        <w:t>подтверждение надлежащего проведения и документирования процесса получения информированного согласия, а также скрининга и включения субъектов в исследование;</w:t>
      </w:r>
    </w:p>
    <w:p w14:paraId="4FCC4389" w14:textId="77777777" w:rsidR="00505A38" w:rsidRPr="009E6200" w:rsidRDefault="00505A38" w:rsidP="007B46F5">
      <w:pPr>
        <w:pStyle w:val="SDText"/>
        <w:numPr>
          <w:ilvl w:val="0"/>
          <w:numId w:val="3"/>
        </w:numPr>
        <w:ind w:left="993" w:hanging="284"/>
        <w:jc w:val="both"/>
      </w:pPr>
      <w:r w:rsidRPr="009E6200">
        <w:t xml:space="preserve">верификацию данных </w:t>
      </w:r>
      <w:r w:rsidR="001C186C" w:rsidRPr="009E6200">
        <w:t>эИРК</w:t>
      </w:r>
      <w:r w:rsidRPr="009E6200">
        <w:t xml:space="preserve"> и первичной медицинской документации субъектов исследования; </w:t>
      </w:r>
    </w:p>
    <w:p w14:paraId="6A47D1A2" w14:textId="77777777" w:rsidR="00505A38" w:rsidRPr="009E6200" w:rsidRDefault="00505A38" w:rsidP="007B46F5">
      <w:pPr>
        <w:pStyle w:val="SDText"/>
        <w:numPr>
          <w:ilvl w:val="0"/>
          <w:numId w:val="3"/>
        </w:numPr>
        <w:ind w:left="993" w:hanging="284"/>
        <w:jc w:val="both"/>
      </w:pPr>
      <w:r w:rsidRPr="009E6200">
        <w:t>подтверждение документирования и своевременного репортирования сведений о НР в ходе исследования;</w:t>
      </w:r>
    </w:p>
    <w:p w14:paraId="60421F26" w14:textId="77777777" w:rsidR="00505A38" w:rsidRPr="009E6200" w:rsidRDefault="00505A38" w:rsidP="007B46F5">
      <w:pPr>
        <w:pStyle w:val="SDText"/>
        <w:numPr>
          <w:ilvl w:val="0"/>
          <w:numId w:val="3"/>
        </w:numPr>
        <w:ind w:left="993" w:hanging="284"/>
        <w:jc w:val="both"/>
      </w:pPr>
      <w:r w:rsidRPr="009E6200">
        <w:t>подтверждение соблюдения персоналом клинического центра требований к выполнению диагностических и терапевтических процедур протокола исследования;</w:t>
      </w:r>
    </w:p>
    <w:p w14:paraId="63B1D2D6" w14:textId="77777777" w:rsidR="00505A38" w:rsidRPr="009E6200" w:rsidRDefault="00505A38" w:rsidP="007B46F5">
      <w:pPr>
        <w:pStyle w:val="SDText"/>
        <w:numPr>
          <w:ilvl w:val="0"/>
          <w:numId w:val="3"/>
        </w:numPr>
        <w:ind w:left="993" w:hanging="284"/>
        <w:jc w:val="both"/>
      </w:pPr>
      <w:r w:rsidRPr="009E6200">
        <w:t>подтверждение документирования поставок, хранения, распределения и уничтожения исследуемого препарата/плацебо и материалов исследования;</w:t>
      </w:r>
    </w:p>
    <w:p w14:paraId="37F25A5F" w14:textId="77777777" w:rsidR="00505A38" w:rsidRPr="009E6200" w:rsidRDefault="00505A38" w:rsidP="007B46F5">
      <w:pPr>
        <w:pStyle w:val="SDText"/>
        <w:numPr>
          <w:ilvl w:val="0"/>
          <w:numId w:val="3"/>
        </w:numPr>
        <w:ind w:left="993" w:hanging="284"/>
        <w:jc w:val="both"/>
      </w:pPr>
      <w:r w:rsidRPr="009E6200">
        <w:t>подтверждение компетенций персонала клинического центра, внешней лаборатории, необходимых для проведения исследования;</w:t>
      </w:r>
    </w:p>
    <w:p w14:paraId="6781C74D" w14:textId="77777777" w:rsidR="00505A38" w:rsidRPr="009E6200" w:rsidRDefault="00505A38" w:rsidP="007B46F5">
      <w:pPr>
        <w:pStyle w:val="SDText"/>
        <w:numPr>
          <w:ilvl w:val="0"/>
          <w:numId w:val="3"/>
        </w:numPr>
        <w:ind w:left="993" w:hanging="284"/>
        <w:jc w:val="both"/>
      </w:pPr>
      <w:r w:rsidRPr="009E6200">
        <w:t>подтверждения соответствия диагностического и лабораторного оборудования требованиям безопасного и адекватного применения в ходе исследования;</w:t>
      </w:r>
    </w:p>
    <w:p w14:paraId="78C7B82D" w14:textId="77777777" w:rsidR="00505A38" w:rsidRPr="009E6200" w:rsidRDefault="00505A38" w:rsidP="007B46F5">
      <w:pPr>
        <w:pStyle w:val="SDText"/>
        <w:numPr>
          <w:ilvl w:val="0"/>
          <w:numId w:val="3"/>
        </w:numPr>
        <w:ind w:left="993" w:hanging="284"/>
        <w:jc w:val="both"/>
      </w:pPr>
      <w:r w:rsidRPr="009E6200">
        <w:t>подтверждение взаимодействий исследователя с локальным этическим комитетом по вопросам безопасности исследования и внесению согласованных со спонсором поправок к протоколу исследования.</w:t>
      </w:r>
    </w:p>
    <w:p w14:paraId="21204E15" w14:textId="77777777" w:rsidR="002F3FFE" w:rsidRDefault="002F3FFE" w:rsidP="007B46F5">
      <w:pPr>
        <w:pStyle w:val="SDText"/>
        <w:ind w:firstLine="709"/>
        <w:jc w:val="both"/>
      </w:pPr>
      <w:r>
        <w:t>Обеспечение контроля качества результатов исследования проводится сотрудниками спонсора/уполномоченного представителя спонсора, осуществляющими ведение электронной базы данных исследования, которые выявляют несоответствия, ошибочно внесенные данные, пропущенные данных в ходе перекрестной проверки всех эИРК. При возникновении вопросов или необходимости уточнения исследователю по электронной почте/факсу направляется специальная форма (запрос на уточнение данных), запрос, который должен быть удовлетворен в письменном виде в течение 7 дней после его доставки.</w:t>
      </w:r>
    </w:p>
    <w:p w14:paraId="16CC48BB" w14:textId="77777777" w:rsidR="007D3833" w:rsidRDefault="007D3833" w:rsidP="007B46F5">
      <w:pPr>
        <w:ind w:firstLine="709"/>
        <w:jc w:val="both"/>
        <w:rPr>
          <w:rFonts w:cs="Times New Roman"/>
          <w:szCs w:val="24"/>
        </w:rPr>
      </w:pPr>
      <w:r>
        <w:rPr>
          <w:rFonts w:cs="Times New Roman"/>
          <w:szCs w:val="24"/>
        </w:rPr>
        <w:t xml:space="preserve">В исключительных случаях </w:t>
      </w:r>
      <w:r w:rsidRPr="0033695B">
        <w:rPr>
          <w:rFonts w:cs="Times New Roman"/>
          <w:szCs w:val="24"/>
        </w:rPr>
        <w:t>при невозможности проведения очного визита</w:t>
      </w:r>
      <w:r>
        <w:rPr>
          <w:rFonts w:cs="Times New Roman"/>
          <w:szCs w:val="24"/>
        </w:rPr>
        <w:t xml:space="preserve"> возможно проведение удалённого могиторинга согласно СОП </w:t>
      </w:r>
      <w:r>
        <w:rPr>
          <w:rFonts w:cs="Times New Roman"/>
          <w:szCs w:val="24"/>
          <w:lang w:eastAsia="ja-JP"/>
        </w:rPr>
        <w:t>AO «Р-Фарм».</w:t>
      </w:r>
      <w:r w:rsidRPr="0033695B">
        <w:rPr>
          <w:rFonts w:cs="Times New Roman"/>
          <w:szCs w:val="24"/>
        </w:rPr>
        <w:t xml:space="preserve"> </w:t>
      </w:r>
    </w:p>
    <w:p w14:paraId="6C3E1297" w14:textId="6F60388B" w:rsidR="00505A38" w:rsidRPr="009E6200" w:rsidRDefault="00505A38" w:rsidP="007B46F5">
      <w:pPr>
        <w:pStyle w:val="SDText"/>
        <w:ind w:firstLine="709"/>
        <w:jc w:val="both"/>
      </w:pPr>
      <w:r w:rsidRPr="009E6200">
        <w:t>В соответствии с требованиями законодательства спонсор или уполномоченные государственные органы имеют право осуществлять проверку (аудит) материально-технического обеспечения исследования и документации по исследованию. Исследователь должен предоставить доступ к документации и всю необходимую информацию лицам, уполномоченным проводить аудит или инспекцию.</w:t>
      </w:r>
    </w:p>
    <w:p w14:paraId="245C2EE2" w14:textId="67EA5285" w:rsidR="00505A38" w:rsidRDefault="00505A38" w:rsidP="007B46F5">
      <w:pPr>
        <w:pStyle w:val="Heading2"/>
      </w:pPr>
      <w:r w:rsidRPr="009E6200">
        <w:t xml:space="preserve"> </w:t>
      </w:r>
      <w:bookmarkStart w:id="315" w:name="_Ref465986657"/>
      <w:bookmarkStart w:id="316" w:name="_Toc120865329"/>
      <w:r w:rsidRPr="009E6200">
        <w:t>Поправки к протоколу</w:t>
      </w:r>
      <w:bookmarkEnd w:id="315"/>
      <w:bookmarkEnd w:id="316"/>
    </w:p>
    <w:p w14:paraId="236C9FCB" w14:textId="77777777" w:rsidR="00CC556B" w:rsidRPr="00CC556B" w:rsidRDefault="00CC556B" w:rsidP="007B46F5">
      <w:pPr>
        <w:pStyle w:val="SDText"/>
        <w:rPr>
          <w:lang w:eastAsia="ru-RU"/>
        </w:rPr>
      </w:pPr>
    </w:p>
    <w:p w14:paraId="7F7F49AC" w14:textId="77777777" w:rsidR="00505A38" w:rsidRPr="009E6200" w:rsidRDefault="00505A38" w:rsidP="007B46F5">
      <w:pPr>
        <w:pStyle w:val="SDText"/>
        <w:ind w:firstLine="709"/>
        <w:jc w:val="both"/>
      </w:pPr>
      <w:r w:rsidRPr="009E6200">
        <w:t>Подписи исследователей на странице подписей протокола означают письменное подтверждение согласия проводить исследование в соответствии с данным протоколом. При проведении клинического исследования в материалы исследования могут быть внесены изменения и дополнения. Такие изменения и дополнения рассматриваются как поправки.</w:t>
      </w:r>
    </w:p>
    <w:p w14:paraId="513A46D1" w14:textId="77777777" w:rsidR="00505A38" w:rsidRPr="009E6200" w:rsidRDefault="00505A38" w:rsidP="007B46F5">
      <w:pPr>
        <w:pStyle w:val="SDText"/>
        <w:ind w:firstLine="709"/>
        <w:jc w:val="both"/>
      </w:pPr>
      <w:r w:rsidRPr="009E6200">
        <w:t>Поправка к протоколу</w:t>
      </w:r>
      <w:r w:rsidR="00D07EAF" w:rsidRPr="009E6200">
        <w:t xml:space="preserve"> </w:t>
      </w:r>
      <w:r w:rsidRPr="009E6200">
        <w:t>письменное описание изменений или формальное разъяснение текста протокола клинического исследования. Поправки могут быть существенными и несущественными. Любая поправка к протоколу, прежде чем вступить в силу, должна быть одобрена в должном порядке в соответствии с внутренними СОП компании-спонсора, затем одобрена регуляторными органами, НЭК и подписана исследователем.</w:t>
      </w:r>
    </w:p>
    <w:p w14:paraId="43BB992A" w14:textId="77777777" w:rsidR="00505A38" w:rsidRPr="009E6200" w:rsidRDefault="00505A38" w:rsidP="007B46F5">
      <w:pPr>
        <w:pStyle w:val="SDText"/>
        <w:ind w:firstLine="709"/>
        <w:jc w:val="both"/>
      </w:pPr>
      <w:r w:rsidRPr="009E6200">
        <w:t>В приказе МЗ РФ №775 от 31.08.2010 «Об утверждении порядка рассмотрения сообщения о необходимости внесения изменений в протокол клинического исследования лекарственного препарата для медицинского применения» определен перечень существенных/несущественных поправок и порядок предоставления на экспертизу материалов о них.</w:t>
      </w:r>
    </w:p>
    <w:p w14:paraId="0EEFC6EA" w14:textId="77777777" w:rsidR="00505A38" w:rsidRPr="009E6200" w:rsidRDefault="00505A38" w:rsidP="007B46F5">
      <w:pPr>
        <w:pStyle w:val="SDText"/>
        <w:ind w:firstLine="709"/>
        <w:jc w:val="both"/>
      </w:pPr>
      <w:r w:rsidRPr="009E6200">
        <w:t xml:space="preserve">Поправки к материалам клинического исследования считаются существенными, если они могут оказать влияние на цели, формы организации, методологию проведения, статистические методы обработки результатов клинического исследования и меры по обеспечению безопасности участвующих в нем </w:t>
      </w:r>
      <w:r w:rsidR="003B25E0" w:rsidRPr="009E6200">
        <w:t>пациентов</w:t>
      </w:r>
      <w:r w:rsidRPr="009E6200">
        <w:t>.</w:t>
      </w:r>
    </w:p>
    <w:p w14:paraId="1FAEACA4" w14:textId="77777777" w:rsidR="00505A38" w:rsidRPr="009E6200" w:rsidRDefault="00505A38" w:rsidP="007B46F5">
      <w:pPr>
        <w:pStyle w:val="SDText"/>
        <w:ind w:firstLine="709"/>
        <w:jc w:val="both"/>
      </w:pPr>
      <w:r w:rsidRPr="009E6200">
        <w:t xml:space="preserve">Поправки к материалам клинического исследования считаются несущественными, если они не влияют на цели, формы организации, методологию проведения, статистические методы обработки результатов клинического исследования и меры по обеспечению безопасности участвующих в нем </w:t>
      </w:r>
      <w:r w:rsidR="003B25E0" w:rsidRPr="009E6200">
        <w:t>пациентов</w:t>
      </w:r>
      <w:r w:rsidRPr="009E6200">
        <w:t>.</w:t>
      </w:r>
    </w:p>
    <w:p w14:paraId="0B21DACF" w14:textId="7BC290A7" w:rsidR="00505A38" w:rsidRDefault="00505A38" w:rsidP="007B46F5">
      <w:pPr>
        <w:pStyle w:val="SDText"/>
        <w:ind w:firstLine="709"/>
        <w:jc w:val="both"/>
      </w:pPr>
      <w:r w:rsidRPr="009E6200">
        <w:t>В случае необходимости внесения изменений в данный протокол, спонсор исследования представляет в МЗ РФ сообщение о необходимости внесения изменений в протокол клинического исследования. Принятие решения о внесении изменений или об отказе от внесения изменений осуществляется МЗ РФ после экспертизы предоставленных обновленных материалов. Поправки к протоколу должны храниться вместе с первоначальной версией протокола. На титульном листе протокола должен быть указан номер и дата поправки.</w:t>
      </w:r>
    </w:p>
    <w:p w14:paraId="72344AE1" w14:textId="77777777" w:rsidR="00CC556B" w:rsidRPr="009E6200" w:rsidRDefault="00CC556B" w:rsidP="007B46F5">
      <w:pPr>
        <w:pStyle w:val="SDText"/>
        <w:ind w:firstLine="709"/>
        <w:jc w:val="both"/>
      </w:pPr>
    </w:p>
    <w:p w14:paraId="2CD3F8C3" w14:textId="2DFAC755" w:rsidR="00505A38" w:rsidRDefault="00505A38" w:rsidP="007B46F5">
      <w:pPr>
        <w:pStyle w:val="Heading2"/>
      </w:pPr>
      <w:r w:rsidRPr="009E6200">
        <w:t xml:space="preserve"> </w:t>
      </w:r>
      <w:bookmarkStart w:id="317" w:name="_Toc120865330"/>
      <w:r w:rsidRPr="009E6200">
        <w:t>Отклонения от протокола</w:t>
      </w:r>
      <w:bookmarkEnd w:id="317"/>
    </w:p>
    <w:p w14:paraId="08BDC3C0" w14:textId="77777777" w:rsidR="00CC556B" w:rsidRPr="00CC556B" w:rsidRDefault="00CC556B" w:rsidP="007B46F5">
      <w:pPr>
        <w:pStyle w:val="SDText"/>
        <w:rPr>
          <w:lang w:eastAsia="ru-RU"/>
        </w:rPr>
      </w:pPr>
    </w:p>
    <w:p w14:paraId="5AFB2834" w14:textId="77777777" w:rsidR="00505A38" w:rsidRPr="009E6200" w:rsidRDefault="00505A38" w:rsidP="007B46F5">
      <w:pPr>
        <w:pStyle w:val="SDText"/>
        <w:ind w:firstLine="709"/>
        <w:jc w:val="both"/>
      </w:pPr>
      <w:r w:rsidRPr="009E6200">
        <w:t xml:space="preserve">Отклонение от Протокола – это </w:t>
      </w:r>
      <w:r w:rsidR="00AA36D8" w:rsidRPr="009E6200">
        <w:t xml:space="preserve">любое </w:t>
      </w:r>
      <w:r w:rsidRPr="009E6200">
        <w:t>отступление от утвержденного Протокола исследования.</w:t>
      </w:r>
    </w:p>
    <w:p w14:paraId="70424B26" w14:textId="77777777" w:rsidR="00505A38" w:rsidRPr="009E6200" w:rsidRDefault="00505A38" w:rsidP="007B46F5">
      <w:pPr>
        <w:pStyle w:val="SDText"/>
        <w:ind w:firstLine="709"/>
        <w:jc w:val="both"/>
      </w:pPr>
      <w:r w:rsidRPr="009E6200">
        <w:t xml:space="preserve">Серьезное отклонение от Протокола - это отклонение, которое может, по оценке исследователя или назначенного исследователем ответственного лица, приводить к выбыванию субъекта из исследования или к исключению его данных из клинической и/или статистической части исследования. Отклонения, не </w:t>
      </w:r>
      <w:r w:rsidR="00177651" w:rsidRPr="009E6200">
        <w:t>классифицирующие</w:t>
      </w:r>
      <w:r w:rsidR="006860F3" w:rsidRPr="009E6200">
        <w:t>ся</w:t>
      </w:r>
      <w:r w:rsidRPr="009E6200">
        <w:t>, как серьезные, считаются незначительными отклонениями от Протокола исследования.</w:t>
      </w:r>
    </w:p>
    <w:p w14:paraId="3A49DF1A" w14:textId="77777777" w:rsidR="00505A38" w:rsidRPr="009E6200" w:rsidRDefault="00505A38" w:rsidP="007B46F5">
      <w:pPr>
        <w:pStyle w:val="SDText"/>
        <w:ind w:firstLine="709"/>
        <w:jc w:val="both"/>
      </w:pPr>
      <w:r w:rsidRPr="009E6200">
        <w:t xml:space="preserve">Серьезные отклонения от Протокола должны как можно раньше сообщаться спонсору персоналом клинического центра и/или монитором (если он присутствует в центре). Спонсор может предложить повторно классифицировать отклонение от Протокола (незначительное в серьезное или наоборот) на основании проведенной оценки. В таком случае, классификация, произведенная спонсором, преобладает, и должна быть доведена до сведения </w:t>
      </w:r>
      <w:r w:rsidR="006860F3" w:rsidRPr="009E6200">
        <w:t xml:space="preserve">персонала клинического центра </w:t>
      </w:r>
      <w:r w:rsidRPr="009E6200">
        <w:t>вместе с письменным обоснованием.</w:t>
      </w:r>
    </w:p>
    <w:p w14:paraId="3F00AA4F" w14:textId="77777777" w:rsidR="00505A38" w:rsidRPr="009E6200" w:rsidRDefault="00505A38" w:rsidP="007B46F5">
      <w:pPr>
        <w:pStyle w:val="SDText"/>
        <w:ind w:firstLine="709"/>
        <w:jc w:val="both"/>
      </w:pPr>
      <w:r w:rsidRPr="009E6200">
        <w:t>Спонсор должен быть проинформирован о незначительных отклонениях от Протокола в течение 10 рабочих дней, но до начала следующего периода/этапа исследования или до начала клинической фазы / статистической фазы.</w:t>
      </w:r>
    </w:p>
    <w:p w14:paraId="17926594" w14:textId="59C39308" w:rsidR="00505A38" w:rsidRDefault="007700E6" w:rsidP="007B46F5">
      <w:pPr>
        <w:pStyle w:val="SDText"/>
        <w:ind w:firstLine="709"/>
        <w:jc w:val="both"/>
      </w:pPr>
      <w:r>
        <w:t xml:space="preserve">Все отклонения от протокола исследования обрабатываются в соответствии с стандартными операционными процедурами Спонсора. </w:t>
      </w:r>
      <w:r w:rsidR="00505A38" w:rsidRPr="009E6200">
        <w:t>Уведомления и отчеты об отклонениях от Протокола представляются в компетентные органы и соответствующие этические комитеты в соответствии с применимыми требованиями/указаниями/законами.</w:t>
      </w:r>
    </w:p>
    <w:p w14:paraId="3B540255" w14:textId="77777777" w:rsidR="00CC556B" w:rsidRPr="009E6200" w:rsidRDefault="00CC556B" w:rsidP="007B46F5">
      <w:pPr>
        <w:pStyle w:val="SDText"/>
        <w:ind w:firstLine="709"/>
        <w:jc w:val="both"/>
      </w:pPr>
    </w:p>
    <w:p w14:paraId="664FA02D" w14:textId="77777777" w:rsidR="00505A38" w:rsidRPr="009E6200" w:rsidRDefault="00505A38" w:rsidP="007B46F5">
      <w:pPr>
        <w:pStyle w:val="SDText"/>
        <w:jc w:val="both"/>
        <w:rPr>
          <w:b/>
        </w:rPr>
      </w:pPr>
      <w:r w:rsidRPr="009E6200">
        <w:rPr>
          <w:b/>
        </w:rPr>
        <w:t>Процедура документирования отклонений от Протокола</w:t>
      </w:r>
    </w:p>
    <w:p w14:paraId="5B4DAFD9" w14:textId="77777777" w:rsidR="00CC556B" w:rsidRDefault="00CC556B" w:rsidP="007B46F5">
      <w:pPr>
        <w:pStyle w:val="SDText"/>
        <w:jc w:val="both"/>
      </w:pPr>
    </w:p>
    <w:p w14:paraId="17C0CE25" w14:textId="199DF1B0" w:rsidR="00202A18" w:rsidRPr="009E6200" w:rsidRDefault="00505A38" w:rsidP="007B46F5">
      <w:pPr>
        <w:pStyle w:val="SDText"/>
        <w:ind w:firstLine="709"/>
        <w:jc w:val="both"/>
      </w:pPr>
      <w:r w:rsidRPr="009E6200">
        <w:t>Исследователь или назначенное исследователем ответственное лицо, должны документировать и объяснять любое отклонение от утвержденного Протокола исследования. Уведомление Спонсора об отклонении от протокола может быть в исключительных случаях передано в вербальной форме (если требуется немедленное действие/уведомление), за которым должно последовать письменное уведомление (например, по электронной почте; в сообщении о ходе периода исследования). Все отклонения от протокола должны быть описаны в итоговом отчете исследования.</w:t>
      </w:r>
      <w:r w:rsidR="00202A18" w:rsidRPr="009E6200">
        <w:br w:type="page"/>
      </w:r>
    </w:p>
    <w:p w14:paraId="5AB11537" w14:textId="367C7779" w:rsidR="00B03DAD" w:rsidRPr="00014095" w:rsidRDefault="006711A9" w:rsidP="007B46F5">
      <w:pPr>
        <w:pStyle w:val="Heading1"/>
        <w:spacing w:before="0" w:after="0" w:line="240" w:lineRule="auto"/>
        <w:jc w:val="both"/>
        <w:rPr>
          <w:color w:val="auto"/>
          <w:sz w:val="28"/>
          <w:szCs w:val="28"/>
        </w:rPr>
      </w:pPr>
      <w:bookmarkStart w:id="318" w:name="_Toc120865331"/>
      <w:r w:rsidRPr="00014095">
        <w:rPr>
          <w:color w:val="auto"/>
          <w:sz w:val="28"/>
          <w:szCs w:val="28"/>
        </w:rPr>
        <w:t>Описание этических аспектов клинического исследования</w:t>
      </w:r>
      <w:bookmarkEnd w:id="318"/>
    </w:p>
    <w:p w14:paraId="6DE00DC3" w14:textId="0E7536A4" w:rsidR="00CC556B" w:rsidRPr="00CC556B" w:rsidRDefault="00CC556B" w:rsidP="007B46F5">
      <w:pPr>
        <w:pStyle w:val="SDText"/>
      </w:pPr>
    </w:p>
    <w:p w14:paraId="5687CC86" w14:textId="0A1D79DF" w:rsidR="00E41753" w:rsidRDefault="00E41753" w:rsidP="007B46F5">
      <w:pPr>
        <w:pStyle w:val="Heading2"/>
      </w:pPr>
      <w:r w:rsidRPr="009E6200">
        <w:t xml:space="preserve"> </w:t>
      </w:r>
      <w:bookmarkStart w:id="319" w:name="_Toc120865332"/>
      <w:r w:rsidRPr="009E6200">
        <w:t>Общие положения</w:t>
      </w:r>
      <w:bookmarkEnd w:id="319"/>
    </w:p>
    <w:p w14:paraId="27D909E6" w14:textId="77777777" w:rsidR="00CC556B" w:rsidRPr="00CC556B" w:rsidRDefault="00CC556B" w:rsidP="007B46F5">
      <w:pPr>
        <w:pStyle w:val="SDText"/>
        <w:rPr>
          <w:lang w:eastAsia="ru-RU"/>
        </w:rPr>
      </w:pPr>
    </w:p>
    <w:p w14:paraId="32BE1FF3" w14:textId="313E932A" w:rsidR="00E41753" w:rsidRPr="009E6200" w:rsidRDefault="00E41753" w:rsidP="007B46F5">
      <w:pPr>
        <w:pStyle w:val="SDText"/>
        <w:ind w:firstLine="709"/>
        <w:jc w:val="both"/>
      </w:pPr>
      <w:r w:rsidRPr="009E6200">
        <w:t xml:space="preserve">Проведение данного исследования будет осуществляться в соответствии с Хельсинкской декларацией Всемирной медицинской ассоциации «Этические принципы проведения медицинских исследований с участием человека в качестве субъекта исследования» от 1964 г. с последующими изменениями и дополнениями; Национальным стандартом РФ «Надлежащая клиническая практика» ГОСТ Р52379-2005 от 25.09.2005, Федеральным законом Российской Федерации от 12 апреля 2010 г. N 61-ФЗ «Об обращении лекарственных средств» (в текущей редакции), а также руководящими документами </w:t>
      </w:r>
      <w:r w:rsidR="00030BF5" w:rsidRPr="00030BF5">
        <w:rPr>
          <w:rFonts w:eastAsia="Times New Roman" w:cs="Times New Roman"/>
        </w:rPr>
        <w:t>International Co</w:t>
      </w:r>
      <w:r w:rsidR="00030BF5" w:rsidRPr="00030BF5">
        <w:rPr>
          <w:rFonts w:eastAsia="Times New Roman" w:cs="Times New Roman"/>
          <w:lang w:val="en-US"/>
        </w:rPr>
        <w:t>uncil</w:t>
      </w:r>
      <w:r w:rsidR="00030BF5" w:rsidRPr="00030BF5">
        <w:rPr>
          <w:rFonts w:eastAsia="Times New Roman" w:cs="Times New Roman"/>
        </w:rPr>
        <w:t xml:space="preserve"> </w:t>
      </w:r>
      <w:r w:rsidR="00030BF5" w:rsidRPr="00030BF5">
        <w:rPr>
          <w:rFonts w:eastAsia="Times New Roman" w:cs="Times New Roman"/>
          <w:lang w:val="en-US"/>
        </w:rPr>
        <w:t>for</w:t>
      </w:r>
      <w:r w:rsidR="00030BF5" w:rsidRPr="00030BF5">
        <w:rPr>
          <w:rFonts w:eastAsia="Times New Roman" w:cs="Times New Roman"/>
        </w:rPr>
        <w:t xml:space="preserve"> Harmonization, в том числе руководствами E6 Good Clinical Practice (ICH E6 GCP)</w:t>
      </w:r>
      <w:r w:rsidR="00030BF5" w:rsidRPr="008C68D8">
        <w:rPr>
          <w:rFonts w:eastAsia="Times New Roman" w:cs="Times New Roman"/>
        </w:rPr>
        <w:t xml:space="preserve"> </w:t>
      </w:r>
      <w:r w:rsidR="00030BF5" w:rsidRPr="00030BF5">
        <w:rPr>
          <w:rFonts w:eastAsia="Times New Roman" w:cs="Times New Roman"/>
        </w:rPr>
        <w:t xml:space="preserve">в текущей редакции </w:t>
      </w:r>
      <w:r w:rsidR="002366D3" w:rsidRPr="009E6200">
        <w:t xml:space="preserve">и </w:t>
      </w:r>
      <w:r w:rsidR="00C531F4" w:rsidRPr="009E6200">
        <w:t>Правилами надлежащей клинической практики ЕАЭС (утверждены Решением Совета Евразийской экономической комиссии от 3 ноября 2016 г. № 79)</w:t>
      </w:r>
      <w:r w:rsidRPr="009E6200">
        <w:t>.</w:t>
      </w:r>
    </w:p>
    <w:p w14:paraId="42DC7D00" w14:textId="77777777" w:rsidR="00F9627A" w:rsidRPr="009E6200" w:rsidRDefault="00F9627A" w:rsidP="007B46F5">
      <w:pPr>
        <w:pStyle w:val="SDText"/>
        <w:jc w:val="both"/>
      </w:pPr>
    </w:p>
    <w:p w14:paraId="1FB44D08" w14:textId="7AECA325" w:rsidR="00E41753" w:rsidRDefault="00E41753" w:rsidP="007B46F5">
      <w:pPr>
        <w:pStyle w:val="Heading2"/>
      </w:pPr>
      <w:r w:rsidRPr="009E6200">
        <w:t xml:space="preserve"> </w:t>
      </w:r>
      <w:bookmarkStart w:id="320" w:name="_Ref12620635"/>
      <w:bookmarkStart w:id="321" w:name="_Toc120865333"/>
      <w:r w:rsidRPr="009E6200">
        <w:t>Процедура получения информированного согласия</w:t>
      </w:r>
      <w:bookmarkEnd w:id="320"/>
      <w:bookmarkEnd w:id="321"/>
    </w:p>
    <w:p w14:paraId="633BB929" w14:textId="77777777" w:rsidR="00CC556B" w:rsidRPr="00CC556B" w:rsidRDefault="00CC556B" w:rsidP="007B46F5">
      <w:pPr>
        <w:pStyle w:val="SDText"/>
        <w:rPr>
          <w:lang w:eastAsia="ru-RU"/>
        </w:rPr>
      </w:pPr>
    </w:p>
    <w:p w14:paraId="62FBF230" w14:textId="77777777" w:rsidR="00E41753" w:rsidRPr="009E6200" w:rsidRDefault="00E41753" w:rsidP="007B46F5">
      <w:pPr>
        <w:pStyle w:val="SDText"/>
        <w:ind w:firstLine="709"/>
        <w:jc w:val="both"/>
      </w:pPr>
      <w:r w:rsidRPr="009E6200">
        <w:t>Перед включением в исследование субъекту предоставляется письменная информация и устное разъяснение о целях, задачах и методах проведения исследования, а также об ожидаемой пользе и возможном риске, связанных с участием в исследовании. Кроме того, субъекты должны быть поставлены в известность о добровольном характере участия в исследовании и о том, что субъект имеет право отказаться от участия в исследовании в любой момент, и что этот отказ не повлияет на качество предоставляемой ему медицинской помощи. Хотя субъект не обязан сообщать о причинах, побудивших его прервать участие в исследовании, исследователь должен попытаться выяснить эти причины, не нарушая при этом прав субъекта. Согласие субъекта должно быть получено до проведения каких-либо процедур исследования.</w:t>
      </w:r>
    </w:p>
    <w:p w14:paraId="768703CF" w14:textId="77777777" w:rsidR="00E41753" w:rsidRPr="009E6200" w:rsidRDefault="00E41753" w:rsidP="007B46F5">
      <w:pPr>
        <w:pStyle w:val="SDText"/>
        <w:ind w:firstLine="709"/>
        <w:jc w:val="both"/>
      </w:pPr>
      <w:r w:rsidRPr="009E6200">
        <w:t>Обработка данных, собранных в ходе исследования, осуществляется с соблюдением конфиденциальности сведений субъектов. Субъекты должны быть поставлены в известность о целях планируемой компьютерной обработки данных и об условиях публикации этих данных (например, для представления на медицинских конференциях, в журнальных статьях и других открытых источниках), представляемых только в агрегированном виде, не позволяющем провести его идентификацию.</w:t>
      </w:r>
    </w:p>
    <w:p w14:paraId="34AA1D60" w14:textId="77777777" w:rsidR="00E41753" w:rsidRPr="009E6200" w:rsidRDefault="00E41753" w:rsidP="007B46F5">
      <w:pPr>
        <w:pStyle w:val="SDText"/>
        <w:ind w:firstLine="709"/>
        <w:jc w:val="both"/>
      </w:pPr>
      <w:r w:rsidRPr="009E6200">
        <w:t>Субъекты должны быть поставлены в известность о том, что уполномоченные представители органов здравоохранения и спонсора будут иметь доступ к их конфиденциальной медицинской информации в целях проведения мониторинга, инспекции и аудита. При этом субъектам должны быть гарантированы строгая конфиденциальность всей информации, позволяющей установить личность субъекта исследования, и неразглашение такой информации.</w:t>
      </w:r>
    </w:p>
    <w:p w14:paraId="7D35CB68" w14:textId="77777777" w:rsidR="00E41753" w:rsidRPr="009E6200" w:rsidRDefault="00E41753" w:rsidP="007B46F5">
      <w:pPr>
        <w:pStyle w:val="SDText"/>
        <w:ind w:firstLine="709"/>
        <w:jc w:val="both"/>
      </w:pPr>
      <w:r w:rsidRPr="009E6200">
        <w:t xml:space="preserve">Форма информированного согласия (информационный листок </w:t>
      </w:r>
      <w:r w:rsidR="00BA77BD" w:rsidRPr="009E6200">
        <w:t>пациента</w:t>
      </w:r>
      <w:r w:rsidRPr="009E6200">
        <w:t>) подлежит заполнению в двух экземплярах, подписывается и датируется субъектом и исследователем собственноручно. Первый экземпляр подписанных форм информированного согласия исследователь должен хранить в Файле исследователя, второй экземпляр</w:t>
      </w:r>
      <w:r w:rsidR="00D07EAF" w:rsidRPr="009E6200">
        <w:t xml:space="preserve"> </w:t>
      </w:r>
      <w:r w:rsidRPr="009E6200">
        <w:t>выдать субъекту исследования.</w:t>
      </w:r>
    </w:p>
    <w:p w14:paraId="13C94554" w14:textId="77777777" w:rsidR="00F9627A" w:rsidRPr="009E6200" w:rsidRDefault="00F9627A" w:rsidP="007B46F5">
      <w:pPr>
        <w:pStyle w:val="SDText"/>
        <w:jc w:val="both"/>
      </w:pPr>
    </w:p>
    <w:p w14:paraId="2B755466" w14:textId="77777777" w:rsidR="00E41753" w:rsidRPr="009E6200" w:rsidRDefault="00E41753" w:rsidP="007B46F5">
      <w:pPr>
        <w:pStyle w:val="Heading2"/>
      </w:pPr>
      <w:r w:rsidRPr="009E6200">
        <w:t xml:space="preserve"> </w:t>
      </w:r>
      <w:bookmarkStart w:id="322" w:name="_Toc120865334"/>
      <w:r w:rsidRPr="009E6200">
        <w:t>Конфиденциальность и идентификация субъектов исследования</w:t>
      </w:r>
      <w:bookmarkEnd w:id="322"/>
    </w:p>
    <w:p w14:paraId="580EC242" w14:textId="77777777" w:rsidR="00CC556B" w:rsidRDefault="00CC556B" w:rsidP="007B46F5">
      <w:pPr>
        <w:pStyle w:val="SDText"/>
        <w:jc w:val="both"/>
      </w:pPr>
    </w:p>
    <w:p w14:paraId="4F339F53" w14:textId="79A207B6" w:rsidR="00E41753" w:rsidRPr="009E6200" w:rsidRDefault="00E41753" w:rsidP="007B46F5">
      <w:pPr>
        <w:pStyle w:val="SDText"/>
        <w:ind w:firstLine="709"/>
        <w:jc w:val="both"/>
      </w:pPr>
      <w:r w:rsidRPr="009E6200">
        <w:t xml:space="preserve">Конфиденциальность записей, позволяющих идентифицировать субъектов исследования, будет обеспечена с соблюдением права на частную жизнь и защиту конфиденциальности в соответствии с нормативными требованиями. Записи, идентифицирующие личность </w:t>
      </w:r>
      <w:r w:rsidR="003B25E0" w:rsidRPr="009E6200">
        <w:t>пациента</w:t>
      </w:r>
      <w:r w:rsidRPr="009E6200">
        <w:t>, будут сохранены в тайне и могут быть раскрыты только в той мере, в какой это допускается законодательством. При публикации результатов исследования конфиденциальность в отношении персональных данных субъектов будет сохранена.</w:t>
      </w:r>
    </w:p>
    <w:p w14:paraId="0A741DEE" w14:textId="77777777" w:rsidR="00F9627A" w:rsidRPr="009E6200" w:rsidRDefault="00F9627A" w:rsidP="007B46F5">
      <w:pPr>
        <w:pStyle w:val="SDText"/>
        <w:jc w:val="both"/>
      </w:pPr>
    </w:p>
    <w:p w14:paraId="23ACE0B8" w14:textId="77777777" w:rsidR="00E41753" w:rsidRPr="009E6200" w:rsidRDefault="00E41753" w:rsidP="007B46F5">
      <w:pPr>
        <w:pStyle w:val="Heading2"/>
      </w:pPr>
      <w:r w:rsidRPr="009E6200">
        <w:t xml:space="preserve"> </w:t>
      </w:r>
      <w:bookmarkStart w:id="323" w:name="_Toc120865335"/>
      <w:r w:rsidRPr="009E6200">
        <w:t>Набор субъектов из уязвимых и особых групп</w:t>
      </w:r>
      <w:bookmarkEnd w:id="323"/>
    </w:p>
    <w:p w14:paraId="21AFE776" w14:textId="77777777" w:rsidR="00CC556B" w:rsidRDefault="00CC556B" w:rsidP="007B46F5">
      <w:pPr>
        <w:pStyle w:val="SDText"/>
        <w:ind w:firstLine="709"/>
        <w:jc w:val="both"/>
      </w:pPr>
    </w:p>
    <w:p w14:paraId="3A35C198" w14:textId="32487B53" w:rsidR="00E41753" w:rsidRPr="009E6200" w:rsidRDefault="004E24EB" w:rsidP="007B46F5">
      <w:pPr>
        <w:pStyle w:val="SDText"/>
        <w:ind w:firstLine="709"/>
        <w:jc w:val="both"/>
      </w:pPr>
      <w:r w:rsidRPr="009E6200">
        <w:t>В данное исследование включаются больные с тяжелым неизлечимым онкологическим заболеванием, на желание которых участвовать в клиническом исследовании может оказать чрезмерное влияние ожидание преимуществ, связанных с участием в исследован</w:t>
      </w:r>
      <w:r w:rsidR="00EC08C5" w:rsidRPr="009E6200">
        <w:t>ии, т.е. пациенты из уязвимой группы. Включение таких больных обосновано изучаемой нозологией и предполагаемым показанием исследуемого препарата.</w:t>
      </w:r>
      <w:r w:rsidR="005F3B5E" w:rsidRPr="009E6200">
        <w:t xml:space="preserve"> В рамках исследования будут предприняты все необходимые меры, направленные на соблюдение прав и интересов участников исследования.</w:t>
      </w:r>
    </w:p>
    <w:p w14:paraId="3B50BA63" w14:textId="77777777" w:rsidR="00E41753" w:rsidRPr="009E6200" w:rsidRDefault="00E41753" w:rsidP="007B46F5">
      <w:pPr>
        <w:pStyle w:val="SDText"/>
        <w:ind w:firstLine="709"/>
        <w:jc w:val="both"/>
      </w:pPr>
      <w:r w:rsidRPr="009E6200">
        <w:t xml:space="preserve">К группам с особыми условиями в настоящем исследования относятся женщины с сохраненным репродуктивным потенциалом, которые, согласно критериям включения и невключения, могут участвовать в исследовании только в случае их согласия на применение эффективных методов контрацепции на протяжении всего исследования, что отражено в информационном листке </w:t>
      </w:r>
      <w:r w:rsidR="00BA77BD" w:rsidRPr="009E6200">
        <w:t>пациента</w:t>
      </w:r>
      <w:r w:rsidRPr="009E6200">
        <w:t xml:space="preserve"> и подтверждается подписанием формы информированного согласия.</w:t>
      </w:r>
    </w:p>
    <w:p w14:paraId="230B3D76" w14:textId="77777777" w:rsidR="00F9627A" w:rsidRPr="009E6200" w:rsidRDefault="00F9627A" w:rsidP="007B46F5">
      <w:pPr>
        <w:pStyle w:val="SDText"/>
        <w:jc w:val="both"/>
      </w:pPr>
    </w:p>
    <w:p w14:paraId="01419503" w14:textId="77777777" w:rsidR="00202A18" w:rsidRPr="009E6200" w:rsidRDefault="00202A18" w:rsidP="007B46F5">
      <w:pPr>
        <w:jc w:val="both"/>
        <w:rPr>
          <w:rFonts w:eastAsiaTheme="majorEastAsia" w:cstheme="majorBidi"/>
          <w:b/>
          <w:sz w:val="32"/>
          <w:szCs w:val="32"/>
        </w:rPr>
      </w:pPr>
      <w:r w:rsidRPr="009E6200">
        <w:br w:type="page"/>
      </w:r>
    </w:p>
    <w:p w14:paraId="4BFE4FF5" w14:textId="49F02B1C" w:rsidR="006711A9" w:rsidRPr="00014095" w:rsidRDefault="006711A9" w:rsidP="007B46F5">
      <w:pPr>
        <w:pStyle w:val="Heading1"/>
        <w:spacing w:before="0" w:after="0" w:line="240" w:lineRule="auto"/>
        <w:jc w:val="both"/>
        <w:rPr>
          <w:color w:val="auto"/>
          <w:sz w:val="28"/>
          <w:szCs w:val="28"/>
        </w:rPr>
      </w:pPr>
      <w:bookmarkStart w:id="324" w:name="_Toc120865336"/>
      <w:r w:rsidRPr="00014095">
        <w:rPr>
          <w:color w:val="auto"/>
          <w:sz w:val="28"/>
          <w:szCs w:val="28"/>
        </w:rPr>
        <w:t>Описание работы с данными и ведению записей</w:t>
      </w:r>
      <w:bookmarkEnd w:id="324"/>
    </w:p>
    <w:p w14:paraId="1DB2C025" w14:textId="77777777" w:rsidR="00CC556B" w:rsidRPr="00CC556B" w:rsidRDefault="00CC556B" w:rsidP="007B46F5"/>
    <w:p w14:paraId="764E48DC" w14:textId="77777777" w:rsidR="00505A38" w:rsidRPr="009E6200" w:rsidRDefault="00505A38" w:rsidP="007B46F5">
      <w:pPr>
        <w:pStyle w:val="SDText"/>
        <w:ind w:firstLine="709"/>
        <w:jc w:val="both"/>
      </w:pPr>
      <w:r w:rsidRPr="009E6200">
        <w:t xml:space="preserve">Все записи и документы исследовательского центра, относящиеся к клиническому исследованию, в том числе находящиеся в файле исследователя (включая </w:t>
      </w:r>
      <w:r w:rsidR="001C186C" w:rsidRPr="009E6200">
        <w:t>эИРК</w:t>
      </w:r>
      <w:r w:rsidRPr="009E6200">
        <w:t>, формы информированного согласия, журналы, учетные листы субъектов и т.п.), а также первичная медицинская документация субъекта должны храниться в течение 15 лет после окончания исследования. Спонсор исследования должен контролировать сохранность и доступность всех материалов клинического исследования в течение всего жизненного цикла исследуемого препарата. Архивные данные могут храниться в виде ксерокопий, а также на оптических и электронных носителях информации. Главный исследователь обязан немедленно проинформировать спонсора о фактах непреднамеренного повреждения/уничтожения, а также изменения места хранения архивированных материалов клинического исследования. Целенаправленное уничтожение архивированных материалов исследования возможно только по письменному разрешению Спонсора исследования.</w:t>
      </w:r>
    </w:p>
    <w:p w14:paraId="344E29F1" w14:textId="77777777" w:rsidR="00DE4BE6" w:rsidRPr="009E6200" w:rsidRDefault="00DE4BE6" w:rsidP="007B46F5">
      <w:pPr>
        <w:pStyle w:val="SDText"/>
        <w:ind w:firstLine="709"/>
        <w:jc w:val="both"/>
      </w:pPr>
      <w:r w:rsidRPr="009E6200">
        <w:t xml:space="preserve">Вся получаемая информация, в том числе информация о НЯ/СНЯ, будет вноситься в первичную документацию, а затем переноситься в </w:t>
      </w:r>
      <w:r w:rsidR="001C186C" w:rsidRPr="009E6200">
        <w:t>эИРК</w:t>
      </w:r>
      <w:r w:rsidRPr="009E6200">
        <w:t xml:space="preserve">. </w:t>
      </w:r>
      <w:r w:rsidR="001C186C" w:rsidRPr="009E6200">
        <w:t>эИРК</w:t>
      </w:r>
      <w:r w:rsidRPr="009E6200">
        <w:t xml:space="preserve"> не будет содержать данных</w:t>
      </w:r>
      <w:r w:rsidR="003620A2" w:rsidRPr="009E6200">
        <w:t xml:space="preserve">, </w:t>
      </w:r>
      <w:r w:rsidRPr="009E6200">
        <w:t>не отраженных в первичных документах</w:t>
      </w:r>
      <w:r w:rsidR="00D11499" w:rsidRPr="009E6200">
        <w:t>.</w:t>
      </w:r>
    </w:p>
    <w:p w14:paraId="35ABCC82" w14:textId="77777777" w:rsidR="00505A38" w:rsidRPr="009E6200" w:rsidRDefault="00505A38" w:rsidP="007B46F5">
      <w:pPr>
        <w:pStyle w:val="SDText"/>
        <w:ind w:firstLine="709"/>
        <w:jc w:val="both"/>
      </w:pPr>
      <w:r w:rsidRPr="009E6200">
        <w:t xml:space="preserve">По мере прохождения субъектами запланированных визитов и заполнения исследователем </w:t>
      </w:r>
      <w:r w:rsidR="001C186C" w:rsidRPr="009E6200">
        <w:t>эИРК</w:t>
      </w:r>
      <w:r w:rsidRPr="009E6200">
        <w:t xml:space="preserve"> будет проводиться сверка </w:t>
      </w:r>
      <w:r w:rsidR="001C186C" w:rsidRPr="009E6200">
        <w:t>эИРК</w:t>
      </w:r>
      <w:r w:rsidRPr="009E6200">
        <w:t xml:space="preserve"> и первичной документации уполномоченными мониторами спонсора. При правильном и точном заполнении </w:t>
      </w:r>
      <w:r w:rsidR="001C186C" w:rsidRPr="009E6200">
        <w:t>эИРК</w:t>
      </w:r>
      <w:r w:rsidRPr="009E6200">
        <w:t xml:space="preserve"> в соответствии с данными первичной документации, монитор </w:t>
      </w:r>
      <w:r w:rsidR="00CE27B9" w:rsidRPr="009E6200">
        <w:t>подтверждает в</w:t>
      </w:r>
      <w:r w:rsidRPr="009E6200">
        <w:t xml:space="preserve"> </w:t>
      </w:r>
      <w:r w:rsidR="001C186C" w:rsidRPr="009E6200">
        <w:t>эИРК</w:t>
      </w:r>
      <w:r w:rsidRPr="009E6200">
        <w:t xml:space="preserve"> </w:t>
      </w:r>
      <w:r w:rsidR="00CE27B9" w:rsidRPr="009E6200">
        <w:t>проведение сверки первичной документации и данных эИРК, устанавливая флаг сверки</w:t>
      </w:r>
      <w:r w:rsidRPr="009E6200">
        <w:t xml:space="preserve">. В случае, если на этапе оценки данных в </w:t>
      </w:r>
      <w:r w:rsidR="001C186C" w:rsidRPr="009E6200">
        <w:t>эИРК</w:t>
      </w:r>
      <w:r w:rsidRPr="009E6200">
        <w:t xml:space="preserve"> у менеджера по контролю данных и/или биостатистика возникнут вопросы по данным, все уточнения и изменения в данные </w:t>
      </w:r>
      <w:r w:rsidR="001C186C" w:rsidRPr="009E6200">
        <w:t>эИРК</w:t>
      </w:r>
      <w:r w:rsidRPr="009E6200">
        <w:t xml:space="preserve"> будут документироваться путем создания </w:t>
      </w:r>
      <w:r w:rsidR="00CE27B9" w:rsidRPr="009E6200">
        <w:t xml:space="preserve">электронных </w:t>
      </w:r>
      <w:r w:rsidRPr="009E6200">
        <w:t>запрос</w:t>
      </w:r>
      <w:r w:rsidR="00CE27B9" w:rsidRPr="009E6200">
        <w:t>ов</w:t>
      </w:r>
      <w:r w:rsidRPr="009E6200">
        <w:t xml:space="preserve"> на уточнение данных</w:t>
      </w:r>
      <w:r w:rsidR="00CE27B9" w:rsidRPr="009E6200">
        <w:t xml:space="preserve"> в эИРК</w:t>
      </w:r>
      <w:r w:rsidRPr="009E6200">
        <w:t xml:space="preserve">. </w:t>
      </w:r>
      <w:r w:rsidR="00CE27B9" w:rsidRPr="009E6200">
        <w:t>О</w:t>
      </w:r>
      <w:r w:rsidRPr="009E6200">
        <w:t>тветы на такие запросы</w:t>
      </w:r>
      <w:r w:rsidR="00CE27B9" w:rsidRPr="009E6200">
        <w:t>, данные исследователем в эИРК</w:t>
      </w:r>
      <w:r w:rsidR="00E30E8E" w:rsidRPr="009E6200">
        <w:t>,</w:t>
      </w:r>
      <w:r w:rsidRPr="009E6200">
        <w:t xml:space="preserve"> проверяются монитором, </w:t>
      </w:r>
      <w:r w:rsidR="00E30E8E" w:rsidRPr="009E6200">
        <w:t xml:space="preserve">в том числе и на предмет соответствия исправленных данных тексту запроса (если применимо), </w:t>
      </w:r>
      <w:r w:rsidRPr="009E6200">
        <w:t>и, в случае признания ответа достаточными</w:t>
      </w:r>
      <w:r w:rsidR="00E30E8E" w:rsidRPr="009E6200">
        <w:t xml:space="preserve">, запрос будет закрываться. В противном случае запрос будет заново открыт </w:t>
      </w:r>
      <w:r w:rsidR="00A73D3F" w:rsidRPr="009E6200">
        <w:t>с дополнительным поясняющим текстом для исследователя.</w:t>
      </w:r>
    </w:p>
    <w:p w14:paraId="1AD1556B" w14:textId="77777777" w:rsidR="00505A38" w:rsidRPr="009E6200" w:rsidRDefault="00505A38" w:rsidP="007B46F5">
      <w:pPr>
        <w:pStyle w:val="SDText"/>
        <w:ind w:firstLine="709"/>
        <w:jc w:val="both"/>
      </w:pPr>
      <w:r w:rsidRPr="009E6200">
        <w:t>Исследователь обязан предоставить информацию, подтверждающую возможность своевременного набора субъектов при соблюдении предусмотренных протоколом критериев.</w:t>
      </w:r>
    </w:p>
    <w:p w14:paraId="6BC6BA91" w14:textId="7CF39C4B" w:rsidR="00505A38" w:rsidRPr="009E6200" w:rsidRDefault="00505A38" w:rsidP="007B46F5">
      <w:pPr>
        <w:pStyle w:val="SDText"/>
        <w:ind w:firstLine="709"/>
        <w:jc w:val="both"/>
      </w:pPr>
      <w:r w:rsidRPr="009E6200">
        <w:t xml:space="preserve">Исследование должно проводиться в соответствии с протоколом и применимыми стандартными операционными процедурами спонсора. В случае возникновения необходимости во внесении изменений в протокол необходимо следовать процедуре, изложенной в разделе </w:t>
      </w:r>
      <w:r w:rsidR="008D7AD3" w:rsidRPr="009E6200">
        <w:fldChar w:fldCharType="begin"/>
      </w:r>
      <w:r w:rsidR="008D7AD3" w:rsidRPr="009E6200">
        <w:instrText xml:space="preserve"> REF _Ref465986657 \r \h </w:instrText>
      </w:r>
      <w:r w:rsidR="004E20A2" w:rsidRPr="009E6200">
        <w:instrText xml:space="preserve"> \* MERGEFORMAT </w:instrText>
      </w:r>
      <w:r w:rsidR="008D7AD3" w:rsidRPr="009E6200">
        <w:fldChar w:fldCharType="separate"/>
      </w:r>
      <w:r w:rsidR="005A436A">
        <w:t>10.2</w:t>
      </w:r>
      <w:r w:rsidR="008D7AD3" w:rsidRPr="009E6200">
        <w:fldChar w:fldCharType="end"/>
      </w:r>
      <w:r w:rsidRPr="009E6200">
        <w:t xml:space="preserve"> настоящего протокола.</w:t>
      </w:r>
    </w:p>
    <w:p w14:paraId="41F03E91" w14:textId="77777777" w:rsidR="00505A38" w:rsidRPr="009E6200" w:rsidRDefault="00505A38" w:rsidP="007B46F5">
      <w:pPr>
        <w:pStyle w:val="SDText"/>
        <w:ind w:firstLine="709"/>
        <w:jc w:val="both"/>
      </w:pPr>
      <w:r w:rsidRPr="009E6200">
        <w:t xml:space="preserve">Для исследователей является обязательным заполнение первичной медицинской документации и </w:t>
      </w:r>
      <w:r w:rsidR="001C186C" w:rsidRPr="009E6200">
        <w:t>эИРК</w:t>
      </w:r>
      <w:r w:rsidRPr="009E6200">
        <w:t xml:space="preserve"> всех субъектов, включенных в исследование.</w:t>
      </w:r>
    </w:p>
    <w:p w14:paraId="389D1E1D" w14:textId="77777777" w:rsidR="00505A38" w:rsidRPr="009E6200" w:rsidRDefault="00505A38" w:rsidP="007B46F5">
      <w:pPr>
        <w:pStyle w:val="SDText"/>
        <w:ind w:firstLine="709"/>
        <w:jc w:val="both"/>
      </w:pPr>
      <w:r w:rsidRPr="009E6200">
        <w:t xml:space="preserve">Исследователь несет ответственность за полное и точное заполнение </w:t>
      </w:r>
      <w:r w:rsidR="001C186C" w:rsidRPr="009E6200">
        <w:t>эИРК</w:t>
      </w:r>
      <w:r w:rsidRPr="009E6200">
        <w:t xml:space="preserve">. Все данные, зарегистрированные в </w:t>
      </w:r>
      <w:r w:rsidR="001C186C" w:rsidRPr="009E6200">
        <w:t>эИРК</w:t>
      </w:r>
      <w:r w:rsidRPr="009E6200">
        <w:t>, должны быть отражены в первичной медицинской документации субъекта в печатном виде или в виде записей, сделанных исследователем или другим уполномоченным лицом клинического центра.</w:t>
      </w:r>
    </w:p>
    <w:p w14:paraId="7E99056A" w14:textId="77777777" w:rsidR="00505A38" w:rsidRPr="009E6200" w:rsidRDefault="00505A38" w:rsidP="007B46F5">
      <w:pPr>
        <w:pStyle w:val="SDText"/>
        <w:ind w:firstLine="709"/>
        <w:jc w:val="both"/>
      </w:pPr>
      <w:r w:rsidRPr="009E6200">
        <w:t xml:space="preserve">В </w:t>
      </w:r>
      <w:r w:rsidR="001C186C" w:rsidRPr="009E6200">
        <w:t>эИРК</w:t>
      </w:r>
      <w:r w:rsidRPr="009E6200">
        <w:t xml:space="preserve">, в соответствии с первичной документацией, регистрируются все значимые сведения об участии субъекта в исследовании. В </w:t>
      </w:r>
      <w:r w:rsidR="001C186C" w:rsidRPr="009E6200">
        <w:t>эИРК</w:t>
      </w:r>
      <w:r w:rsidRPr="009E6200">
        <w:t xml:space="preserve"> должны содержаться сведения о завершении субъектом участия в исследовании. </w:t>
      </w:r>
      <w:r w:rsidR="001C186C" w:rsidRPr="009E6200">
        <w:t>эИРК</w:t>
      </w:r>
      <w:r w:rsidRPr="009E6200">
        <w:t xml:space="preserve"> должна быть заполнена не позднее </w:t>
      </w:r>
      <w:r w:rsidR="003620A2" w:rsidRPr="009E6200">
        <w:t xml:space="preserve">7 </w:t>
      </w:r>
      <w:r w:rsidRPr="009E6200">
        <w:t xml:space="preserve">дней после визита субъекта в исследовательский центр. </w:t>
      </w:r>
    </w:p>
    <w:p w14:paraId="4F71AD44" w14:textId="77777777" w:rsidR="00505A38" w:rsidRPr="009E6200" w:rsidRDefault="001C186C" w:rsidP="007B46F5">
      <w:pPr>
        <w:pStyle w:val="SDText"/>
        <w:jc w:val="both"/>
      </w:pPr>
      <w:r w:rsidRPr="009E6200">
        <w:t>эИРК</w:t>
      </w:r>
      <w:r w:rsidR="00505A38" w:rsidRPr="009E6200">
        <w:t xml:space="preserve"> должна заполняться </w:t>
      </w:r>
      <w:r w:rsidR="00A73D3F" w:rsidRPr="009E6200">
        <w:t>в соответствии с инструкцией по заполнению эИРК</w:t>
      </w:r>
      <w:r w:rsidR="00505A38" w:rsidRPr="009E6200">
        <w:t xml:space="preserve">. Допущенные ошибки </w:t>
      </w:r>
      <w:r w:rsidR="00C95C6A" w:rsidRPr="009E6200">
        <w:t>должны исправляться путем внесения нового значения в эИРК, при этом старое значение будет сохраняться в истории изменений (audit trail)</w:t>
      </w:r>
      <w:r w:rsidR="00505A38" w:rsidRPr="009E6200">
        <w:t xml:space="preserve">. Для всех пропущенных данных должны быть представлены объяснения в </w:t>
      </w:r>
      <w:r w:rsidRPr="009E6200">
        <w:t>эИРК</w:t>
      </w:r>
      <w:r w:rsidR="00505A38" w:rsidRPr="009E6200">
        <w:t xml:space="preserve">, что будет реализовано наличием специального маркерного поля («галочки»), подтверждающего пропуск данных. При необходимости </w:t>
      </w:r>
      <w:r w:rsidR="00C95C6A" w:rsidRPr="009E6200">
        <w:t xml:space="preserve">исследователь может внести </w:t>
      </w:r>
      <w:r w:rsidR="00505A38" w:rsidRPr="009E6200">
        <w:t xml:space="preserve">в </w:t>
      </w:r>
      <w:r w:rsidRPr="009E6200">
        <w:t>эИРК</w:t>
      </w:r>
      <w:r w:rsidR="00505A38" w:rsidRPr="009E6200">
        <w:t xml:space="preserve"> </w:t>
      </w:r>
      <w:r w:rsidR="007E4847" w:rsidRPr="009E6200">
        <w:t xml:space="preserve">комментарий к соответствующему полю с </w:t>
      </w:r>
      <w:r w:rsidR="00505A38" w:rsidRPr="009E6200">
        <w:t>разъяснени</w:t>
      </w:r>
      <w:r w:rsidR="007E4847" w:rsidRPr="009E6200">
        <w:t>ем</w:t>
      </w:r>
      <w:r w:rsidR="00505A38" w:rsidRPr="009E6200">
        <w:t xml:space="preserve"> причин пропуска данных. </w:t>
      </w:r>
      <w:r w:rsidRPr="009E6200">
        <w:t>эИРК</w:t>
      </w:r>
      <w:r w:rsidR="00505A38" w:rsidRPr="009E6200">
        <w:t xml:space="preserve"> должны быть </w:t>
      </w:r>
      <w:r w:rsidR="007E4847" w:rsidRPr="009E6200">
        <w:t xml:space="preserve">заверены электронной подписью </w:t>
      </w:r>
      <w:r w:rsidR="00505A38" w:rsidRPr="009E6200">
        <w:t>врач</w:t>
      </w:r>
      <w:r w:rsidR="007E4847" w:rsidRPr="009E6200">
        <w:t>а</w:t>
      </w:r>
      <w:r w:rsidR="00505A38" w:rsidRPr="009E6200">
        <w:t>-исследовател</w:t>
      </w:r>
      <w:r w:rsidR="007E4847" w:rsidRPr="009E6200">
        <w:t>я</w:t>
      </w:r>
      <w:r w:rsidR="00505A38" w:rsidRPr="009E6200">
        <w:t xml:space="preserve">. Данные подписи удостоверяют, что информация, содержащаяся в </w:t>
      </w:r>
      <w:r w:rsidRPr="009E6200">
        <w:t>эИРК</w:t>
      </w:r>
      <w:r w:rsidR="00505A38" w:rsidRPr="009E6200">
        <w:t>, является достоверной.</w:t>
      </w:r>
    </w:p>
    <w:p w14:paraId="5710E9FC" w14:textId="77777777" w:rsidR="009F7BC4" w:rsidRPr="009E6200" w:rsidRDefault="009F7BC4" w:rsidP="007B46F5">
      <w:pPr>
        <w:pStyle w:val="SDText"/>
        <w:ind w:firstLine="709"/>
        <w:jc w:val="both"/>
      </w:pPr>
      <w:r w:rsidRPr="009E6200">
        <w:t xml:space="preserve">На </w:t>
      </w:r>
      <w:r w:rsidR="00911787" w:rsidRPr="009E6200">
        <w:t>пациентов</w:t>
      </w:r>
      <w:r w:rsidRPr="009E6200">
        <w:t xml:space="preserve">, которые преждевременно завершили участие в исследовании, заполняется раздел «Завершение исследования» в эИРК, где в обязательном порядке подробно указывается причина, по которой </w:t>
      </w:r>
      <w:r w:rsidR="00911787" w:rsidRPr="009E6200">
        <w:t>пациент</w:t>
      </w:r>
      <w:r w:rsidRPr="009E6200">
        <w:t xml:space="preserve"> выбыл из исследования.</w:t>
      </w:r>
    </w:p>
    <w:p w14:paraId="3EED520C" w14:textId="77777777" w:rsidR="00505A38" w:rsidRPr="009E6200" w:rsidRDefault="00505A38" w:rsidP="007B46F5">
      <w:pPr>
        <w:pStyle w:val="SDText"/>
        <w:jc w:val="both"/>
      </w:pPr>
      <w:r w:rsidRPr="009E6200">
        <w:t>Вся информация об исследовании и собранные данные являются строго конфиденциальными. Исследователь имеет право сообщать информацию об исследовании лицам, не принимающим непосредственного участия в проведении исследования, только с разрешения спонсора.</w:t>
      </w:r>
    </w:p>
    <w:p w14:paraId="3171669C" w14:textId="77777777" w:rsidR="00505A38" w:rsidRPr="009E6200" w:rsidRDefault="00505A38" w:rsidP="007B46F5">
      <w:pPr>
        <w:pStyle w:val="SDText"/>
        <w:ind w:firstLine="709"/>
        <w:jc w:val="both"/>
      </w:pPr>
      <w:r w:rsidRPr="009E6200">
        <w:t>Итоговый отчет, состоящий из статистического и клинического отчета, формируется после закрытия базы данных и завершения статистической обработки результатов исследования.</w:t>
      </w:r>
    </w:p>
    <w:p w14:paraId="667A36C0" w14:textId="088738C1" w:rsidR="006711A9" w:rsidRDefault="00505A38" w:rsidP="007B46F5">
      <w:pPr>
        <w:pStyle w:val="SDText"/>
        <w:ind w:firstLine="709"/>
        <w:jc w:val="both"/>
      </w:pPr>
      <w:r w:rsidRPr="009E6200">
        <w:t>Итоговый отчет подписывает главный исследователь клинического центра, который подтверждает результаты и выводы исследования, скрепляя отчет печатью своего учреждения.</w:t>
      </w:r>
    </w:p>
    <w:p w14:paraId="46990959" w14:textId="77777777" w:rsidR="00CC556B" w:rsidRPr="009E6200" w:rsidRDefault="00CC556B" w:rsidP="007B46F5">
      <w:pPr>
        <w:pStyle w:val="SDText"/>
        <w:ind w:firstLine="709"/>
        <w:jc w:val="both"/>
      </w:pPr>
    </w:p>
    <w:p w14:paraId="799359E9" w14:textId="3F7F96F3" w:rsidR="005D191E" w:rsidRDefault="00B705D6" w:rsidP="007B46F5">
      <w:pPr>
        <w:pStyle w:val="Heading2"/>
      </w:pPr>
      <w:r>
        <w:t xml:space="preserve"> </w:t>
      </w:r>
      <w:bookmarkStart w:id="325" w:name="_Toc120865337"/>
      <w:r w:rsidR="005D191E" w:rsidRPr="009E6200">
        <w:t>Прямой доступ к первичным данным/документации</w:t>
      </w:r>
      <w:bookmarkEnd w:id="325"/>
    </w:p>
    <w:p w14:paraId="1CCEB11C" w14:textId="77777777" w:rsidR="00CC556B" w:rsidRPr="00CC556B" w:rsidRDefault="00CC556B" w:rsidP="007B46F5">
      <w:pPr>
        <w:pStyle w:val="SDText"/>
        <w:rPr>
          <w:lang w:eastAsia="ru-RU"/>
        </w:rPr>
      </w:pPr>
    </w:p>
    <w:p w14:paraId="24ED2AA5" w14:textId="77777777" w:rsidR="005D191E" w:rsidRPr="009E6200" w:rsidRDefault="005D191E" w:rsidP="007B46F5">
      <w:pPr>
        <w:pStyle w:val="SDText"/>
        <w:ind w:firstLine="709"/>
        <w:jc w:val="both"/>
      </w:pPr>
      <w:r w:rsidRPr="009E6200">
        <w:t>Первичные данные</w:t>
      </w:r>
      <w:r w:rsidR="003620A2" w:rsidRPr="009E6200">
        <w:t xml:space="preserve"> </w:t>
      </w:r>
      <w:r w:rsidR="00882182" w:rsidRPr="009E6200">
        <w:t>–</w:t>
      </w:r>
      <w:r w:rsidR="00D07EAF" w:rsidRPr="009E6200">
        <w:t xml:space="preserve"> </w:t>
      </w:r>
      <w:r w:rsidRPr="009E6200">
        <w:t>это вся информация, которая содержится в оригинальных записях и заверенных копиях и касающиеся клинических данных, наблюдений и других мероприятий в рамках исследования, и которая необходима для реконструкции и оценки исследования. Исследователь обеспечивает возможность проведения мониторинга исследования, аудита(ов), экспертизы со стороны Совета по этике и регуляторных органов, предоставляет прямой доступ к первичным данным/записям.</w:t>
      </w:r>
    </w:p>
    <w:p w14:paraId="1D357A94" w14:textId="77777777" w:rsidR="00CC556B" w:rsidRDefault="00CC556B" w:rsidP="007B46F5">
      <w:pPr>
        <w:pStyle w:val="SDText"/>
        <w:ind w:firstLine="709"/>
        <w:jc w:val="both"/>
      </w:pPr>
    </w:p>
    <w:p w14:paraId="3989BE1B" w14:textId="35190DDC" w:rsidR="005D191E" w:rsidRPr="009E6200" w:rsidRDefault="005D191E" w:rsidP="007B46F5">
      <w:pPr>
        <w:pStyle w:val="SDText"/>
        <w:ind w:firstLine="709"/>
        <w:jc w:val="both"/>
      </w:pPr>
      <w:r w:rsidRPr="009E6200">
        <w:t xml:space="preserve">Первичные данные следует хранить в надлежащем качестве в течение всего периода времени, предусмотренного локальным и международным законодательством, а также письменными соглашениями с компанией-спонсором исследования. Для каждого включенного субъекта исследователь указывает в первичных записях тот факт, что субъект участвует в данном исследовании, а также регистрирует, как минимум, следующую информацию: индивидуальный идентификационный код, личные данные </w:t>
      </w:r>
      <w:r w:rsidR="00BA77BD" w:rsidRPr="009E6200">
        <w:t>пациентов</w:t>
      </w:r>
      <w:r w:rsidRPr="009E6200">
        <w:t xml:space="preserve"> (ФИО, адреса), даты приема препаратов, показатели жизнедеятельности, любые НЯ, даты завершения исследования и основные причины прекращения лечения (если применимо).</w:t>
      </w:r>
    </w:p>
    <w:p w14:paraId="744ED431" w14:textId="465877F1" w:rsidR="005D191E" w:rsidRPr="009E6200" w:rsidRDefault="005D191E" w:rsidP="007B46F5">
      <w:pPr>
        <w:pStyle w:val="SDText"/>
        <w:jc w:val="both"/>
      </w:pPr>
      <w:r w:rsidRPr="009E6200">
        <w:t xml:space="preserve">Обязанностью исследователя является обеспечение прямого доступа к первичным данным и документации для </w:t>
      </w:r>
      <w:r w:rsidR="005E05B8">
        <w:rPr>
          <w:rFonts w:eastAsia="Times New Roman" w:cs="Times New Roman"/>
        </w:rPr>
        <w:t>уполномоченных представителей</w:t>
      </w:r>
      <w:r w:rsidR="00030BF5" w:rsidRPr="00030BF5">
        <w:rPr>
          <w:rFonts w:eastAsia="Times New Roman" w:cs="Times New Roman"/>
        </w:rPr>
        <w:t xml:space="preserve"> </w:t>
      </w:r>
      <w:r w:rsidRPr="009E6200">
        <w:t>компании-спонсора</w:t>
      </w:r>
      <w:r w:rsidR="005E05B8">
        <w:t xml:space="preserve"> (специалистов по клиническим исследованиям,</w:t>
      </w:r>
      <w:r w:rsidRPr="009E6200">
        <w:t xml:space="preserve"> аудитор</w:t>
      </w:r>
      <w:r w:rsidR="005E05B8">
        <w:t>ов и пр.),</w:t>
      </w:r>
      <w:r w:rsidRPr="009E6200">
        <w:t xml:space="preserve"> компетентных органов, представителям страховой компании, комитетов по этике.</w:t>
      </w:r>
    </w:p>
    <w:p w14:paraId="0F2F5975" w14:textId="77777777" w:rsidR="00F9627A" w:rsidRPr="009E6200" w:rsidRDefault="00F9627A" w:rsidP="007B46F5">
      <w:pPr>
        <w:pStyle w:val="SDText"/>
        <w:jc w:val="both"/>
      </w:pPr>
    </w:p>
    <w:p w14:paraId="2687A882" w14:textId="77777777" w:rsidR="00202A18" w:rsidRPr="009E6200" w:rsidRDefault="00202A18" w:rsidP="007B46F5">
      <w:pPr>
        <w:jc w:val="both"/>
        <w:rPr>
          <w:rFonts w:eastAsiaTheme="majorEastAsia" w:cstheme="majorBidi"/>
          <w:b/>
          <w:sz w:val="32"/>
          <w:szCs w:val="32"/>
        </w:rPr>
      </w:pPr>
      <w:r w:rsidRPr="009E6200">
        <w:br w:type="page"/>
      </w:r>
    </w:p>
    <w:p w14:paraId="3D58563F" w14:textId="7D5EB3B2" w:rsidR="006711A9" w:rsidRPr="00014095" w:rsidRDefault="00E41753" w:rsidP="007B46F5">
      <w:pPr>
        <w:pStyle w:val="Heading1"/>
        <w:spacing w:before="0" w:after="0" w:line="240" w:lineRule="auto"/>
        <w:jc w:val="both"/>
        <w:rPr>
          <w:color w:val="auto"/>
          <w:sz w:val="28"/>
          <w:szCs w:val="28"/>
        </w:rPr>
      </w:pPr>
      <w:bookmarkStart w:id="326" w:name="_Toc120865338"/>
      <w:r w:rsidRPr="00014095">
        <w:rPr>
          <w:color w:val="auto"/>
          <w:sz w:val="28"/>
          <w:szCs w:val="28"/>
        </w:rPr>
        <w:t>Финансирование и страхование</w:t>
      </w:r>
      <w:bookmarkEnd w:id="326"/>
    </w:p>
    <w:p w14:paraId="35209D9D" w14:textId="77777777" w:rsidR="00CC556B" w:rsidRPr="00CC556B" w:rsidRDefault="00CC556B" w:rsidP="007B46F5"/>
    <w:p w14:paraId="00F1929F" w14:textId="29636806" w:rsidR="00E41753" w:rsidRDefault="00E41753" w:rsidP="007B46F5">
      <w:pPr>
        <w:pStyle w:val="Heading2"/>
      </w:pPr>
      <w:r w:rsidRPr="009E6200">
        <w:t xml:space="preserve"> </w:t>
      </w:r>
      <w:bookmarkStart w:id="327" w:name="_Toc120865339"/>
      <w:r w:rsidRPr="009E6200">
        <w:t>Финансирование</w:t>
      </w:r>
      <w:bookmarkEnd w:id="327"/>
    </w:p>
    <w:p w14:paraId="659A8013" w14:textId="77777777" w:rsidR="00CC556B" w:rsidRPr="00CC556B" w:rsidRDefault="00CC556B" w:rsidP="007B46F5">
      <w:pPr>
        <w:pStyle w:val="SDText"/>
        <w:rPr>
          <w:lang w:eastAsia="ru-RU"/>
        </w:rPr>
      </w:pPr>
    </w:p>
    <w:p w14:paraId="4E92882C" w14:textId="31593C9C" w:rsidR="00E41753" w:rsidRDefault="00B33BFB" w:rsidP="007B46F5">
      <w:pPr>
        <w:pStyle w:val="SDText"/>
        <w:ind w:firstLine="709"/>
        <w:jc w:val="both"/>
      </w:pPr>
      <w:r w:rsidRPr="009E6200">
        <w:t xml:space="preserve">Финансирование данного исследования проводится компанией-спонсором. До начала исследования будут заключены соответствующие договоры между </w:t>
      </w:r>
      <w:r w:rsidR="00416352" w:rsidRPr="009E6200">
        <w:t xml:space="preserve">Спонсором </w:t>
      </w:r>
      <w:r w:rsidRPr="009E6200">
        <w:t>и каждым исследовательским центром.</w:t>
      </w:r>
    </w:p>
    <w:p w14:paraId="47770A42" w14:textId="77777777" w:rsidR="00CC556B" w:rsidRPr="009E6200" w:rsidRDefault="00CC556B" w:rsidP="007B46F5">
      <w:pPr>
        <w:pStyle w:val="SDText"/>
        <w:ind w:firstLine="709"/>
        <w:jc w:val="both"/>
      </w:pPr>
    </w:p>
    <w:p w14:paraId="667ED27B" w14:textId="0DCCAAF8" w:rsidR="00E41753" w:rsidRPr="009E6200" w:rsidRDefault="00B705D6" w:rsidP="007B46F5">
      <w:pPr>
        <w:pStyle w:val="Heading2"/>
      </w:pPr>
      <w:r>
        <w:t xml:space="preserve"> </w:t>
      </w:r>
      <w:bookmarkStart w:id="328" w:name="_Toc120865340"/>
      <w:r w:rsidR="00E41753" w:rsidRPr="009E6200">
        <w:t>Страхование</w:t>
      </w:r>
      <w:bookmarkEnd w:id="328"/>
    </w:p>
    <w:p w14:paraId="3F9A9FE6" w14:textId="77777777" w:rsidR="00CC556B" w:rsidRDefault="00CC556B" w:rsidP="007B46F5">
      <w:pPr>
        <w:pStyle w:val="SDText"/>
        <w:jc w:val="both"/>
      </w:pPr>
    </w:p>
    <w:p w14:paraId="2A5D9D77" w14:textId="1BAFBAB6" w:rsidR="008D7AD3" w:rsidRPr="009E6200" w:rsidRDefault="008D7AD3" w:rsidP="007B46F5">
      <w:pPr>
        <w:pStyle w:val="SDText"/>
        <w:ind w:firstLine="709"/>
        <w:jc w:val="both"/>
      </w:pPr>
      <w:r w:rsidRPr="009E6200">
        <w:t xml:space="preserve">За безопасность </w:t>
      </w:r>
      <w:r w:rsidR="00BA77BD" w:rsidRPr="009E6200">
        <w:t>пациентов</w:t>
      </w:r>
      <w:r w:rsidRPr="009E6200">
        <w:t xml:space="preserve"> в ходе данного исследования несет ответственность главный исследователь исследовательского центра. В том случае, если у </w:t>
      </w:r>
      <w:r w:rsidR="00BA77BD" w:rsidRPr="009E6200">
        <w:t>пациента</w:t>
      </w:r>
      <w:r w:rsidRPr="009E6200">
        <w:t xml:space="preserve"> разовьется </w:t>
      </w:r>
      <w:r w:rsidR="00201FC7" w:rsidRPr="009E6200">
        <w:t>НЯ</w:t>
      </w:r>
      <w:r w:rsidRPr="009E6200">
        <w:t xml:space="preserve">, главный исследователь и его сотрудники предоставят ему медицинскую помощь и сделают все возможное для его лечения. </w:t>
      </w:r>
    </w:p>
    <w:p w14:paraId="646E9D78" w14:textId="77777777" w:rsidR="008D7AD3" w:rsidRPr="009E6200" w:rsidRDefault="008D7AD3" w:rsidP="007B46F5">
      <w:pPr>
        <w:pStyle w:val="SDText"/>
        <w:ind w:firstLine="709"/>
        <w:jc w:val="both"/>
      </w:pPr>
      <w:r w:rsidRPr="009E6200">
        <w:t xml:space="preserve">Если </w:t>
      </w:r>
      <w:r w:rsidR="00911787" w:rsidRPr="009E6200">
        <w:t>пациент</w:t>
      </w:r>
      <w:r w:rsidR="00911787" w:rsidRPr="009E6200">
        <w:tab/>
      </w:r>
      <w:r w:rsidRPr="009E6200">
        <w:t xml:space="preserve"> согласится участвовать в исследовании, его участие в данном исследовании будет застраховано компанией</w:t>
      </w:r>
      <w:r w:rsidR="00156803" w:rsidRPr="009E6200">
        <w:t xml:space="preserve"> </w:t>
      </w:r>
      <w:r w:rsidRPr="009E6200">
        <w:t xml:space="preserve">в соответствие с Федеральным законом от 12 апреля 2010 г. N 61-ФЗ «Об обращении лекарственных средств», постановлением Правительства РФ № 714 «Об утверждении типовых правил обязательного страхования жизни и здоровья пациента, участвующего в клинических исследованиях лекарственного препарата» от 13 сентября 2010 г. и постановлением Правительства РФ № 393 «О внесении изменений в типовые правила обязательного страхования жизни и здоровья пациента, участвующего в клинических исследованиях лекарственного препарата» от 18 мая 2011 г. </w:t>
      </w:r>
    </w:p>
    <w:p w14:paraId="029BEA20" w14:textId="77777777" w:rsidR="008D7AD3" w:rsidRPr="009E6200" w:rsidRDefault="008D7AD3" w:rsidP="007B46F5">
      <w:pPr>
        <w:pStyle w:val="SDText"/>
        <w:ind w:firstLine="709"/>
        <w:jc w:val="both"/>
      </w:pPr>
      <w:r w:rsidRPr="009E6200">
        <w:t>В соответствии с постановлениями Правительства Российской Федерации № 714 от 13.09.2010, № 393 от 18.05.2011 «Об утверждении типовых правил обязательного страхования жизни и здоровья пациента, участвующего в клинических исследованиях лекарственного препарата», размер страховой выплаты по договору составляет:</w:t>
      </w:r>
    </w:p>
    <w:p w14:paraId="327185D3" w14:textId="77777777" w:rsidR="008D7AD3" w:rsidRPr="009E6200" w:rsidRDefault="008D7AD3" w:rsidP="007B46F5">
      <w:pPr>
        <w:pStyle w:val="SDText"/>
        <w:jc w:val="both"/>
      </w:pPr>
      <w:r w:rsidRPr="009E6200">
        <w:t>а) в случае смерти застрахованного лица - 2 млн. рублей. Страховая выплата в указанном размере распределяется между выгодоприобретателями пропорционально их количеству в равных долях;</w:t>
      </w:r>
    </w:p>
    <w:p w14:paraId="4827ABF9" w14:textId="77777777" w:rsidR="008D7AD3" w:rsidRPr="009E6200" w:rsidRDefault="008D7AD3" w:rsidP="007B46F5">
      <w:pPr>
        <w:pStyle w:val="SDText"/>
        <w:jc w:val="both"/>
      </w:pPr>
      <w:r w:rsidRPr="009E6200">
        <w:t>б) при ухудшении здоровья застрахованного лица, повлекшем за собой:</w:t>
      </w:r>
    </w:p>
    <w:p w14:paraId="34FD4267" w14:textId="77777777" w:rsidR="008D7AD3" w:rsidRPr="009E6200" w:rsidRDefault="008D7AD3" w:rsidP="007B46F5">
      <w:pPr>
        <w:pStyle w:val="SDText"/>
        <w:jc w:val="both"/>
      </w:pPr>
      <w:r w:rsidRPr="009E6200">
        <w:t>установление инвалидности I группы - 1,5 млн. рублей;</w:t>
      </w:r>
    </w:p>
    <w:p w14:paraId="72E9462D" w14:textId="77777777" w:rsidR="008D7AD3" w:rsidRPr="009E6200" w:rsidRDefault="008D7AD3" w:rsidP="007B46F5">
      <w:pPr>
        <w:pStyle w:val="SDText"/>
        <w:jc w:val="both"/>
      </w:pPr>
      <w:r w:rsidRPr="009E6200">
        <w:t>установление инвалидности II группы - 1 млн. рублей;</w:t>
      </w:r>
    </w:p>
    <w:p w14:paraId="7A36279A" w14:textId="77777777" w:rsidR="008D7AD3" w:rsidRPr="009E6200" w:rsidRDefault="008D7AD3" w:rsidP="007B46F5">
      <w:pPr>
        <w:pStyle w:val="SDText"/>
        <w:jc w:val="both"/>
      </w:pPr>
      <w:r w:rsidRPr="009E6200">
        <w:t>установление инвалидности III группы - 500 тыс. рублей;</w:t>
      </w:r>
    </w:p>
    <w:p w14:paraId="0A9A3782" w14:textId="77777777" w:rsidR="008D7AD3" w:rsidRPr="009E6200" w:rsidRDefault="008D7AD3" w:rsidP="007B46F5">
      <w:pPr>
        <w:pStyle w:val="SDText"/>
        <w:jc w:val="both"/>
      </w:pPr>
      <w:r w:rsidRPr="009E6200">
        <w:t>в) при ухудшении здоровья застрахованного лица, не повлекшем за собой установление инвалидности, - не более чем 300 тыс. рублей.</w:t>
      </w:r>
    </w:p>
    <w:p w14:paraId="595033BE" w14:textId="77777777" w:rsidR="008D7AD3" w:rsidRPr="009E6200" w:rsidRDefault="008D7AD3" w:rsidP="007B46F5">
      <w:pPr>
        <w:pStyle w:val="SDText"/>
        <w:ind w:firstLine="709"/>
        <w:jc w:val="both"/>
      </w:pPr>
      <w:r w:rsidRPr="009E6200">
        <w:t xml:space="preserve">Каждый </w:t>
      </w:r>
      <w:r w:rsidR="00855145" w:rsidRPr="009E6200">
        <w:t>пациент</w:t>
      </w:r>
      <w:r w:rsidRPr="009E6200">
        <w:t xml:space="preserve"> получит на руки оригинал страхового полиса и памятку с описанием условий страхования, предусмотренных полисом, и порядком действий при причинении вреда здоровью. С целью соблюдения анонимности личные данные каждого </w:t>
      </w:r>
      <w:r w:rsidR="00BA77BD" w:rsidRPr="009E6200">
        <w:t>пациента</w:t>
      </w:r>
      <w:r w:rsidRPr="009E6200">
        <w:t xml:space="preserve"> в полисе будут заменены на Индивидуальный идентификационный код пациента, который присваивается ему в ходе исследования по форме, установленной на территории Российской Федерации. В случае нанесения вреда здоровью </w:t>
      </w:r>
      <w:r w:rsidR="00BA77BD" w:rsidRPr="009E6200">
        <w:t>пациента</w:t>
      </w:r>
      <w:r w:rsidRPr="009E6200">
        <w:t>, связанного с клиническим исследованием, страховая компания</w:t>
      </w:r>
      <w:r w:rsidR="00156803" w:rsidRPr="009E6200">
        <w:t xml:space="preserve"> </w:t>
      </w:r>
      <w:r w:rsidRPr="009E6200">
        <w:t>обязуется возместить все затраты на необходимое медицинское обследование и лечение, потребность в котором возникнет в результате непосредственного воздействия исследуемого препарата и препарата сравнения и/или медицинских манипуляций, применяемых согласно Протоколу исследования.</w:t>
      </w:r>
    </w:p>
    <w:p w14:paraId="74DDDEBB" w14:textId="77777777" w:rsidR="00177651" w:rsidRPr="009E6200" w:rsidRDefault="008D7AD3" w:rsidP="007B46F5">
      <w:pPr>
        <w:pStyle w:val="BodyText"/>
        <w:ind w:firstLine="709"/>
        <w:jc w:val="both"/>
        <w:rPr>
          <w:rFonts w:eastAsiaTheme="minorHAnsi" w:cstheme="minorBidi"/>
          <w:sz w:val="24"/>
          <w:szCs w:val="22"/>
          <w:lang w:eastAsia="en-US"/>
        </w:rPr>
      </w:pPr>
      <w:r w:rsidRPr="009E6200">
        <w:rPr>
          <w:rFonts w:eastAsiaTheme="minorHAnsi" w:cstheme="minorBidi"/>
          <w:sz w:val="24"/>
          <w:szCs w:val="22"/>
          <w:lang w:eastAsia="en-US"/>
        </w:rPr>
        <w:t xml:space="preserve">За дополнительной информацией </w:t>
      </w:r>
      <w:r w:rsidR="00BA77BD" w:rsidRPr="009E6200">
        <w:rPr>
          <w:rFonts w:eastAsiaTheme="minorHAnsi" w:cstheme="minorBidi"/>
          <w:sz w:val="24"/>
          <w:szCs w:val="22"/>
          <w:lang w:eastAsia="en-US"/>
        </w:rPr>
        <w:t>пациенты</w:t>
      </w:r>
      <w:r w:rsidRPr="009E6200">
        <w:rPr>
          <w:rFonts w:eastAsiaTheme="minorHAnsi" w:cstheme="minorBidi"/>
          <w:sz w:val="24"/>
          <w:szCs w:val="22"/>
          <w:lang w:eastAsia="en-US"/>
        </w:rPr>
        <w:t xml:space="preserve"> могут обратиться по адресу страховой компании:</w:t>
      </w:r>
      <w:r w:rsidR="00416352" w:rsidRPr="009E6200">
        <w:rPr>
          <w:rFonts w:eastAsiaTheme="minorHAnsi" w:cstheme="minorBidi"/>
          <w:sz w:val="24"/>
          <w:szCs w:val="22"/>
          <w:lang w:eastAsia="en-US"/>
        </w:rPr>
        <w:t xml:space="preserve"> </w:t>
      </w:r>
      <w:r w:rsidR="00177651" w:rsidRPr="009E6200">
        <w:rPr>
          <w:rFonts w:eastAsiaTheme="minorHAnsi" w:cstheme="minorBidi"/>
          <w:sz w:val="24"/>
          <w:szCs w:val="22"/>
          <w:lang w:eastAsia="en-US"/>
        </w:rPr>
        <w:t>Страховое Публичное Акционерное Общество «ИНГОССТРАХ»</w:t>
      </w:r>
    </w:p>
    <w:p w14:paraId="7EB69C8C" w14:textId="77777777" w:rsidR="008D7AD3" w:rsidRPr="009E6200" w:rsidRDefault="00177651" w:rsidP="007B46F5">
      <w:pPr>
        <w:pStyle w:val="SDText"/>
        <w:jc w:val="both"/>
      </w:pPr>
      <w:r w:rsidRPr="009E6200">
        <w:t>Россия, 117997, Москва, ул. Пятницкая, 12, стр.2</w:t>
      </w:r>
    </w:p>
    <w:p w14:paraId="3EA0A75D" w14:textId="77777777" w:rsidR="008D7AD3" w:rsidRPr="009E6200" w:rsidRDefault="008D7AD3" w:rsidP="007B46F5">
      <w:pPr>
        <w:pStyle w:val="SDText"/>
        <w:ind w:firstLine="709"/>
        <w:jc w:val="both"/>
      </w:pPr>
      <w:r w:rsidRPr="009E6200">
        <w:t xml:space="preserve">В исследовании не предусмотрены какие-либо дополнительные виды добровольного страхования или иные возможности предоставления лечения и/или компенсации в случае смерти </w:t>
      </w:r>
      <w:r w:rsidR="00BA77BD" w:rsidRPr="009E6200">
        <w:t>пациента</w:t>
      </w:r>
      <w:r w:rsidRPr="009E6200">
        <w:t xml:space="preserve"> или причинения вреда здоровью </w:t>
      </w:r>
      <w:r w:rsidR="00BA77BD" w:rsidRPr="009E6200">
        <w:t>пациента</w:t>
      </w:r>
      <w:r w:rsidRPr="009E6200">
        <w:t xml:space="preserve"> в рамках исследования.</w:t>
      </w:r>
    </w:p>
    <w:p w14:paraId="3441620B" w14:textId="77777777" w:rsidR="008D7AD3" w:rsidRPr="009E6200" w:rsidRDefault="008D7AD3" w:rsidP="007B46F5">
      <w:pPr>
        <w:pStyle w:val="SDText"/>
        <w:ind w:firstLine="360"/>
        <w:jc w:val="both"/>
      </w:pPr>
      <w:r w:rsidRPr="009E6200">
        <w:t>Спонсор не несет ответственности за какие-либо потери, вред и/или поврежде</w:t>
      </w:r>
      <w:r w:rsidR="00DE538B" w:rsidRPr="009E6200">
        <w:t>ние, которые могут быть нанесен</w:t>
      </w:r>
      <w:r w:rsidRPr="009E6200">
        <w:t xml:space="preserve"> </w:t>
      </w:r>
      <w:r w:rsidR="00BA77BD" w:rsidRPr="009E6200">
        <w:t>пациенту</w:t>
      </w:r>
      <w:r w:rsidRPr="009E6200">
        <w:t>, в случае,</w:t>
      </w:r>
      <w:r w:rsidR="00B4449A" w:rsidRPr="009E6200">
        <w:t xml:space="preserve"> </w:t>
      </w:r>
      <w:r w:rsidRPr="009E6200">
        <w:t>если такие потери, вред и/или повреждение вызваны:</w:t>
      </w:r>
    </w:p>
    <w:p w14:paraId="4B5B0FDF" w14:textId="77777777" w:rsidR="008D7AD3" w:rsidRPr="009E6200" w:rsidRDefault="008D7AD3" w:rsidP="007B46F5">
      <w:pPr>
        <w:pStyle w:val="SDText"/>
        <w:numPr>
          <w:ilvl w:val="0"/>
          <w:numId w:val="4"/>
        </w:numPr>
        <w:jc w:val="both"/>
        <w:rPr>
          <w:lang w:eastAsia="ru-RU"/>
        </w:rPr>
      </w:pPr>
      <w:r w:rsidRPr="009E6200">
        <w:rPr>
          <w:lang w:eastAsia="ru-RU"/>
        </w:rPr>
        <w:t>приемом запрещенного препарата во время исследования;</w:t>
      </w:r>
    </w:p>
    <w:p w14:paraId="7F7CA99C" w14:textId="77777777" w:rsidR="008D7AD3" w:rsidRPr="009E6200" w:rsidRDefault="008D7AD3" w:rsidP="007B46F5">
      <w:pPr>
        <w:pStyle w:val="SDText"/>
        <w:numPr>
          <w:ilvl w:val="0"/>
          <w:numId w:val="4"/>
        </w:numPr>
        <w:jc w:val="both"/>
        <w:rPr>
          <w:lang w:eastAsia="ru-RU"/>
        </w:rPr>
      </w:pPr>
      <w:r w:rsidRPr="009E6200">
        <w:rPr>
          <w:lang w:eastAsia="ru-RU"/>
        </w:rPr>
        <w:t xml:space="preserve">отклонением со стороны </w:t>
      </w:r>
      <w:r w:rsidR="00BA77BD" w:rsidRPr="009E6200">
        <w:rPr>
          <w:lang w:eastAsia="ru-RU"/>
        </w:rPr>
        <w:t>пациента</w:t>
      </w:r>
      <w:r w:rsidRPr="009E6200">
        <w:rPr>
          <w:lang w:eastAsia="ru-RU"/>
        </w:rPr>
        <w:t xml:space="preserve"> от протокола исследования, от требований исследования и/или от каких-либо инструкций или указаний, которые может дать врач-исследователь;</w:t>
      </w:r>
    </w:p>
    <w:p w14:paraId="6C83D070" w14:textId="77777777" w:rsidR="006711A9" w:rsidRPr="009E6200" w:rsidRDefault="008D7AD3" w:rsidP="007B46F5">
      <w:pPr>
        <w:pStyle w:val="SDText"/>
        <w:numPr>
          <w:ilvl w:val="0"/>
          <w:numId w:val="4"/>
        </w:numPr>
        <w:jc w:val="both"/>
        <w:rPr>
          <w:lang w:eastAsia="ru-RU"/>
        </w:rPr>
      </w:pPr>
      <w:r w:rsidRPr="009E6200">
        <w:rPr>
          <w:lang w:eastAsia="ru-RU"/>
        </w:rPr>
        <w:t xml:space="preserve">действием или бездействием третьей стороны по адекватному реагированию на </w:t>
      </w:r>
      <w:r w:rsidR="00201FC7" w:rsidRPr="009E6200">
        <w:rPr>
          <w:lang w:eastAsia="ru-RU"/>
        </w:rPr>
        <w:t>НЯ</w:t>
      </w:r>
      <w:r w:rsidRPr="009E6200">
        <w:rPr>
          <w:lang w:eastAsia="ru-RU"/>
        </w:rPr>
        <w:t xml:space="preserve"> или реакцию на исследуемый препарат.</w:t>
      </w:r>
    </w:p>
    <w:p w14:paraId="17E041D1" w14:textId="77777777" w:rsidR="00F9627A" w:rsidRPr="009E6200" w:rsidRDefault="00F9627A" w:rsidP="007B46F5">
      <w:pPr>
        <w:pStyle w:val="SDText"/>
        <w:ind w:left="360"/>
        <w:jc w:val="both"/>
        <w:rPr>
          <w:lang w:eastAsia="ru-RU"/>
        </w:rPr>
      </w:pPr>
    </w:p>
    <w:p w14:paraId="11499C69" w14:textId="77777777" w:rsidR="00202A18" w:rsidRPr="009E6200" w:rsidRDefault="00202A18" w:rsidP="007B46F5">
      <w:pPr>
        <w:jc w:val="both"/>
        <w:rPr>
          <w:rFonts w:eastAsiaTheme="majorEastAsia" w:cstheme="majorBidi"/>
          <w:b/>
          <w:sz w:val="32"/>
          <w:szCs w:val="32"/>
        </w:rPr>
      </w:pPr>
      <w:r w:rsidRPr="009E6200">
        <w:br w:type="page"/>
      </w:r>
    </w:p>
    <w:p w14:paraId="5002256F" w14:textId="6F759D22" w:rsidR="006711A9" w:rsidRPr="00014095" w:rsidRDefault="008D7AD3" w:rsidP="007B46F5">
      <w:pPr>
        <w:pStyle w:val="Heading1"/>
        <w:spacing w:before="0" w:after="0" w:line="240" w:lineRule="auto"/>
        <w:jc w:val="both"/>
        <w:rPr>
          <w:color w:val="auto"/>
          <w:sz w:val="28"/>
          <w:szCs w:val="28"/>
        </w:rPr>
      </w:pPr>
      <w:bookmarkStart w:id="329" w:name="_Toc120865341"/>
      <w:r w:rsidRPr="00014095">
        <w:rPr>
          <w:color w:val="auto"/>
          <w:sz w:val="28"/>
          <w:szCs w:val="28"/>
        </w:rPr>
        <w:t>Публикации</w:t>
      </w:r>
      <w:bookmarkEnd w:id="329"/>
    </w:p>
    <w:p w14:paraId="0E1A1DF6" w14:textId="77777777" w:rsidR="00CC556B" w:rsidRPr="00CC556B" w:rsidRDefault="00CC556B" w:rsidP="007B46F5"/>
    <w:p w14:paraId="7D63037D" w14:textId="77777777" w:rsidR="008D7AD3" w:rsidRPr="009E6200" w:rsidRDefault="008D7AD3" w:rsidP="007B46F5">
      <w:pPr>
        <w:pStyle w:val="SDText"/>
        <w:ind w:firstLine="709"/>
        <w:jc w:val="both"/>
      </w:pPr>
      <w:r w:rsidRPr="009E6200">
        <w:t>Информация, содержащаяся в настоящем документе, является собственностью спонсора, и ее передача третьим лицам разрешается только с письменного разрешения спонсора. Право доступа к данной информации предоставляется только исследователям и сотрудникам исследовательского центра, принимающим участие в исследовании, членам НЭК и сотрудникам органов здравоохранения, уполномоченным осуществлять контроль за проведением клинического исследования. Информация об исследовании, в объеме, необходимом для принятия решения о предоставлении согласия на участие, предоставляется субъектам, которые могут принять участие в данном исследовании.</w:t>
      </w:r>
    </w:p>
    <w:p w14:paraId="5A89CF64" w14:textId="77777777" w:rsidR="006711A9" w:rsidRPr="009E6200" w:rsidRDefault="008D7AD3" w:rsidP="007B46F5">
      <w:pPr>
        <w:pStyle w:val="SDText"/>
        <w:ind w:firstLine="709"/>
        <w:jc w:val="both"/>
      </w:pPr>
      <w:r w:rsidRPr="009E6200">
        <w:t>Исключительные права на результаты настоящего исследования принадлежат спонсору исследования. Никакие данные настоящего исследования не могут быть представлены или опубликованы без предварительного письменного разрешения спонсора.</w:t>
      </w:r>
    </w:p>
    <w:bookmarkEnd w:id="110"/>
    <w:p w14:paraId="73E60844" w14:textId="77777777" w:rsidR="00695C4D" w:rsidRPr="009E6200" w:rsidRDefault="00695C4D" w:rsidP="007B46F5">
      <w:pPr>
        <w:pStyle w:val="SDText"/>
        <w:jc w:val="both"/>
        <w:rPr>
          <w:lang w:eastAsia="ru-RU"/>
        </w:rPr>
      </w:pPr>
    </w:p>
    <w:p w14:paraId="1838029D" w14:textId="77777777" w:rsidR="00014095" w:rsidRDefault="00014095" w:rsidP="007B46F5">
      <w:pPr>
        <w:pStyle w:val="Heading1"/>
        <w:spacing w:before="0" w:after="0" w:line="240" w:lineRule="auto"/>
        <w:ind w:left="431" w:hanging="431"/>
        <w:jc w:val="both"/>
        <w:rPr>
          <w:sz w:val="28"/>
          <w:szCs w:val="28"/>
          <w:lang w:eastAsia="ru-RU"/>
        </w:rPr>
        <w:sectPr w:rsidR="00014095" w:rsidSect="00992857">
          <w:type w:val="continuous"/>
          <w:pgSz w:w="11906" w:h="16838"/>
          <w:pgMar w:top="1134" w:right="850" w:bottom="1134" w:left="1701" w:header="708" w:footer="708" w:gutter="0"/>
          <w:cols w:space="708"/>
          <w:docGrid w:linePitch="360"/>
        </w:sectPr>
      </w:pPr>
    </w:p>
    <w:p w14:paraId="5AD809D8" w14:textId="0F49AB29" w:rsidR="00695C4D" w:rsidRPr="00014095" w:rsidRDefault="00695C4D" w:rsidP="007B46F5">
      <w:pPr>
        <w:pStyle w:val="Heading1"/>
        <w:spacing w:before="0" w:after="0" w:line="240" w:lineRule="auto"/>
        <w:ind w:left="431" w:hanging="431"/>
        <w:jc w:val="both"/>
        <w:rPr>
          <w:sz w:val="28"/>
          <w:szCs w:val="28"/>
          <w:lang w:eastAsia="ru-RU"/>
        </w:rPr>
      </w:pPr>
      <w:bookmarkStart w:id="330" w:name="_Toc120865342"/>
      <w:r w:rsidRPr="00014095">
        <w:rPr>
          <w:sz w:val="28"/>
          <w:szCs w:val="28"/>
          <w:lang w:eastAsia="ru-RU"/>
        </w:rPr>
        <w:t>Приложения</w:t>
      </w:r>
      <w:bookmarkEnd w:id="330"/>
    </w:p>
    <w:p w14:paraId="68454469" w14:textId="77777777" w:rsidR="00CC556B" w:rsidRPr="00CC556B" w:rsidRDefault="00CC556B" w:rsidP="007B46F5"/>
    <w:p w14:paraId="2CFE8819" w14:textId="57778138" w:rsidR="00695C4D" w:rsidRDefault="00695C4D" w:rsidP="007B46F5">
      <w:pPr>
        <w:pStyle w:val="Heading2"/>
      </w:pPr>
      <w:bookmarkStart w:id="331" w:name="_Ref16582782"/>
      <w:bookmarkStart w:id="332" w:name="_Toc120865343"/>
      <w:r w:rsidRPr="009E6200">
        <w:t xml:space="preserve">Приложение 1 – классификация </w:t>
      </w:r>
      <w:r w:rsidRPr="009E6200">
        <w:rPr>
          <w:lang w:val="en-US"/>
        </w:rPr>
        <w:t>TNM</w:t>
      </w:r>
      <w:r w:rsidR="005D2831" w:rsidRPr="009E6200">
        <w:t xml:space="preserve"> 7-го пересмотра</w:t>
      </w:r>
      <w:r w:rsidRPr="009E6200">
        <w:t xml:space="preserve"> немелкоклеточного рака легкого</w:t>
      </w:r>
      <w:bookmarkEnd w:id="331"/>
      <w:bookmarkEnd w:id="332"/>
    </w:p>
    <w:p w14:paraId="1EA52274" w14:textId="77777777" w:rsidR="00CC556B" w:rsidRPr="00CC556B" w:rsidRDefault="00CC556B" w:rsidP="007B46F5">
      <w:pPr>
        <w:pStyle w:val="SDText"/>
        <w:rPr>
          <w:lang w:eastAsia="ru-RU"/>
        </w:rPr>
      </w:pPr>
    </w:p>
    <w:p w14:paraId="05AD368D" w14:textId="77777777" w:rsidR="00855215" w:rsidRPr="009E6200" w:rsidRDefault="00855215" w:rsidP="007B46F5">
      <w:pPr>
        <w:pStyle w:val="SDText"/>
        <w:jc w:val="both"/>
      </w:pPr>
      <w:r w:rsidRPr="009E6200">
        <w:t>Т – Первичная опухоль</w:t>
      </w:r>
    </w:p>
    <w:p w14:paraId="199C47A9" w14:textId="371E3EC7" w:rsidR="00855215" w:rsidRPr="009E6200" w:rsidRDefault="00855215" w:rsidP="007B46F5">
      <w:pPr>
        <w:pStyle w:val="SDText"/>
        <w:jc w:val="both"/>
      </w:pPr>
      <w:r w:rsidRPr="009E6200">
        <w:t>Тx Недостаточно данных для оценки первичной опухоли или опухоль доказана только наличием опухолевых клеток в мокроте или промывных водах бронхов, но не выявляется методами визуализации</w:t>
      </w:r>
    </w:p>
    <w:p w14:paraId="1B75ED85" w14:textId="72ED17D7" w:rsidR="00855215" w:rsidRPr="009E6200" w:rsidRDefault="00855215" w:rsidP="007B46F5">
      <w:pPr>
        <w:pStyle w:val="SDText"/>
        <w:jc w:val="both"/>
      </w:pPr>
      <w:r w:rsidRPr="009E6200">
        <w:t>Т0 Первичная опухоль не определяется</w:t>
      </w:r>
    </w:p>
    <w:p w14:paraId="1625D9F7" w14:textId="77777777" w:rsidR="00855215" w:rsidRPr="009E6200" w:rsidRDefault="00855215" w:rsidP="007B46F5">
      <w:pPr>
        <w:pStyle w:val="SDText"/>
        <w:jc w:val="both"/>
      </w:pPr>
      <w:r w:rsidRPr="009E6200">
        <w:t>Tis Преинвазивная карцинома (сarcinoma in situ);</w:t>
      </w:r>
    </w:p>
    <w:p w14:paraId="2BE7D8AC" w14:textId="65F4153D" w:rsidR="00855215" w:rsidRPr="009E6200" w:rsidRDefault="00855215" w:rsidP="007B46F5">
      <w:pPr>
        <w:pStyle w:val="SDText"/>
        <w:jc w:val="both"/>
      </w:pPr>
      <w:r w:rsidRPr="009E6200">
        <w:t>T1 Опухоль ≤3 см в наибольшем измерении, окруженная легочной тканью или висцеральной плеврой, без видимой инвазии проксимальнее долевого бронха при бронхоскопии (без поражения главного бронха)</w:t>
      </w:r>
      <w:r w:rsidRPr="009E6200">
        <w:rPr>
          <w:rStyle w:val="FootnoteReference"/>
        </w:rPr>
        <w:footnoteReference w:id="27"/>
      </w:r>
    </w:p>
    <w:p w14:paraId="2D429BD0" w14:textId="5B25E106" w:rsidR="00855215" w:rsidRPr="009E6200" w:rsidRDefault="00855215" w:rsidP="007B46F5">
      <w:pPr>
        <w:pStyle w:val="SDText"/>
        <w:jc w:val="both"/>
      </w:pPr>
      <w:r w:rsidRPr="009E6200">
        <w:t>Т1а Опухоль &lt;2 см в наибольшем измерении</w:t>
      </w:r>
    </w:p>
    <w:p w14:paraId="03034A9E" w14:textId="60520C3C" w:rsidR="00855215" w:rsidRPr="009E6200" w:rsidRDefault="00855215" w:rsidP="007B46F5">
      <w:pPr>
        <w:pStyle w:val="SDText"/>
        <w:jc w:val="both"/>
      </w:pPr>
      <w:r w:rsidRPr="009E6200">
        <w:t>Т1б Опухоль &lt;2 см, но &gt;3 см в наибольшем измерении</w:t>
      </w:r>
    </w:p>
    <w:p w14:paraId="08A5EA65" w14:textId="098AD530" w:rsidR="00855215" w:rsidRPr="009E6200" w:rsidRDefault="00855215" w:rsidP="007B46F5">
      <w:pPr>
        <w:pStyle w:val="SDText"/>
        <w:jc w:val="both"/>
      </w:pPr>
      <w:r w:rsidRPr="009E6200">
        <w:t>Т2 Опухоль &gt;3 см в наибольшем измерении или опухоль любого размера, прорастающая висцеральную плевру или сопровождающаяся ателектазом, или обструктивной пневмонией, распространяющейся на корень легкого, но не захватывающей все легкое. Проксимальный край опухоли располагается не менее чем в 2 см от карины</w:t>
      </w:r>
    </w:p>
    <w:p w14:paraId="47FC0C3A" w14:textId="319F518F" w:rsidR="00855215" w:rsidRPr="009E6200" w:rsidRDefault="00855215" w:rsidP="007B46F5">
      <w:pPr>
        <w:pStyle w:val="SDText"/>
        <w:jc w:val="both"/>
      </w:pPr>
      <w:r w:rsidRPr="009E6200">
        <w:t>Т2а Опухоль &gt;3 см, но &lt;5 см в наибольшем измерении</w:t>
      </w:r>
    </w:p>
    <w:p w14:paraId="51E66628" w14:textId="7B1B4ED6" w:rsidR="00855215" w:rsidRPr="009E6200" w:rsidRDefault="00855215" w:rsidP="007B46F5">
      <w:pPr>
        <w:pStyle w:val="SDText"/>
        <w:jc w:val="both"/>
      </w:pPr>
      <w:r w:rsidRPr="009E6200">
        <w:t>Т2б Опухоль &gt;5 см, но &lt;7 см в наибольшем измерении</w:t>
      </w:r>
    </w:p>
    <w:p w14:paraId="11EB7928" w14:textId="2F446B53" w:rsidR="00855215" w:rsidRPr="009E6200" w:rsidRDefault="00855215" w:rsidP="007B46F5">
      <w:pPr>
        <w:pStyle w:val="SDText"/>
        <w:jc w:val="both"/>
      </w:pPr>
      <w:r w:rsidRPr="009E6200">
        <w:t>Т3 Опухоль &gt;7 см или любого размера, непосредственно переходящая на: грудную стенку (включая опухоли верхней борозды), диафрагму, медиастинальную плевру, перикард, или опухоль, доходящая до карины менее чем на 2 см, но без вовлечения карины, или опухоль с сопутствующим ателектазом или обструктивной пневмонией всего легкого, или наличие отдельных опухолевых узлов (узла) в первично пораженной доле легкого</w:t>
      </w:r>
    </w:p>
    <w:p w14:paraId="00DF080E" w14:textId="48608C57" w:rsidR="00855215" w:rsidRPr="009E6200" w:rsidRDefault="00855215" w:rsidP="007B46F5">
      <w:pPr>
        <w:pStyle w:val="SDText"/>
        <w:jc w:val="both"/>
      </w:pPr>
      <w:r w:rsidRPr="009E6200">
        <w:t>Т4 Опухоль любого размера, непосредственно переходящая на средостение, сердце, крупные сосуды, трахею, возвратный нерв, пищевод, тела позвонков, карину; или наличие отдельных опухолевых узлов (узла) в другой доле первично пораженного легкого</w:t>
      </w:r>
    </w:p>
    <w:p w14:paraId="0744AAFA" w14:textId="77777777" w:rsidR="00855215" w:rsidRPr="009E6200" w:rsidRDefault="00855215" w:rsidP="007B46F5">
      <w:pPr>
        <w:pStyle w:val="SDText"/>
        <w:jc w:val="both"/>
      </w:pPr>
      <w:r w:rsidRPr="009E6200">
        <w:t>N – Регионарные лимфатические узлы</w:t>
      </w:r>
    </w:p>
    <w:p w14:paraId="705FDA89" w14:textId="77777777" w:rsidR="00855215" w:rsidRPr="009E6200" w:rsidRDefault="00855215" w:rsidP="007B46F5">
      <w:pPr>
        <w:pStyle w:val="SDText"/>
        <w:jc w:val="both"/>
      </w:pPr>
      <w:r w:rsidRPr="009E6200">
        <w:t>Nх Недостаточно данных для оценки регионарных лимфатических узлов</w:t>
      </w:r>
    </w:p>
    <w:p w14:paraId="284FBB6F" w14:textId="77777777" w:rsidR="00855215" w:rsidRPr="009E6200" w:rsidRDefault="00855215" w:rsidP="007B46F5">
      <w:pPr>
        <w:pStyle w:val="SDText"/>
        <w:jc w:val="both"/>
      </w:pPr>
      <w:r w:rsidRPr="009E6200">
        <w:t>N0 Нет признаков метастатического поражения регионарных лимфатических узлов</w:t>
      </w:r>
    </w:p>
    <w:p w14:paraId="5CE2C70D" w14:textId="3A09CD3F" w:rsidR="00855215" w:rsidRPr="009E6200" w:rsidRDefault="00855215" w:rsidP="007B46F5">
      <w:pPr>
        <w:pStyle w:val="SDText"/>
        <w:jc w:val="both"/>
      </w:pPr>
      <w:r w:rsidRPr="009E6200">
        <w:t>N1 Имеется поражение перибронхиальных и(или) лимфатических узлов корня легкого на стороне поражения, внутрилегочных лимфатических узлов, включая непосредственное распространение опухоли на лимфатические узлы</w:t>
      </w:r>
    </w:p>
    <w:p w14:paraId="02FB2042" w14:textId="77777777" w:rsidR="00855215" w:rsidRPr="009E6200" w:rsidRDefault="00855215" w:rsidP="007B46F5">
      <w:pPr>
        <w:pStyle w:val="SDText"/>
        <w:jc w:val="both"/>
      </w:pPr>
      <w:r w:rsidRPr="009E6200">
        <w:t>N2 Имеется поражение лимфатических узлов средостения на стороне поражения или бифуркационных</w:t>
      </w:r>
    </w:p>
    <w:p w14:paraId="69B75841" w14:textId="14AD5A03" w:rsidR="00855215" w:rsidRPr="009E6200" w:rsidRDefault="00855215" w:rsidP="007B46F5">
      <w:pPr>
        <w:pStyle w:val="SDText"/>
        <w:jc w:val="both"/>
      </w:pPr>
      <w:r w:rsidRPr="009E6200">
        <w:t>N3 Имеется поражение лимфатических узлов средостения или корня легкого на противоположной стороне, прескаленных или надключичных лимфатических узлов на стороне поражения или на противоположной стороне</w:t>
      </w:r>
    </w:p>
    <w:p w14:paraId="39C19FF0" w14:textId="77777777" w:rsidR="00855215" w:rsidRPr="009E6200" w:rsidRDefault="00855215" w:rsidP="007B46F5">
      <w:pPr>
        <w:pStyle w:val="SDText"/>
        <w:jc w:val="both"/>
      </w:pPr>
      <w:r w:rsidRPr="009E6200">
        <w:t>М – Отдаленные метастазы</w:t>
      </w:r>
    </w:p>
    <w:p w14:paraId="54218A5C" w14:textId="77777777" w:rsidR="00855215" w:rsidRPr="009E6200" w:rsidRDefault="00855215" w:rsidP="007B46F5">
      <w:pPr>
        <w:pStyle w:val="SDText"/>
        <w:jc w:val="both"/>
      </w:pPr>
      <w:r w:rsidRPr="009E6200">
        <w:t>Mx Недостаточно данных для определения отдаленных метастазов</w:t>
      </w:r>
    </w:p>
    <w:p w14:paraId="25C5D2E6" w14:textId="77777777" w:rsidR="00855215" w:rsidRPr="009E6200" w:rsidRDefault="00855215" w:rsidP="007B46F5">
      <w:pPr>
        <w:pStyle w:val="SDText"/>
        <w:jc w:val="both"/>
      </w:pPr>
      <w:r w:rsidRPr="009E6200">
        <w:t>МО Нет признаков отдаленных метастазов</w:t>
      </w:r>
    </w:p>
    <w:p w14:paraId="3138957A" w14:textId="77777777" w:rsidR="00855215" w:rsidRPr="009E6200" w:rsidRDefault="00855215" w:rsidP="007B46F5">
      <w:pPr>
        <w:pStyle w:val="SDText"/>
        <w:jc w:val="both"/>
      </w:pPr>
      <w:r w:rsidRPr="009E6200">
        <w:t>М1 Наличие отдаленных метастазов</w:t>
      </w:r>
    </w:p>
    <w:p w14:paraId="62CB2D94" w14:textId="3E4FFBF8" w:rsidR="00855215" w:rsidRPr="009E6200" w:rsidRDefault="00855215" w:rsidP="007B46F5">
      <w:pPr>
        <w:pStyle w:val="SDText"/>
        <w:jc w:val="both"/>
      </w:pPr>
      <w:r w:rsidRPr="009E6200">
        <w:t>M1а Наличие отдельных опухолевых узлов (узла) в контралатеральном легком; опухоль с диссеминацией по плевре, злокачественным плевральным или перикардиальным выпотом</w:t>
      </w:r>
      <w:r w:rsidRPr="009E6200">
        <w:rPr>
          <w:rStyle w:val="FootnoteReference"/>
        </w:rPr>
        <w:footnoteReference w:id="28"/>
      </w:r>
    </w:p>
    <w:p w14:paraId="6CF957E6" w14:textId="52406E24" w:rsidR="00855215" w:rsidRPr="009E6200" w:rsidRDefault="00855215" w:rsidP="007B46F5">
      <w:pPr>
        <w:pStyle w:val="SDText"/>
        <w:jc w:val="both"/>
      </w:pPr>
      <w:r w:rsidRPr="009E6200">
        <w:t>М1б Другие отдаленные метастазы</w:t>
      </w:r>
    </w:p>
    <w:p w14:paraId="7D0AE75B" w14:textId="144643BD" w:rsidR="00855215" w:rsidRPr="009E6200" w:rsidRDefault="00855215" w:rsidP="007B46F5">
      <w:pPr>
        <w:pStyle w:val="SDText"/>
        <w:jc w:val="both"/>
      </w:pPr>
    </w:p>
    <w:p w14:paraId="7F93F116" w14:textId="77777777" w:rsidR="00695C4D" w:rsidRPr="009E6200" w:rsidRDefault="00695C4D" w:rsidP="007B46F5">
      <w:pPr>
        <w:pStyle w:val="SDText"/>
        <w:jc w:val="both"/>
        <w:rPr>
          <w:b/>
          <w:bCs/>
        </w:rPr>
      </w:pPr>
      <w:r w:rsidRPr="009E6200">
        <w:rPr>
          <w:b/>
          <w:bCs/>
        </w:rPr>
        <w:t>Итоговое стадирование:</w:t>
      </w:r>
    </w:p>
    <w:tbl>
      <w:tblPr>
        <w:tblW w:w="0" w:type="auto"/>
        <w:tblCellMar>
          <w:left w:w="0" w:type="dxa"/>
          <w:right w:w="0" w:type="dxa"/>
        </w:tblCellMar>
        <w:tblLook w:val="04A0" w:firstRow="1" w:lastRow="0" w:firstColumn="1" w:lastColumn="0" w:noHBand="0" w:noVBand="1"/>
      </w:tblPr>
      <w:tblGrid>
        <w:gridCol w:w="1635"/>
        <w:gridCol w:w="1635"/>
        <w:gridCol w:w="1635"/>
        <w:gridCol w:w="1620"/>
      </w:tblGrid>
      <w:tr w:rsidR="00DB746B" w:rsidRPr="009E6200" w14:paraId="1DA631DF" w14:textId="77777777" w:rsidTr="00DB746B">
        <w:tc>
          <w:tcPr>
            <w:tcW w:w="163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233B495" w14:textId="77777777" w:rsidR="00DB746B" w:rsidRPr="009E6200" w:rsidRDefault="00DB746B" w:rsidP="007B46F5">
            <w:pPr>
              <w:pStyle w:val="SDText"/>
              <w:jc w:val="both"/>
            </w:pPr>
            <w:r w:rsidRPr="009E6200">
              <w:t xml:space="preserve">Стадия </w:t>
            </w:r>
          </w:p>
        </w:tc>
        <w:tc>
          <w:tcPr>
            <w:tcW w:w="163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4A3A84C" w14:textId="77777777" w:rsidR="00DB746B" w:rsidRPr="009E6200" w:rsidRDefault="00DB746B" w:rsidP="007B46F5">
            <w:pPr>
              <w:pStyle w:val="SDText"/>
              <w:jc w:val="both"/>
            </w:pPr>
            <w:r w:rsidRPr="009E6200">
              <w:t xml:space="preserve">Т </w:t>
            </w:r>
          </w:p>
        </w:tc>
        <w:tc>
          <w:tcPr>
            <w:tcW w:w="163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57C423A" w14:textId="77777777" w:rsidR="00DB746B" w:rsidRPr="009E6200" w:rsidRDefault="00DB746B" w:rsidP="007B46F5">
            <w:pPr>
              <w:pStyle w:val="SDText"/>
              <w:jc w:val="both"/>
            </w:pPr>
            <w:r w:rsidRPr="009E6200">
              <w:t xml:space="preserve">N </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B058402" w14:textId="77777777" w:rsidR="00DB746B" w:rsidRPr="009E6200" w:rsidRDefault="00DB746B" w:rsidP="007B46F5">
            <w:pPr>
              <w:pStyle w:val="SDText"/>
              <w:jc w:val="both"/>
            </w:pPr>
            <w:r w:rsidRPr="009E6200">
              <w:t>M</w:t>
            </w:r>
          </w:p>
        </w:tc>
      </w:tr>
      <w:tr w:rsidR="00DB746B" w:rsidRPr="009E6200" w14:paraId="2CAFFFE3" w14:textId="77777777" w:rsidTr="00DB746B">
        <w:tc>
          <w:tcPr>
            <w:tcW w:w="163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BD3F648" w14:textId="77777777" w:rsidR="00DB746B" w:rsidRPr="009E6200" w:rsidRDefault="00DB746B" w:rsidP="007B46F5">
            <w:pPr>
              <w:pStyle w:val="SDText"/>
              <w:jc w:val="both"/>
            </w:pPr>
            <w:r w:rsidRPr="009E6200">
              <w:t xml:space="preserve">0 </w:t>
            </w:r>
          </w:p>
        </w:tc>
        <w:tc>
          <w:tcPr>
            <w:tcW w:w="16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9BD975" w14:textId="77777777" w:rsidR="00DB746B" w:rsidRPr="009E6200" w:rsidRDefault="00DB746B" w:rsidP="007B46F5">
            <w:pPr>
              <w:pStyle w:val="SDText"/>
              <w:jc w:val="both"/>
            </w:pPr>
            <w:r w:rsidRPr="009E6200">
              <w:t xml:space="preserve">Tis </w:t>
            </w:r>
          </w:p>
        </w:tc>
        <w:tc>
          <w:tcPr>
            <w:tcW w:w="16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F24B46" w14:textId="77777777" w:rsidR="00DB746B" w:rsidRPr="009E6200" w:rsidRDefault="00DB746B" w:rsidP="007B46F5">
            <w:pPr>
              <w:pStyle w:val="SDText"/>
              <w:jc w:val="both"/>
            </w:pPr>
            <w:r w:rsidRPr="009E6200">
              <w:t xml:space="preserve">0 </w:t>
            </w:r>
          </w:p>
        </w:tc>
        <w:tc>
          <w:tcPr>
            <w:tcW w:w="16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3E9A3D" w14:textId="77777777" w:rsidR="00DB746B" w:rsidRPr="009E6200" w:rsidRDefault="00DB746B" w:rsidP="007B46F5">
            <w:pPr>
              <w:pStyle w:val="SDText"/>
              <w:jc w:val="both"/>
            </w:pPr>
            <w:r w:rsidRPr="009E6200">
              <w:t>0</w:t>
            </w:r>
          </w:p>
        </w:tc>
      </w:tr>
      <w:tr w:rsidR="00DB746B" w:rsidRPr="009E6200" w14:paraId="685A3851" w14:textId="77777777" w:rsidTr="00DB746B">
        <w:tc>
          <w:tcPr>
            <w:tcW w:w="163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6F86654" w14:textId="77777777" w:rsidR="00DB746B" w:rsidRPr="009E6200" w:rsidRDefault="00DB746B" w:rsidP="007B46F5">
            <w:pPr>
              <w:pStyle w:val="SDText"/>
              <w:jc w:val="both"/>
            </w:pPr>
            <w:r w:rsidRPr="009E6200">
              <w:t xml:space="preserve">IA </w:t>
            </w:r>
          </w:p>
        </w:tc>
        <w:tc>
          <w:tcPr>
            <w:tcW w:w="16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7A8D91" w14:textId="150F4DC9" w:rsidR="00DB746B" w:rsidRPr="009E6200" w:rsidRDefault="00DB746B" w:rsidP="007B46F5">
            <w:pPr>
              <w:pStyle w:val="SDText"/>
              <w:jc w:val="both"/>
            </w:pPr>
            <w:r w:rsidRPr="009E6200">
              <w:t>1</w:t>
            </w:r>
            <w:r w:rsidR="00855215" w:rsidRPr="009E6200">
              <w:t>а, б</w:t>
            </w:r>
          </w:p>
        </w:tc>
        <w:tc>
          <w:tcPr>
            <w:tcW w:w="16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295C0A1" w14:textId="77777777" w:rsidR="00DB746B" w:rsidRPr="009E6200" w:rsidRDefault="00DB746B" w:rsidP="007B46F5">
            <w:pPr>
              <w:pStyle w:val="SDText"/>
              <w:jc w:val="both"/>
            </w:pPr>
            <w:r w:rsidRPr="009E6200">
              <w:t xml:space="preserve">0 </w:t>
            </w:r>
          </w:p>
        </w:tc>
        <w:tc>
          <w:tcPr>
            <w:tcW w:w="16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0BA8DE" w14:textId="77777777" w:rsidR="00DB746B" w:rsidRPr="009E6200" w:rsidRDefault="00DB746B" w:rsidP="007B46F5">
            <w:pPr>
              <w:pStyle w:val="SDText"/>
              <w:jc w:val="both"/>
            </w:pPr>
            <w:r w:rsidRPr="009E6200">
              <w:t>0</w:t>
            </w:r>
          </w:p>
        </w:tc>
      </w:tr>
      <w:tr w:rsidR="00DB746B" w:rsidRPr="009E6200" w14:paraId="621DA213" w14:textId="77777777" w:rsidTr="00DB746B">
        <w:tc>
          <w:tcPr>
            <w:tcW w:w="163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82F7C4D" w14:textId="77777777" w:rsidR="00DB746B" w:rsidRPr="009E6200" w:rsidRDefault="00DB746B" w:rsidP="007B46F5">
            <w:pPr>
              <w:pStyle w:val="SDText"/>
              <w:jc w:val="both"/>
            </w:pPr>
            <w:r w:rsidRPr="009E6200">
              <w:t xml:space="preserve">IB </w:t>
            </w:r>
          </w:p>
        </w:tc>
        <w:tc>
          <w:tcPr>
            <w:tcW w:w="16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0C08000" w14:textId="69DB406C" w:rsidR="00DB746B" w:rsidRPr="009E6200" w:rsidRDefault="00DB746B" w:rsidP="007B46F5">
            <w:pPr>
              <w:pStyle w:val="SDText"/>
              <w:jc w:val="both"/>
            </w:pPr>
            <w:r w:rsidRPr="009E6200">
              <w:t>2</w:t>
            </w:r>
            <w:r w:rsidR="00855215" w:rsidRPr="009E6200">
              <w:t>а</w:t>
            </w:r>
          </w:p>
        </w:tc>
        <w:tc>
          <w:tcPr>
            <w:tcW w:w="16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3FB344C" w14:textId="77777777" w:rsidR="00DB746B" w:rsidRPr="009E6200" w:rsidRDefault="00DB746B" w:rsidP="007B46F5">
            <w:pPr>
              <w:pStyle w:val="SDText"/>
              <w:jc w:val="both"/>
            </w:pPr>
            <w:r w:rsidRPr="009E6200">
              <w:t xml:space="preserve">0 </w:t>
            </w:r>
          </w:p>
        </w:tc>
        <w:tc>
          <w:tcPr>
            <w:tcW w:w="16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123F93" w14:textId="77777777" w:rsidR="00DB746B" w:rsidRPr="009E6200" w:rsidRDefault="00DB746B" w:rsidP="007B46F5">
            <w:pPr>
              <w:pStyle w:val="SDText"/>
              <w:jc w:val="both"/>
            </w:pPr>
            <w:r w:rsidRPr="009E6200">
              <w:t>0</w:t>
            </w:r>
          </w:p>
        </w:tc>
      </w:tr>
      <w:tr w:rsidR="00DB746B" w:rsidRPr="009E6200" w14:paraId="3904FD11" w14:textId="77777777" w:rsidTr="00DB746B">
        <w:tc>
          <w:tcPr>
            <w:tcW w:w="163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DF8B2B" w14:textId="77777777" w:rsidR="00DB746B" w:rsidRPr="009E6200" w:rsidRDefault="00DB746B" w:rsidP="007B46F5">
            <w:pPr>
              <w:pStyle w:val="SDText"/>
              <w:jc w:val="both"/>
            </w:pPr>
            <w:r w:rsidRPr="009E6200">
              <w:t xml:space="preserve">IIA </w:t>
            </w:r>
          </w:p>
        </w:tc>
        <w:tc>
          <w:tcPr>
            <w:tcW w:w="16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EAC96A" w14:textId="4B441639" w:rsidR="00DB746B" w:rsidRPr="009E6200" w:rsidRDefault="00DB746B" w:rsidP="007B46F5">
            <w:pPr>
              <w:pStyle w:val="SDText"/>
              <w:jc w:val="both"/>
            </w:pPr>
            <w:r w:rsidRPr="009E6200">
              <w:t xml:space="preserve">1a, </w:t>
            </w:r>
            <w:r w:rsidR="00855215" w:rsidRPr="009E6200">
              <w:t>б</w:t>
            </w:r>
            <w:r w:rsidRPr="009E6200">
              <w:t xml:space="preserve"> </w:t>
            </w:r>
          </w:p>
        </w:tc>
        <w:tc>
          <w:tcPr>
            <w:tcW w:w="16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3DA459" w14:textId="77777777" w:rsidR="00DB746B" w:rsidRPr="009E6200" w:rsidRDefault="00DB746B" w:rsidP="007B46F5">
            <w:pPr>
              <w:pStyle w:val="SDText"/>
              <w:jc w:val="both"/>
            </w:pPr>
            <w:r w:rsidRPr="009E6200">
              <w:t xml:space="preserve">1 </w:t>
            </w:r>
          </w:p>
        </w:tc>
        <w:tc>
          <w:tcPr>
            <w:tcW w:w="16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D6D70D" w14:textId="77777777" w:rsidR="00DB746B" w:rsidRPr="009E6200" w:rsidRDefault="00DB746B" w:rsidP="007B46F5">
            <w:pPr>
              <w:pStyle w:val="SDText"/>
              <w:jc w:val="both"/>
            </w:pPr>
            <w:r w:rsidRPr="009E6200">
              <w:t>0</w:t>
            </w:r>
          </w:p>
        </w:tc>
      </w:tr>
      <w:tr w:rsidR="00DB746B" w:rsidRPr="009E6200" w14:paraId="2706A9D1" w14:textId="77777777" w:rsidTr="00DB746B">
        <w:tc>
          <w:tcPr>
            <w:tcW w:w="163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F9B30B9" w14:textId="77777777" w:rsidR="00DB746B" w:rsidRPr="009E6200" w:rsidRDefault="00DB746B" w:rsidP="007B46F5">
            <w:pPr>
              <w:pStyle w:val="SDText"/>
              <w:jc w:val="both"/>
            </w:pPr>
          </w:p>
        </w:tc>
        <w:tc>
          <w:tcPr>
            <w:tcW w:w="1635" w:type="dxa"/>
            <w:tcBorders>
              <w:top w:val="nil"/>
              <w:left w:val="nil"/>
              <w:bottom w:val="single" w:sz="8" w:space="0" w:color="auto"/>
              <w:right w:val="single" w:sz="8" w:space="0" w:color="auto"/>
            </w:tcBorders>
            <w:tcMar>
              <w:top w:w="0" w:type="dxa"/>
              <w:left w:w="108" w:type="dxa"/>
              <w:bottom w:w="0" w:type="dxa"/>
              <w:right w:w="108" w:type="dxa"/>
            </w:tcMar>
            <w:vAlign w:val="center"/>
          </w:tcPr>
          <w:p w14:paraId="2FA90AD7" w14:textId="3F317EE7" w:rsidR="00DB746B" w:rsidRPr="009E6200" w:rsidRDefault="00DB746B" w:rsidP="007B46F5">
            <w:pPr>
              <w:pStyle w:val="SDText"/>
              <w:jc w:val="both"/>
            </w:pPr>
            <w:r w:rsidRPr="009E6200">
              <w:t>2a</w:t>
            </w:r>
          </w:p>
        </w:tc>
        <w:tc>
          <w:tcPr>
            <w:tcW w:w="1635" w:type="dxa"/>
            <w:tcBorders>
              <w:top w:val="nil"/>
              <w:left w:val="nil"/>
              <w:bottom w:val="single" w:sz="8" w:space="0" w:color="auto"/>
              <w:right w:val="single" w:sz="8" w:space="0" w:color="auto"/>
            </w:tcBorders>
            <w:tcMar>
              <w:top w:w="0" w:type="dxa"/>
              <w:left w:w="108" w:type="dxa"/>
              <w:bottom w:w="0" w:type="dxa"/>
              <w:right w:w="108" w:type="dxa"/>
            </w:tcMar>
            <w:vAlign w:val="center"/>
          </w:tcPr>
          <w:p w14:paraId="0311A7A9" w14:textId="152D38EC" w:rsidR="00DB746B" w:rsidRPr="009E6200" w:rsidRDefault="00DB746B" w:rsidP="007B46F5">
            <w:pPr>
              <w:pStyle w:val="SDText"/>
              <w:jc w:val="both"/>
            </w:pPr>
            <w:r w:rsidRPr="009E6200">
              <w:t>1</w:t>
            </w:r>
          </w:p>
        </w:tc>
        <w:tc>
          <w:tcPr>
            <w:tcW w:w="1620" w:type="dxa"/>
            <w:tcBorders>
              <w:top w:val="nil"/>
              <w:left w:val="nil"/>
              <w:bottom w:val="single" w:sz="8" w:space="0" w:color="auto"/>
              <w:right w:val="single" w:sz="8" w:space="0" w:color="auto"/>
            </w:tcBorders>
            <w:tcMar>
              <w:top w:w="0" w:type="dxa"/>
              <w:left w:w="108" w:type="dxa"/>
              <w:bottom w:w="0" w:type="dxa"/>
              <w:right w:w="108" w:type="dxa"/>
            </w:tcMar>
            <w:vAlign w:val="center"/>
          </w:tcPr>
          <w:p w14:paraId="5759B1CB" w14:textId="4B03F97F" w:rsidR="00DB746B" w:rsidRPr="009E6200" w:rsidRDefault="00DB746B" w:rsidP="007B46F5">
            <w:pPr>
              <w:pStyle w:val="SDText"/>
              <w:jc w:val="both"/>
            </w:pPr>
            <w:r w:rsidRPr="009E6200">
              <w:t>0</w:t>
            </w:r>
          </w:p>
        </w:tc>
      </w:tr>
      <w:tr w:rsidR="00DB746B" w:rsidRPr="009E6200" w14:paraId="5F7BF756" w14:textId="77777777" w:rsidTr="00DB746B">
        <w:tc>
          <w:tcPr>
            <w:tcW w:w="163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F6D4BDF" w14:textId="2CAB560E" w:rsidR="00DB746B" w:rsidRPr="009E6200" w:rsidRDefault="00DB746B" w:rsidP="007B46F5">
            <w:pPr>
              <w:pStyle w:val="SDText"/>
              <w:jc w:val="both"/>
            </w:pPr>
          </w:p>
        </w:tc>
        <w:tc>
          <w:tcPr>
            <w:tcW w:w="16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04638E" w14:textId="369E126D" w:rsidR="00DB746B" w:rsidRPr="009E6200" w:rsidRDefault="00DB746B" w:rsidP="007B46F5">
            <w:pPr>
              <w:pStyle w:val="SDText"/>
              <w:jc w:val="both"/>
            </w:pPr>
            <w:r w:rsidRPr="009E6200">
              <w:t>2</w:t>
            </w:r>
            <w:r w:rsidR="00855215" w:rsidRPr="009E6200">
              <w:t>б</w:t>
            </w:r>
          </w:p>
        </w:tc>
        <w:tc>
          <w:tcPr>
            <w:tcW w:w="16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6C2B9C" w14:textId="25A3DEA1" w:rsidR="00DB746B" w:rsidRPr="009E6200" w:rsidRDefault="00DB746B" w:rsidP="007B46F5">
            <w:pPr>
              <w:pStyle w:val="SDText"/>
              <w:jc w:val="both"/>
            </w:pPr>
            <w:r w:rsidRPr="009E6200">
              <w:t>0</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D1BE3D" w14:textId="0DF74EAD" w:rsidR="00DB746B" w:rsidRPr="009E6200" w:rsidRDefault="00DB746B" w:rsidP="007B46F5">
            <w:pPr>
              <w:pStyle w:val="SDText"/>
              <w:jc w:val="both"/>
            </w:pPr>
            <w:r w:rsidRPr="009E6200">
              <w:t>0</w:t>
            </w:r>
          </w:p>
        </w:tc>
      </w:tr>
      <w:tr w:rsidR="00DB746B" w:rsidRPr="009E6200" w14:paraId="42997DD1" w14:textId="77777777" w:rsidTr="00DB746B">
        <w:tc>
          <w:tcPr>
            <w:tcW w:w="163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1CC7B87" w14:textId="77777777" w:rsidR="00DB746B" w:rsidRPr="009E6200" w:rsidRDefault="00DB746B" w:rsidP="007B46F5">
            <w:pPr>
              <w:pStyle w:val="SDText"/>
              <w:jc w:val="both"/>
            </w:pPr>
            <w:r w:rsidRPr="009E6200">
              <w:t xml:space="preserve">IIB </w:t>
            </w:r>
          </w:p>
        </w:tc>
        <w:tc>
          <w:tcPr>
            <w:tcW w:w="16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ABC95B" w14:textId="0532F976" w:rsidR="00DB746B" w:rsidRPr="009E6200" w:rsidRDefault="00DB746B" w:rsidP="007B46F5">
            <w:pPr>
              <w:pStyle w:val="SDText"/>
              <w:jc w:val="both"/>
            </w:pPr>
            <w:r w:rsidRPr="009E6200">
              <w:t>2</w:t>
            </w:r>
            <w:r w:rsidR="00855215" w:rsidRPr="009E6200">
              <w:t>б</w:t>
            </w:r>
          </w:p>
        </w:tc>
        <w:tc>
          <w:tcPr>
            <w:tcW w:w="16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585D55" w14:textId="77777777" w:rsidR="00DB746B" w:rsidRPr="009E6200" w:rsidRDefault="00DB746B" w:rsidP="007B46F5">
            <w:pPr>
              <w:pStyle w:val="SDText"/>
              <w:jc w:val="both"/>
            </w:pPr>
            <w:r w:rsidRPr="009E6200">
              <w:t xml:space="preserve">1 </w:t>
            </w:r>
          </w:p>
        </w:tc>
        <w:tc>
          <w:tcPr>
            <w:tcW w:w="16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016557" w14:textId="77777777" w:rsidR="00DB746B" w:rsidRPr="009E6200" w:rsidRDefault="00DB746B" w:rsidP="007B46F5">
            <w:pPr>
              <w:pStyle w:val="SDText"/>
              <w:jc w:val="both"/>
            </w:pPr>
            <w:r w:rsidRPr="009E6200">
              <w:t>0</w:t>
            </w:r>
          </w:p>
        </w:tc>
      </w:tr>
      <w:tr w:rsidR="00DB746B" w:rsidRPr="009E6200" w14:paraId="3D672CE0" w14:textId="77777777" w:rsidTr="00DB746B">
        <w:tc>
          <w:tcPr>
            <w:tcW w:w="163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57C9225" w14:textId="004C836D" w:rsidR="00DB746B" w:rsidRPr="009E6200" w:rsidRDefault="00DB746B" w:rsidP="007B46F5">
            <w:pPr>
              <w:pStyle w:val="SDText"/>
              <w:jc w:val="both"/>
            </w:pPr>
          </w:p>
        </w:tc>
        <w:tc>
          <w:tcPr>
            <w:tcW w:w="16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FF5966" w14:textId="125A9417" w:rsidR="00DB746B" w:rsidRPr="009E6200" w:rsidRDefault="00DB746B" w:rsidP="007B46F5">
            <w:pPr>
              <w:pStyle w:val="SDText"/>
              <w:jc w:val="both"/>
            </w:pPr>
            <w:r w:rsidRPr="009E6200">
              <w:t>3</w:t>
            </w:r>
          </w:p>
        </w:tc>
        <w:tc>
          <w:tcPr>
            <w:tcW w:w="16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159497" w14:textId="0865D696" w:rsidR="00DB746B" w:rsidRPr="009E6200" w:rsidRDefault="00DB746B" w:rsidP="007B46F5">
            <w:pPr>
              <w:pStyle w:val="SDText"/>
              <w:jc w:val="both"/>
            </w:pPr>
            <w:r w:rsidRPr="009E6200">
              <w:t>0</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F24C54" w14:textId="1F9ECCEB" w:rsidR="00DB746B" w:rsidRPr="009E6200" w:rsidRDefault="00DB746B" w:rsidP="007B46F5">
            <w:pPr>
              <w:pStyle w:val="SDText"/>
              <w:jc w:val="both"/>
            </w:pPr>
            <w:r w:rsidRPr="009E6200">
              <w:t>0</w:t>
            </w:r>
          </w:p>
        </w:tc>
      </w:tr>
      <w:tr w:rsidR="00DB746B" w:rsidRPr="009E6200" w14:paraId="27AD7E04" w14:textId="77777777" w:rsidTr="00DB746B">
        <w:tc>
          <w:tcPr>
            <w:tcW w:w="163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A3158AE" w14:textId="77777777" w:rsidR="00DB746B" w:rsidRPr="009E6200" w:rsidRDefault="00DB746B" w:rsidP="007B46F5">
            <w:pPr>
              <w:pStyle w:val="SDText"/>
              <w:jc w:val="both"/>
            </w:pPr>
            <w:r w:rsidRPr="009E6200">
              <w:t xml:space="preserve">IIIA </w:t>
            </w:r>
          </w:p>
        </w:tc>
        <w:tc>
          <w:tcPr>
            <w:tcW w:w="16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223D3BF" w14:textId="3033DFD4" w:rsidR="00DB746B" w:rsidRPr="009E6200" w:rsidRDefault="00DB746B" w:rsidP="007B46F5">
            <w:pPr>
              <w:pStyle w:val="SDText"/>
              <w:jc w:val="both"/>
            </w:pPr>
            <w:r w:rsidRPr="009E6200">
              <w:t>1, 2</w:t>
            </w:r>
          </w:p>
        </w:tc>
        <w:tc>
          <w:tcPr>
            <w:tcW w:w="16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7EF346" w14:textId="77777777" w:rsidR="00DB746B" w:rsidRPr="009E6200" w:rsidRDefault="00DB746B" w:rsidP="007B46F5">
            <w:pPr>
              <w:pStyle w:val="SDText"/>
              <w:jc w:val="both"/>
            </w:pPr>
            <w:r w:rsidRPr="009E6200">
              <w:t xml:space="preserve">2 </w:t>
            </w:r>
          </w:p>
        </w:tc>
        <w:tc>
          <w:tcPr>
            <w:tcW w:w="16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477057" w14:textId="77777777" w:rsidR="00DB746B" w:rsidRPr="009E6200" w:rsidRDefault="00DB746B" w:rsidP="007B46F5">
            <w:pPr>
              <w:pStyle w:val="SDText"/>
              <w:jc w:val="both"/>
            </w:pPr>
            <w:r w:rsidRPr="009E6200">
              <w:t>0</w:t>
            </w:r>
          </w:p>
        </w:tc>
      </w:tr>
      <w:tr w:rsidR="00DB746B" w:rsidRPr="009E6200" w14:paraId="58926E4D" w14:textId="77777777" w:rsidTr="00DB746B">
        <w:tc>
          <w:tcPr>
            <w:tcW w:w="163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5C83313" w14:textId="5A0A8B39" w:rsidR="00DB746B" w:rsidRPr="009E6200" w:rsidRDefault="00DB746B" w:rsidP="007B46F5">
            <w:pPr>
              <w:pStyle w:val="SDText"/>
              <w:jc w:val="both"/>
            </w:pPr>
          </w:p>
        </w:tc>
        <w:tc>
          <w:tcPr>
            <w:tcW w:w="16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5C2EA7" w14:textId="618BF18E" w:rsidR="00DB746B" w:rsidRPr="009E6200" w:rsidRDefault="00DB746B" w:rsidP="007B46F5">
            <w:pPr>
              <w:pStyle w:val="SDText"/>
              <w:jc w:val="both"/>
            </w:pPr>
            <w:r w:rsidRPr="009E6200">
              <w:t>3</w:t>
            </w:r>
          </w:p>
        </w:tc>
        <w:tc>
          <w:tcPr>
            <w:tcW w:w="16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77692D5" w14:textId="2D46B3CA" w:rsidR="00DB746B" w:rsidRPr="009E6200" w:rsidRDefault="00DB746B" w:rsidP="007B46F5">
            <w:pPr>
              <w:pStyle w:val="SDText"/>
              <w:jc w:val="both"/>
            </w:pPr>
            <w:r w:rsidRPr="009E6200">
              <w:t>1, 2</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EBF13C" w14:textId="04DA8657" w:rsidR="00DB746B" w:rsidRPr="009E6200" w:rsidRDefault="00DB746B" w:rsidP="007B46F5">
            <w:pPr>
              <w:pStyle w:val="SDText"/>
              <w:jc w:val="both"/>
            </w:pPr>
            <w:r w:rsidRPr="009E6200">
              <w:t>0</w:t>
            </w:r>
          </w:p>
        </w:tc>
      </w:tr>
      <w:tr w:rsidR="00DB746B" w:rsidRPr="009E6200" w14:paraId="241C8AD7" w14:textId="77777777" w:rsidTr="00DB746B">
        <w:tc>
          <w:tcPr>
            <w:tcW w:w="163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49E6235" w14:textId="7DE32DD7" w:rsidR="00DB746B" w:rsidRPr="009E6200" w:rsidRDefault="00DB746B" w:rsidP="007B46F5">
            <w:pPr>
              <w:pStyle w:val="SDText"/>
              <w:jc w:val="both"/>
            </w:pPr>
          </w:p>
        </w:tc>
        <w:tc>
          <w:tcPr>
            <w:tcW w:w="16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2A43C0" w14:textId="0F628386" w:rsidR="00DB746B" w:rsidRPr="009E6200" w:rsidRDefault="00DB746B" w:rsidP="007B46F5">
            <w:pPr>
              <w:pStyle w:val="SDText"/>
              <w:jc w:val="both"/>
            </w:pPr>
            <w:r w:rsidRPr="009E6200">
              <w:t>4</w:t>
            </w:r>
          </w:p>
        </w:tc>
        <w:tc>
          <w:tcPr>
            <w:tcW w:w="16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75F4F1" w14:textId="6D0A5342" w:rsidR="00DB746B" w:rsidRPr="009E6200" w:rsidRDefault="00DB746B" w:rsidP="007B46F5">
            <w:pPr>
              <w:pStyle w:val="SDText"/>
              <w:jc w:val="both"/>
            </w:pPr>
            <w:r w:rsidRPr="009E6200">
              <w:t>0, 1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42935F" w14:textId="361AEF54" w:rsidR="00DB746B" w:rsidRPr="009E6200" w:rsidRDefault="00DB746B" w:rsidP="007B46F5">
            <w:pPr>
              <w:pStyle w:val="SDText"/>
              <w:jc w:val="both"/>
            </w:pPr>
            <w:r w:rsidRPr="009E6200">
              <w:t>0</w:t>
            </w:r>
          </w:p>
        </w:tc>
      </w:tr>
      <w:tr w:rsidR="00DB746B" w:rsidRPr="009E6200" w14:paraId="1B238E61" w14:textId="77777777" w:rsidTr="00DB746B">
        <w:tc>
          <w:tcPr>
            <w:tcW w:w="163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6072016" w14:textId="77777777" w:rsidR="00DB746B" w:rsidRPr="009E6200" w:rsidRDefault="00DB746B" w:rsidP="007B46F5">
            <w:pPr>
              <w:pStyle w:val="SDText"/>
              <w:jc w:val="both"/>
            </w:pPr>
            <w:r w:rsidRPr="009E6200">
              <w:t xml:space="preserve">IIIB </w:t>
            </w:r>
          </w:p>
        </w:tc>
        <w:tc>
          <w:tcPr>
            <w:tcW w:w="16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A66DEDC" w14:textId="77777777" w:rsidR="00DB746B" w:rsidRPr="009E6200" w:rsidRDefault="00DB746B" w:rsidP="007B46F5">
            <w:pPr>
              <w:pStyle w:val="SDText"/>
              <w:jc w:val="both"/>
            </w:pPr>
            <w:r w:rsidRPr="009E6200">
              <w:t xml:space="preserve">4 </w:t>
            </w:r>
          </w:p>
        </w:tc>
        <w:tc>
          <w:tcPr>
            <w:tcW w:w="16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8062EF" w14:textId="77777777" w:rsidR="00DB746B" w:rsidRPr="009E6200" w:rsidRDefault="00DB746B" w:rsidP="007B46F5">
            <w:pPr>
              <w:pStyle w:val="SDText"/>
              <w:jc w:val="both"/>
            </w:pPr>
            <w:r w:rsidRPr="009E6200">
              <w:t xml:space="preserve">2 </w:t>
            </w:r>
          </w:p>
        </w:tc>
        <w:tc>
          <w:tcPr>
            <w:tcW w:w="16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602978" w14:textId="77777777" w:rsidR="00DB746B" w:rsidRPr="009E6200" w:rsidRDefault="00DB746B" w:rsidP="007B46F5">
            <w:pPr>
              <w:pStyle w:val="SDText"/>
              <w:jc w:val="both"/>
            </w:pPr>
            <w:r w:rsidRPr="009E6200">
              <w:t>0</w:t>
            </w:r>
          </w:p>
        </w:tc>
      </w:tr>
      <w:tr w:rsidR="00DB746B" w:rsidRPr="009E6200" w14:paraId="55E964C7" w14:textId="77777777" w:rsidTr="00DB746B">
        <w:tc>
          <w:tcPr>
            <w:tcW w:w="163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E19D20A" w14:textId="5148DBD4" w:rsidR="00DB746B" w:rsidRPr="009E6200" w:rsidRDefault="00DB746B" w:rsidP="007B46F5">
            <w:pPr>
              <w:pStyle w:val="SDText"/>
              <w:jc w:val="both"/>
            </w:pPr>
          </w:p>
        </w:tc>
        <w:tc>
          <w:tcPr>
            <w:tcW w:w="16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9BA950" w14:textId="732627A2" w:rsidR="00DB746B" w:rsidRPr="009E6200" w:rsidRDefault="00855215" w:rsidP="007B46F5">
            <w:pPr>
              <w:pStyle w:val="SDText"/>
              <w:jc w:val="both"/>
            </w:pPr>
            <w:r w:rsidRPr="009E6200">
              <w:t>Любая</w:t>
            </w:r>
            <w:r w:rsidR="00DB746B" w:rsidRPr="009E6200">
              <w:t xml:space="preserve"> </w:t>
            </w:r>
          </w:p>
        </w:tc>
        <w:tc>
          <w:tcPr>
            <w:tcW w:w="16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1BB608B" w14:textId="08E8E25F" w:rsidR="00DB746B" w:rsidRPr="009E6200" w:rsidRDefault="00855215" w:rsidP="007B46F5">
            <w:pPr>
              <w:pStyle w:val="SDText"/>
              <w:jc w:val="both"/>
            </w:pPr>
            <w:r w:rsidRPr="009E6200">
              <w:t>3</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737F59" w14:textId="553AF857" w:rsidR="00DB746B" w:rsidRPr="009E6200" w:rsidRDefault="00855215" w:rsidP="007B46F5">
            <w:pPr>
              <w:pStyle w:val="SDText"/>
              <w:jc w:val="both"/>
            </w:pPr>
            <w:r w:rsidRPr="009E6200">
              <w:t>0</w:t>
            </w:r>
          </w:p>
        </w:tc>
      </w:tr>
      <w:tr w:rsidR="00DB746B" w:rsidRPr="009E6200" w14:paraId="6939AFE6" w14:textId="77777777" w:rsidTr="00DB746B">
        <w:tc>
          <w:tcPr>
            <w:tcW w:w="163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5CC1243" w14:textId="77777777" w:rsidR="00DB746B" w:rsidRPr="009E6200" w:rsidRDefault="00DB746B" w:rsidP="007B46F5">
            <w:pPr>
              <w:pStyle w:val="SDText"/>
              <w:jc w:val="both"/>
            </w:pPr>
            <w:r w:rsidRPr="009E6200">
              <w:t xml:space="preserve">IV </w:t>
            </w:r>
          </w:p>
        </w:tc>
        <w:tc>
          <w:tcPr>
            <w:tcW w:w="16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E58ABA" w14:textId="77777777" w:rsidR="00DB746B" w:rsidRPr="009E6200" w:rsidRDefault="00DB746B" w:rsidP="007B46F5">
            <w:pPr>
              <w:pStyle w:val="SDText"/>
              <w:jc w:val="both"/>
            </w:pPr>
            <w:r w:rsidRPr="009E6200">
              <w:t xml:space="preserve">Любая </w:t>
            </w:r>
          </w:p>
        </w:tc>
        <w:tc>
          <w:tcPr>
            <w:tcW w:w="16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07DB1B" w14:textId="77777777" w:rsidR="00DB746B" w:rsidRPr="009E6200" w:rsidRDefault="00DB746B" w:rsidP="007B46F5">
            <w:pPr>
              <w:pStyle w:val="SDText"/>
              <w:jc w:val="both"/>
            </w:pPr>
            <w:r w:rsidRPr="009E6200">
              <w:t xml:space="preserve">Любая </w:t>
            </w:r>
          </w:p>
        </w:tc>
        <w:tc>
          <w:tcPr>
            <w:tcW w:w="16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6D9D55" w14:textId="4E9BBE0D" w:rsidR="00DB746B" w:rsidRPr="009E6200" w:rsidRDefault="00DB746B" w:rsidP="007B46F5">
            <w:pPr>
              <w:pStyle w:val="SDText"/>
              <w:jc w:val="both"/>
            </w:pPr>
            <w:r w:rsidRPr="009E6200">
              <w:t>1</w:t>
            </w:r>
            <w:r w:rsidR="00855215" w:rsidRPr="009E6200">
              <w:t>а,б</w:t>
            </w:r>
          </w:p>
        </w:tc>
      </w:tr>
    </w:tbl>
    <w:p w14:paraId="6994E076" w14:textId="1D523FD8" w:rsidR="00EF25E9" w:rsidRDefault="00EF25E9" w:rsidP="007B46F5">
      <w:pPr>
        <w:pStyle w:val="SDText"/>
        <w:jc w:val="both"/>
      </w:pPr>
      <w:r w:rsidRPr="009E6200">
        <w:br w:type="page"/>
      </w:r>
    </w:p>
    <w:p w14:paraId="0F73F84B" w14:textId="757E8461" w:rsidR="00762794" w:rsidRPr="00014095" w:rsidRDefault="00EF25E9" w:rsidP="007B46F5">
      <w:pPr>
        <w:pStyle w:val="Heading1"/>
        <w:spacing w:before="0" w:after="0" w:line="240" w:lineRule="auto"/>
        <w:jc w:val="both"/>
        <w:rPr>
          <w:color w:val="auto"/>
          <w:sz w:val="28"/>
          <w:szCs w:val="28"/>
          <w:lang w:eastAsia="ru-RU"/>
        </w:rPr>
      </w:pPr>
      <w:bookmarkStart w:id="333" w:name="_Toc108113637"/>
      <w:bookmarkStart w:id="334" w:name="_Toc108131595"/>
      <w:bookmarkStart w:id="335" w:name="_Toc108113638"/>
      <w:bookmarkStart w:id="336" w:name="_Toc108131596"/>
      <w:bookmarkEnd w:id="333"/>
      <w:bookmarkEnd w:id="334"/>
      <w:bookmarkEnd w:id="335"/>
      <w:bookmarkEnd w:id="336"/>
      <w:r w:rsidRPr="00014095">
        <w:rPr>
          <w:color w:val="auto"/>
          <w:sz w:val="28"/>
          <w:szCs w:val="28"/>
          <w:lang w:eastAsia="ru-RU"/>
        </w:rPr>
        <w:t xml:space="preserve"> </w:t>
      </w:r>
      <w:bookmarkStart w:id="337" w:name="_Toc120865344"/>
      <w:r w:rsidR="000F0150" w:rsidRPr="00014095">
        <w:rPr>
          <w:color w:val="auto"/>
          <w:sz w:val="28"/>
          <w:szCs w:val="28"/>
          <w:lang w:eastAsia="ru-RU"/>
        </w:rPr>
        <w:t>Список литературы</w:t>
      </w:r>
      <w:bookmarkEnd w:id="337"/>
    </w:p>
    <w:p w14:paraId="11A96D7C" w14:textId="77777777" w:rsidR="00CC556B" w:rsidRPr="00CC556B" w:rsidRDefault="00CC556B" w:rsidP="007B46F5">
      <w:pPr>
        <w:pStyle w:val="Heading2"/>
        <w:numPr>
          <w:ilvl w:val="0"/>
          <w:numId w:val="0"/>
        </w:numPr>
      </w:pPr>
    </w:p>
    <w:p w14:paraId="6F091E86" w14:textId="77777777" w:rsidR="005C3D92" w:rsidRPr="009E6200" w:rsidRDefault="00527166" w:rsidP="007B46F5">
      <w:pPr>
        <w:pStyle w:val="Bibliography"/>
        <w:jc w:val="both"/>
        <w:rPr>
          <w:rFonts w:cs="Times New Roman"/>
          <w:lang w:val="en-US"/>
        </w:rPr>
      </w:pPr>
      <w:r w:rsidRPr="009E6200">
        <w:fldChar w:fldCharType="begin"/>
      </w:r>
      <w:r w:rsidR="005C3D92" w:rsidRPr="009E6200">
        <w:rPr>
          <w:lang w:val="en-US"/>
        </w:rPr>
        <w:instrText xml:space="preserve"> ADDIN ZOTERO_BIBL {"uncited":[],"omitted":[],"custom":[]} CSL_BIBLIOGRAPHY </w:instrText>
      </w:r>
      <w:r w:rsidRPr="009E6200">
        <w:fldChar w:fldCharType="separate"/>
      </w:r>
      <w:r w:rsidR="005C3D92" w:rsidRPr="009E6200">
        <w:rPr>
          <w:rFonts w:cs="Times New Roman"/>
          <w:lang w:val="en-US"/>
        </w:rPr>
        <w:t>1.</w:t>
      </w:r>
      <w:r w:rsidR="005C3D92" w:rsidRPr="009E6200">
        <w:rPr>
          <w:rFonts w:cs="Times New Roman"/>
          <w:lang w:val="en-US"/>
        </w:rPr>
        <w:tab/>
        <w:t>Frapaise F.-X. The End of Phase 3 Clinical Trials in Biosimilars Development? // BioDrugs Clin. Immunother. Biopharm. Gene Ther. 2018. Vol. 32, № 4. P. 319–324.</w:t>
      </w:r>
    </w:p>
    <w:p w14:paraId="4BE4ED3F" w14:textId="77777777" w:rsidR="005C3D92" w:rsidRPr="009E6200" w:rsidRDefault="005C3D92" w:rsidP="007B46F5">
      <w:pPr>
        <w:pStyle w:val="Bibliography"/>
        <w:jc w:val="both"/>
        <w:rPr>
          <w:rFonts w:cs="Times New Roman"/>
          <w:lang w:val="en-US"/>
        </w:rPr>
      </w:pPr>
      <w:r w:rsidRPr="009E6200">
        <w:rPr>
          <w:rFonts w:cs="Times New Roman"/>
          <w:lang w:val="en-US"/>
        </w:rPr>
        <w:t>2.</w:t>
      </w:r>
      <w:r w:rsidRPr="009E6200">
        <w:rPr>
          <w:rFonts w:cs="Times New Roman"/>
          <w:lang w:val="en-US"/>
        </w:rPr>
        <w:tab/>
        <w:t>Weiss R.E. et al. Bayesian methods for analysis of biosimilar phase III trials // Stat. Med. 2018. Vol. 37, № 20. P. 2938–2953.</w:t>
      </w:r>
    </w:p>
    <w:p w14:paraId="286E5963" w14:textId="77777777" w:rsidR="005C3D92" w:rsidRPr="009E6200" w:rsidRDefault="005C3D92" w:rsidP="007B46F5">
      <w:pPr>
        <w:pStyle w:val="Bibliography"/>
        <w:jc w:val="both"/>
        <w:rPr>
          <w:rFonts w:cs="Times New Roman"/>
          <w:lang w:val="en-US"/>
        </w:rPr>
      </w:pPr>
      <w:r w:rsidRPr="009E6200">
        <w:rPr>
          <w:rFonts w:cs="Times New Roman"/>
          <w:lang w:val="en-US"/>
        </w:rPr>
        <w:t>3.</w:t>
      </w:r>
      <w:r w:rsidRPr="009E6200">
        <w:rPr>
          <w:rFonts w:cs="Times New Roman"/>
          <w:lang w:val="en-US"/>
        </w:rPr>
        <w:tab/>
        <w:t>Thatcher N. et al. Efficacy and Safety of the Biosimilar ABP 215 Compared with Bevacizumab in Patients with Advanced Nonsquamous Non-small Cell Lung Cancer (MAPLE): A Randomized, Double-blind, Phase III Study // Clin. Cancer Res. Off. J. Am. Assoc. Cancer Res. 2019. Vol. 25, № 7. P. 2088–2095.</w:t>
      </w:r>
    </w:p>
    <w:p w14:paraId="2C67FA17" w14:textId="77777777" w:rsidR="005C3D92" w:rsidRPr="009E6200" w:rsidRDefault="005C3D92" w:rsidP="007B46F5">
      <w:pPr>
        <w:pStyle w:val="Bibliography"/>
        <w:jc w:val="both"/>
        <w:rPr>
          <w:rFonts w:cs="Times New Roman"/>
          <w:lang w:val="en-US"/>
        </w:rPr>
      </w:pPr>
      <w:r w:rsidRPr="009E6200">
        <w:rPr>
          <w:rFonts w:cs="Times New Roman"/>
          <w:lang w:val="en-US"/>
        </w:rPr>
        <w:t>4.</w:t>
      </w:r>
      <w:r w:rsidRPr="009E6200">
        <w:rPr>
          <w:rFonts w:cs="Times New Roman"/>
          <w:lang w:val="en-US"/>
        </w:rPr>
        <w:tab/>
        <w:t>Ferrara N., Gerber H.-P. The Role of Vascular Endothelial Growth Factor in Angiogenesis // Acta Haematol. 2001. Vol. 106, № 4. P. 148–156.</w:t>
      </w:r>
    </w:p>
    <w:p w14:paraId="2BF21701" w14:textId="77777777" w:rsidR="005C3D92" w:rsidRPr="009E6200" w:rsidRDefault="005C3D92" w:rsidP="007B46F5">
      <w:pPr>
        <w:pStyle w:val="Bibliography"/>
        <w:jc w:val="both"/>
        <w:rPr>
          <w:rFonts w:cs="Times New Roman"/>
          <w:lang w:val="en-US"/>
        </w:rPr>
      </w:pPr>
      <w:r w:rsidRPr="009E6200">
        <w:rPr>
          <w:rFonts w:cs="Times New Roman"/>
          <w:lang w:val="en-US"/>
        </w:rPr>
        <w:t>5.</w:t>
      </w:r>
      <w:r w:rsidRPr="009E6200">
        <w:rPr>
          <w:rFonts w:cs="Times New Roman"/>
          <w:lang w:val="en-US"/>
        </w:rPr>
        <w:tab/>
        <w:t>Folkman J. Endothelial cells and angiogenic growth factors in cancer growth and metastasis. Introduction // Cancer Metastasis Rev. 1990. Vol. 9, № 3. P. 171–174.</w:t>
      </w:r>
    </w:p>
    <w:p w14:paraId="01694241" w14:textId="77777777" w:rsidR="005C3D92" w:rsidRPr="009E6200" w:rsidRDefault="005C3D92" w:rsidP="007B46F5">
      <w:pPr>
        <w:pStyle w:val="Bibliography"/>
        <w:jc w:val="both"/>
        <w:rPr>
          <w:rFonts w:cs="Times New Roman"/>
          <w:lang w:val="en-US"/>
        </w:rPr>
      </w:pPr>
      <w:r w:rsidRPr="009E6200">
        <w:rPr>
          <w:rFonts w:cs="Times New Roman"/>
          <w:lang w:val="en-US"/>
        </w:rPr>
        <w:t>6.</w:t>
      </w:r>
      <w:r w:rsidRPr="009E6200">
        <w:rPr>
          <w:rFonts w:cs="Times New Roman"/>
          <w:lang w:val="en-US"/>
        </w:rPr>
        <w:tab/>
        <w:t>Brown L.F. et al. Expression of vascular permeability factor (vascular endothelial growth factor) by epidermal keratinocytes during wound healing // J. Exp. Med. 1992. Vol. 176, № 5. P. 1375–1379.</w:t>
      </w:r>
    </w:p>
    <w:p w14:paraId="3E1F76A1" w14:textId="77777777" w:rsidR="005C3D92" w:rsidRPr="009E6200" w:rsidRDefault="005C3D92" w:rsidP="007B46F5">
      <w:pPr>
        <w:pStyle w:val="Bibliography"/>
        <w:jc w:val="both"/>
        <w:rPr>
          <w:rFonts w:cs="Times New Roman"/>
          <w:lang w:val="en-US"/>
        </w:rPr>
      </w:pPr>
      <w:r w:rsidRPr="009E6200">
        <w:rPr>
          <w:rFonts w:cs="Times New Roman"/>
          <w:lang w:val="en-US"/>
        </w:rPr>
        <w:t>7.</w:t>
      </w:r>
      <w:r w:rsidRPr="009E6200">
        <w:rPr>
          <w:rFonts w:cs="Times New Roman"/>
          <w:lang w:val="en-US"/>
        </w:rPr>
        <w:tab/>
        <w:t>Dvorak H.F. et al. Vascular permeability factor/vascular endothelial growth factor, microvascular hyperpermeability, and angiogenesis // Am. J. Pathol. 1995. Vol. 146, № 5. P. 1029–1039.</w:t>
      </w:r>
    </w:p>
    <w:p w14:paraId="5816CF1C" w14:textId="77777777" w:rsidR="005C3D92" w:rsidRPr="009E6200" w:rsidRDefault="005C3D92" w:rsidP="007B46F5">
      <w:pPr>
        <w:pStyle w:val="Bibliography"/>
        <w:jc w:val="both"/>
        <w:rPr>
          <w:rFonts w:cs="Times New Roman"/>
          <w:lang w:val="en-US"/>
        </w:rPr>
      </w:pPr>
      <w:r w:rsidRPr="009E6200">
        <w:rPr>
          <w:rFonts w:cs="Times New Roman"/>
          <w:lang w:val="en-US"/>
        </w:rPr>
        <w:t>8.</w:t>
      </w:r>
      <w:r w:rsidRPr="009E6200">
        <w:rPr>
          <w:rFonts w:cs="Times New Roman"/>
          <w:lang w:val="en-US"/>
        </w:rPr>
        <w:tab/>
        <w:t>Ferrara N., Davis-Smyth T. The biology of vascular endothelial growth factor // Endocr. Rev. 1997. Vol. 18, № 1. P. 4–25.</w:t>
      </w:r>
    </w:p>
    <w:p w14:paraId="7E145B8E" w14:textId="77777777" w:rsidR="005C3D92" w:rsidRPr="009E6200" w:rsidRDefault="005C3D92" w:rsidP="007B46F5">
      <w:pPr>
        <w:pStyle w:val="Bibliography"/>
        <w:jc w:val="both"/>
        <w:rPr>
          <w:rFonts w:cs="Times New Roman"/>
          <w:lang w:val="en-US"/>
        </w:rPr>
      </w:pPr>
      <w:r w:rsidRPr="009E6200">
        <w:rPr>
          <w:rFonts w:cs="Times New Roman"/>
          <w:lang w:val="en-US"/>
        </w:rPr>
        <w:t>9.</w:t>
      </w:r>
      <w:r w:rsidRPr="009E6200">
        <w:rPr>
          <w:rFonts w:cs="Times New Roman"/>
          <w:lang w:val="en-US"/>
        </w:rPr>
        <w:tab/>
        <w:t>Uchida S. et al. In oesophageal squamous cell carcinoma vascular endothelial growth factor is associated with p53 mutation, advanced stage and poor prognosis // Br. J. Cancer. 1998. Vol. 77, № 10. P. 1704–1709.</w:t>
      </w:r>
    </w:p>
    <w:p w14:paraId="6E09567C" w14:textId="77777777" w:rsidR="005C3D92" w:rsidRPr="009E6200" w:rsidRDefault="005C3D92" w:rsidP="007B46F5">
      <w:pPr>
        <w:pStyle w:val="Bibliography"/>
        <w:jc w:val="both"/>
        <w:rPr>
          <w:rFonts w:cs="Times New Roman"/>
          <w:lang w:val="en-US"/>
        </w:rPr>
      </w:pPr>
      <w:r w:rsidRPr="009E6200">
        <w:rPr>
          <w:rFonts w:cs="Times New Roman"/>
          <w:lang w:val="en-US"/>
        </w:rPr>
        <w:t>10.</w:t>
      </w:r>
      <w:r w:rsidRPr="009E6200">
        <w:rPr>
          <w:rFonts w:cs="Times New Roman"/>
          <w:lang w:val="en-US"/>
        </w:rPr>
        <w:tab/>
        <w:t>Ichikura T. et al. Prognostic significance of the expression of vascular endothelial growth factor (VEGF) and VEGF-C in gastric carcinoma // J. Surg. Oncol. 2001. Vol. 78, № 2. P. 132–137.</w:t>
      </w:r>
    </w:p>
    <w:p w14:paraId="7747D5A5" w14:textId="77777777" w:rsidR="005C3D92" w:rsidRPr="009E6200" w:rsidRDefault="005C3D92" w:rsidP="007B46F5">
      <w:pPr>
        <w:pStyle w:val="Bibliography"/>
        <w:jc w:val="both"/>
        <w:rPr>
          <w:rFonts w:cs="Times New Roman"/>
          <w:lang w:val="en-US"/>
        </w:rPr>
      </w:pPr>
      <w:r w:rsidRPr="009E6200">
        <w:rPr>
          <w:rFonts w:cs="Times New Roman"/>
          <w:lang w:val="en-US"/>
        </w:rPr>
        <w:t>11.</w:t>
      </w:r>
      <w:r w:rsidRPr="009E6200">
        <w:rPr>
          <w:rFonts w:cs="Times New Roman"/>
          <w:lang w:val="en-US"/>
        </w:rPr>
        <w:tab/>
        <w:t>Karayiannakis A.J. et al. Circulating VEGF levels in the serum of gastric cancer patients: correlation with pathological variables, patient survival, and tumor surgery // Ann. Surg. 2002. Vol. 236, № 1. P. 37–42.</w:t>
      </w:r>
    </w:p>
    <w:p w14:paraId="19DC0BDC" w14:textId="77777777" w:rsidR="005C3D92" w:rsidRPr="009E6200" w:rsidRDefault="005C3D92" w:rsidP="007B46F5">
      <w:pPr>
        <w:pStyle w:val="Bibliography"/>
        <w:jc w:val="both"/>
        <w:rPr>
          <w:rFonts w:cs="Times New Roman"/>
          <w:lang w:val="en-US"/>
        </w:rPr>
      </w:pPr>
      <w:r w:rsidRPr="009E6200">
        <w:rPr>
          <w:rFonts w:cs="Times New Roman"/>
          <w:lang w:val="en-US"/>
        </w:rPr>
        <w:t>12.</w:t>
      </w:r>
      <w:r w:rsidRPr="009E6200">
        <w:rPr>
          <w:rFonts w:cs="Times New Roman"/>
          <w:lang w:val="en-US"/>
        </w:rPr>
        <w:tab/>
        <w:t>Kimura H. et al. Prognostic significance of expression of thymidine phosphorylase and vascular endothelial growth factor in human gastric carcinoma // J. Surg. Oncol. 2001. Vol. 76, № 1. P. 31–36.</w:t>
      </w:r>
    </w:p>
    <w:p w14:paraId="29BFC693" w14:textId="77777777" w:rsidR="005C3D92" w:rsidRPr="009E6200" w:rsidRDefault="005C3D92" w:rsidP="007B46F5">
      <w:pPr>
        <w:pStyle w:val="Bibliography"/>
        <w:jc w:val="both"/>
        <w:rPr>
          <w:rFonts w:cs="Times New Roman"/>
          <w:lang w:val="en-US"/>
        </w:rPr>
      </w:pPr>
      <w:r w:rsidRPr="009E6200">
        <w:rPr>
          <w:rFonts w:cs="Times New Roman"/>
          <w:lang w:val="en-US"/>
        </w:rPr>
        <w:t>13.</w:t>
      </w:r>
      <w:r w:rsidRPr="009E6200">
        <w:rPr>
          <w:rFonts w:cs="Times New Roman"/>
          <w:lang w:val="en-US"/>
        </w:rPr>
        <w:tab/>
        <w:t>Maeda K. et al. Prognostic value of vascular endothelial growth factor expression in gastric carcinoma // Cancer. 1996. Vol. 77, № 5. P. 858–863.</w:t>
      </w:r>
    </w:p>
    <w:p w14:paraId="3D31AC1A" w14:textId="77777777" w:rsidR="005C3D92" w:rsidRPr="009E6200" w:rsidRDefault="005C3D92" w:rsidP="007B46F5">
      <w:pPr>
        <w:pStyle w:val="Bibliography"/>
        <w:jc w:val="both"/>
        <w:rPr>
          <w:rFonts w:cs="Times New Roman"/>
        </w:rPr>
      </w:pPr>
      <w:r w:rsidRPr="009E6200">
        <w:rPr>
          <w:rFonts w:cs="Times New Roman"/>
          <w:lang w:val="en-US"/>
        </w:rPr>
        <w:t>14.</w:t>
      </w:r>
      <w:r w:rsidRPr="009E6200">
        <w:rPr>
          <w:rFonts w:cs="Times New Roman"/>
          <w:lang w:val="en-US"/>
        </w:rPr>
        <w:tab/>
        <w:t xml:space="preserve">Shimada H. et al. Clinical significance of serum vascular endothelial growth factor in esophageal squamous cell carcinoma // Cancer. </w:t>
      </w:r>
      <w:r w:rsidRPr="009E6200">
        <w:rPr>
          <w:rFonts w:cs="Times New Roman"/>
        </w:rPr>
        <w:t>2001. Vol. 92, № 3. P. 663–669.</w:t>
      </w:r>
    </w:p>
    <w:p w14:paraId="35A42BDA" w14:textId="77777777" w:rsidR="005C3D92" w:rsidRPr="009E6200" w:rsidRDefault="005C3D92" w:rsidP="007B46F5">
      <w:pPr>
        <w:pStyle w:val="Bibliography"/>
        <w:jc w:val="both"/>
        <w:rPr>
          <w:rFonts w:cs="Times New Roman"/>
        </w:rPr>
      </w:pPr>
      <w:r w:rsidRPr="009E6200">
        <w:rPr>
          <w:rFonts w:cs="Times New Roman"/>
        </w:rPr>
        <w:t>15.</w:t>
      </w:r>
      <w:r w:rsidRPr="009E6200">
        <w:rPr>
          <w:rFonts w:cs="Times New Roman"/>
        </w:rPr>
        <w:tab/>
        <w:t>Отчет о многоцентровом, открытом, рандомизированном исследовании фармакокинетической эквивалентности препаратов RPH-001 и Авастин</w:t>
      </w:r>
      <w:r w:rsidR="00121FA5" w:rsidRPr="009E6200">
        <w:rPr>
          <w:rFonts w:cs="Times New Roman"/>
          <w:vertAlign w:val="superscript"/>
        </w:rPr>
        <w:t>®</w:t>
      </w:r>
      <w:r w:rsidRPr="009E6200">
        <w:rPr>
          <w:rFonts w:cs="Times New Roman"/>
        </w:rPr>
        <w:t>, а также фармакодинамики, эффективности и безопасности препарата RPH-001 у пациентов с метастатическим раком прямой и ободоч. Москва, 2015.</w:t>
      </w:r>
    </w:p>
    <w:p w14:paraId="76330BD4" w14:textId="77777777" w:rsidR="005C3D92" w:rsidRPr="009E6200" w:rsidRDefault="005C3D92" w:rsidP="007B46F5">
      <w:pPr>
        <w:pStyle w:val="Bibliography"/>
        <w:jc w:val="both"/>
        <w:rPr>
          <w:rFonts w:cs="Times New Roman"/>
        </w:rPr>
      </w:pPr>
      <w:r w:rsidRPr="009E6200">
        <w:rPr>
          <w:rFonts w:cs="Times New Roman"/>
        </w:rPr>
        <w:t>16.</w:t>
      </w:r>
      <w:r w:rsidRPr="009E6200">
        <w:rPr>
          <w:rFonts w:cs="Times New Roman"/>
        </w:rPr>
        <w:tab/>
        <w:t>Национальные рекомендации. Хроническая болезнь почек: основные принципы скрининга, диагностики, профилактики и подходы к лечению. Под редакцией Рабочей группы членов Правления Научного общества нефрологов России. Руководитель группы А.В. Смирнов. Левша. Санкт-Петербург, 2012. 51 p.</w:t>
      </w:r>
    </w:p>
    <w:p w14:paraId="1F59C8B7" w14:textId="77777777" w:rsidR="00F03719" w:rsidRPr="00F46B68" w:rsidRDefault="00527166" w:rsidP="007B46F5">
      <w:pPr>
        <w:jc w:val="both"/>
      </w:pPr>
      <w:r w:rsidRPr="009E6200">
        <w:fldChar w:fldCharType="end"/>
      </w:r>
    </w:p>
    <w:sectPr w:rsidR="00F03719" w:rsidRPr="00F46B68" w:rsidSect="0001409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0EEF4" w14:textId="77777777" w:rsidR="00E767EF" w:rsidRDefault="00E767EF" w:rsidP="0082226D">
      <w:r>
        <w:separator/>
      </w:r>
    </w:p>
  </w:endnote>
  <w:endnote w:type="continuationSeparator" w:id="0">
    <w:p w14:paraId="5B219805" w14:textId="77777777" w:rsidR="00E767EF" w:rsidRDefault="00E767EF" w:rsidP="0082226D">
      <w:r>
        <w:continuationSeparator/>
      </w:r>
    </w:p>
  </w:endnote>
  <w:endnote w:type="continuationNotice" w:id="1">
    <w:p w14:paraId="3A1C60E6" w14:textId="77777777" w:rsidR="00E767EF" w:rsidRDefault="00E767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43"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60581" w14:textId="77777777" w:rsidR="00AC6CAC" w:rsidRDefault="00AC6C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3691B" w14:textId="77777777" w:rsidR="00AC6CAC" w:rsidRPr="007B46F5" w:rsidRDefault="00AC6CAC">
    <w:pPr>
      <w:rPr>
        <w:sz w:val="20"/>
      </w:rPr>
    </w:pPr>
  </w:p>
  <w:tbl>
    <w:tblPr>
      <w:tblW w:w="5001" w:type="pct"/>
      <w:tblCellMar>
        <w:left w:w="0" w:type="dxa"/>
        <w:right w:w="0" w:type="dxa"/>
      </w:tblCellMar>
      <w:tblLook w:val="0020" w:firstRow="1" w:lastRow="0" w:firstColumn="0" w:lastColumn="0" w:noHBand="0" w:noVBand="0"/>
    </w:tblPr>
    <w:tblGrid>
      <w:gridCol w:w="2128"/>
      <w:gridCol w:w="4963"/>
      <w:gridCol w:w="2266"/>
    </w:tblGrid>
    <w:tr w:rsidR="00AC6CAC" w:rsidRPr="00EF4FB8" w14:paraId="212DF548" w14:textId="77777777" w:rsidTr="007B46F5">
      <w:trPr>
        <w:trHeight w:val="132"/>
      </w:trPr>
      <w:tc>
        <w:tcPr>
          <w:tcW w:w="1137" w:type="pct"/>
          <w:vAlign w:val="center"/>
        </w:tcPr>
        <w:p w14:paraId="2067A54D" w14:textId="116BA01B" w:rsidR="00AC6CAC" w:rsidRPr="00887681" w:rsidRDefault="00AC6CAC" w:rsidP="007B46F5">
          <w:pPr>
            <w:tabs>
              <w:tab w:val="center" w:pos="4677"/>
              <w:tab w:val="right" w:pos="9355"/>
            </w:tabs>
            <w:rPr>
              <w:rFonts w:eastAsia="Calibri" w:cs="Times New Roman"/>
              <w:szCs w:val="24"/>
            </w:rPr>
          </w:pPr>
          <w:r w:rsidRPr="00887681">
            <w:rPr>
              <w:rFonts w:eastAsia="Calibri" w:cs="Times New Roman"/>
              <w:szCs w:val="24"/>
            </w:rPr>
            <w:t>Конфиденциально</w:t>
          </w:r>
        </w:p>
      </w:tc>
      <w:tc>
        <w:tcPr>
          <w:tcW w:w="2652" w:type="pct"/>
          <w:vAlign w:val="center"/>
        </w:tcPr>
        <w:p w14:paraId="5ACDB9A1" w14:textId="5D37ED1A" w:rsidR="00AC6CAC" w:rsidRPr="001B57C8" w:rsidRDefault="00AC6CAC" w:rsidP="007B46F5">
          <w:pPr>
            <w:tabs>
              <w:tab w:val="center" w:pos="4677"/>
              <w:tab w:val="right" w:pos="9355"/>
            </w:tabs>
            <w:jc w:val="center"/>
            <w:rPr>
              <w:rFonts w:eastAsia="Times New Roman"/>
              <w:noProof/>
              <w:sz w:val="20"/>
              <w:szCs w:val="20"/>
            </w:rPr>
          </w:pPr>
          <w:r w:rsidRPr="00FA1F69">
            <w:rPr>
              <w:rFonts w:eastAsia="Times New Roman"/>
              <w:noProof/>
              <w:szCs w:val="24"/>
            </w:rPr>
            <w:t xml:space="preserve">Версия </w:t>
          </w:r>
          <w:r>
            <w:rPr>
              <w:rFonts w:eastAsia="Times New Roman"/>
              <w:noProof/>
              <w:szCs w:val="24"/>
            </w:rPr>
            <w:t>4</w:t>
          </w:r>
          <w:r w:rsidRPr="008C68D8">
            <w:rPr>
              <w:rFonts w:eastAsia="Times New Roman"/>
              <w:noProof/>
              <w:szCs w:val="24"/>
            </w:rPr>
            <w:t xml:space="preserve">.0 от </w:t>
          </w:r>
          <w:r>
            <w:rPr>
              <w:rFonts w:eastAsia="Times New Roman"/>
              <w:noProof/>
              <w:szCs w:val="24"/>
            </w:rPr>
            <w:t>01-дек-2022</w:t>
          </w:r>
        </w:p>
      </w:tc>
      <w:tc>
        <w:tcPr>
          <w:tcW w:w="1211" w:type="pct"/>
          <w:vAlign w:val="center"/>
        </w:tcPr>
        <w:p w14:paraId="433D4933" w14:textId="3FED392C" w:rsidR="00AC6CAC" w:rsidRPr="008C68D8" w:rsidRDefault="00AC6CAC" w:rsidP="007B46F5">
          <w:pPr>
            <w:tabs>
              <w:tab w:val="center" w:pos="4677"/>
              <w:tab w:val="right" w:pos="9355"/>
            </w:tabs>
            <w:jc w:val="right"/>
            <w:rPr>
              <w:rFonts w:eastAsia="Times New Roman"/>
              <w:noProof/>
              <w:szCs w:val="24"/>
            </w:rPr>
          </w:pPr>
          <w:r w:rsidRPr="008C68D8">
            <w:rPr>
              <w:rFonts w:eastAsia="Times New Roman"/>
              <w:noProof/>
              <w:szCs w:val="24"/>
            </w:rPr>
            <w:t>Стр</w:t>
          </w:r>
          <w:r>
            <w:rPr>
              <w:rFonts w:eastAsia="Times New Roman"/>
              <w:noProof/>
              <w:szCs w:val="24"/>
            </w:rPr>
            <w:t>аница</w:t>
          </w:r>
          <w:r w:rsidRPr="008C68D8">
            <w:rPr>
              <w:rFonts w:eastAsia="Times New Roman"/>
              <w:noProof/>
              <w:szCs w:val="24"/>
            </w:rPr>
            <w:t xml:space="preserve"> </w:t>
          </w:r>
          <w:r w:rsidRPr="008C68D8">
            <w:rPr>
              <w:rFonts w:eastAsia="Times New Roman"/>
              <w:noProof/>
              <w:szCs w:val="24"/>
            </w:rPr>
            <w:fldChar w:fldCharType="begin"/>
          </w:r>
          <w:r w:rsidRPr="008C68D8">
            <w:rPr>
              <w:rFonts w:eastAsia="Times New Roman"/>
              <w:noProof/>
              <w:szCs w:val="24"/>
            </w:rPr>
            <w:instrText xml:space="preserve"> PAGE </w:instrText>
          </w:r>
          <w:r w:rsidRPr="008C68D8">
            <w:rPr>
              <w:rFonts w:eastAsia="Times New Roman"/>
              <w:noProof/>
              <w:szCs w:val="24"/>
            </w:rPr>
            <w:fldChar w:fldCharType="separate"/>
          </w:r>
          <w:r w:rsidR="0005126A">
            <w:rPr>
              <w:rFonts w:eastAsia="Times New Roman"/>
              <w:noProof/>
              <w:szCs w:val="24"/>
            </w:rPr>
            <w:t>39</w:t>
          </w:r>
          <w:r w:rsidRPr="008C68D8">
            <w:rPr>
              <w:rFonts w:eastAsia="Times New Roman"/>
              <w:noProof/>
              <w:szCs w:val="24"/>
            </w:rPr>
            <w:fldChar w:fldCharType="end"/>
          </w:r>
          <w:r w:rsidRPr="008C68D8">
            <w:rPr>
              <w:rFonts w:eastAsia="Times New Roman"/>
              <w:noProof/>
              <w:szCs w:val="24"/>
            </w:rPr>
            <w:t xml:space="preserve"> из </w:t>
          </w:r>
          <w:r w:rsidRPr="008C68D8">
            <w:rPr>
              <w:rFonts w:eastAsia="Times New Roman"/>
              <w:noProof/>
              <w:szCs w:val="24"/>
            </w:rPr>
            <w:fldChar w:fldCharType="begin"/>
          </w:r>
          <w:r w:rsidRPr="008C68D8">
            <w:rPr>
              <w:rFonts w:eastAsia="Times New Roman"/>
              <w:noProof/>
              <w:szCs w:val="24"/>
            </w:rPr>
            <w:instrText xml:space="preserve"> NUMPAGES </w:instrText>
          </w:r>
          <w:r w:rsidRPr="008C68D8">
            <w:rPr>
              <w:rFonts w:eastAsia="Times New Roman"/>
              <w:noProof/>
              <w:szCs w:val="24"/>
            </w:rPr>
            <w:fldChar w:fldCharType="separate"/>
          </w:r>
          <w:r w:rsidR="0005126A">
            <w:rPr>
              <w:rFonts w:eastAsia="Times New Roman"/>
              <w:noProof/>
              <w:szCs w:val="24"/>
            </w:rPr>
            <w:t>162</w:t>
          </w:r>
          <w:r w:rsidRPr="008C68D8">
            <w:rPr>
              <w:rFonts w:eastAsia="Times New Roman"/>
              <w:noProof/>
              <w:szCs w:val="24"/>
            </w:rPr>
            <w:fldChar w:fldCharType="end"/>
          </w:r>
        </w:p>
      </w:tc>
    </w:tr>
  </w:tbl>
  <w:p w14:paraId="312F76A6" w14:textId="0723B1ED" w:rsidR="00AC6CAC" w:rsidRPr="007B46F5" w:rsidRDefault="00AC6CAC" w:rsidP="007B46F5">
    <w:pPr>
      <w:tabs>
        <w:tab w:val="center" w:pos="4677"/>
        <w:tab w:val="right" w:pos="9355"/>
      </w:tabs>
      <w:rPr>
        <w:rFonts w:eastAsia="Calibri" w:cs="Times New Roman"/>
        <w:b/>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E11E0" w14:textId="77777777" w:rsidR="00AC6CAC" w:rsidRDefault="00AC6CA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B9487" w14:textId="77777777" w:rsidR="00AC6CAC" w:rsidRPr="007B46F5" w:rsidRDefault="00AC6CAC">
    <w:pPr>
      <w:rPr>
        <w:sz w:val="20"/>
      </w:rPr>
    </w:pPr>
  </w:p>
  <w:tbl>
    <w:tblPr>
      <w:tblW w:w="5001" w:type="pct"/>
      <w:tblCellMar>
        <w:left w:w="0" w:type="dxa"/>
        <w:right w:w="0" w:type="dxa"/>
      </w:tblCellMar>
      <w:tblLook w:val="0020" w:firstRow="1" w:lastRow="0" w:firstColumn="0" w:lastColumn="0" w:noHBand="0" w:noVBand="0"/>
    </w:tblPr>
    <w:tblGrid>
      <w:gridCol w:w="2128"/>
      <w:gridCol w:w="4963"/>
      <w:gridCol w:w="2266"/>
    </w:tblGrid>
    <w:tr w:rsidR="00AC6CAC" w:rsidRPr="00EF4FB8" w14:paraId="21CC9DBE" w14:textId="77777777" w:rsidTr="007B46F5">
      <w:trPr>
        <w:trHeight w:val="132"/>
      </w:trPr>
      <w:tc>
        <w:tcPr>
          <w:tcW w:w="1137" w:type="pct"/>
          <w:vAlign w:val="center"/>
        </w:tcPr>
        <w:p w14:paraId="466DF4E8" w14:textId="77777777" w:rsidR="00AC6CAC" w:rsidRPr="00887681" w:rsidRDefault="00AC6CAC" w:rsidP="007B46F5">
          <w:pPr>
            <w:tabs>
              <w:tab w:val="center" w:pos="4677"/>
              <w:tab w:val="right" w:pos="9355"/>
            </w:tabs>
            <w:rPr>
              <w:rFonts w:eastAsia="Calibri" w:cs="Times New Roman"/>
              <w:szCs w:val="24"/>
            </w:rPr>
          </w:pPr>
          <w:r w:rsidRPr="00887681">
            <w:rPr>
              <w:rFonts w:eastAsia="Calibri" w:cs="Times New Roman"/>
              <w:szCs w:val="24"/>
            </w:rPr>
            <w:t>Конфиденциально</w:t>
          </w:r>
        </w:p>
      </w:tc>
      <w:tc>
        <w:tcPr>
          <w:tcW w:w="2652" w:type="pct"/>
          <w:vAlign w:val="center"/>
        </w:tcPr>
        <w:p w14:paraId="0359377C" w14:textId="77777777" w:rsidR="00AC6CAC" w:rsidRPr="001B57C8" w:rsidRDefault="00AC6CAC" w:rsidP="007B46F5">
          <w:pPr>
            <w:tabs>
              <w:tab w:val="center" w:pos="4677"/>
              <w:tab w:val="right" w:pos="9355"/>
            </w:tabs>
            <w:jc w:val="center"/>
            <w:rPr>
              <w:rFonts w:eastAsia="Times New Roman"/>
              <w:noProof/>
              <w:sz w:val="20"/>
              <w:szCs w:val="20"/>
            </w:rPr>
          </w:pPr>
          <w:r w:rsidRPr="00FA1F69">
            <w:rPr>
              <w:rFonts w:eastAsia="Times New Roman"/>
              <w:noProof/>
              <w:szCs w:val="24"/>
            </w:rPr>
            <w:t xml:space="preserve">Версия </w:t>
          </w:r>
          <w:r>
            <w:rPr>
              <w:rFonts w:eastAsia="Times New Roman"/>
              <w:noProof/>
              <w:szCs w:val="24"/>
            </w:rPr>
            <w:t>4</w:t>
          </w:r>
          <w:r w:rsidRPr="008C68D8">
            <w:rPr>
              <w:rFonts w:eastAsia="Times New Roman"/>
              <w:noProof/>
              <w:szCs w:val="24"/>
            </w:rPr>
            <w:t xml:space="preserve">.0 от </w:t>
          </w:r>
          <w:r>
            <w:rPr>
              <w:rFonts w:eastAsia="Times New Roman"/>
              <w:noProof/>
              <w:szCs w:val="24"/>
            </w:rPr>
            <w:t>01-дек-2022</w:t>
          </w:r>
        </w:p>
      </w:tc>
      <w:tc>
        <w:tcPr>
          <w:tcW w:w="1211" w:type="pct"/>
          <w:vAlign w:val="center"/>
        </w:tcPr>
        <w:p w14:paraId="10B2434D" w14:textId="68449E07" w:rsidR="00AC6CAC" w:rsidRPr="008C68D8" w:rsidRDefault="00AC6CAC" w:rsidP="007B46F5">
          <w:pPr>
            <w:tabs>
              <w:tab w:val="center" w:pos="4677"/>
              <w:tab w:val="right" w:pos="9355"/>
            </w:tabs>
            <w:jc w:val="right"/>
            <w:rPr>
              <w:rFonts w:eastAsia="Times New Roman"/>
              <w:noProof/>
              <w:szCs w:val="24"/>
            </w:rPr>
          </w:pPr>
          <w:r w:rsidRPr="008C68D8">
            <w:rPr>
              <w:rFonts w:eastAsia="Times New Roman"/>
              <w:noProof/>
              <w:szCs w:val="24"/>
            </w:rPr>
            <w:t>Стр</w:t>
          </w:r>
          <w:r>
            <w:rPr>
              <w:rFonts w:eastAsia="Times New Roman"/>
              <w:noProof/>
              <w:szCs w:val="24"/>
            </w:rPr>
            <w:t>аница</w:t>
          </w:r>
          <w:r w:rsidRPr="008C68D8">
            <w:rPr>
              <w:rFonts w:eastAsia="Times New Roman"/>
              <w:noProof/>
              <w:szCs w:val="24"/>
            </w:rPr>
            <w:t xml:space="preserve"> </w:t>
          </w:r>
          <w:r w:rsidRPr="008C68D8">
            <w:rPr>
              <w:rFonts w:eastAsia="Times New Roman"/>
              <w:noProof/>
              <w:szCs w:val="24"/>
            </w:rPr>
            <w:fldChar w:fldCharType="begin"/>
          </w:r>
          <w:r w:rsidRPr="008C68D8">
            <w:rPr>
              <w:rFonts w:eastAsia="Times New Roman"/>
              <w:noProof/>
              <w:szCs w:val="24"/>
            </w:rPr>
            <w:instrText xml:space="preserve"> PAGE </w:instrText>
          </w:r>
          <w:r w:rsidRPr="008C68D8">
            <w:rPr>
              <w:rFonts w:eastAsia="Times New Roman"/>
              <w:noProof/>
              <w:szCs w:val="24"/>
            </w:rPr>
            <w:fldChar w:fldCharType="separate"/>
          </w:r>
          <w:r w:rsidR="0005126A">
            <w:rPr>
              <w:rFonts w:eastAsia="Times New Roman"/>
              <w:noProof/>
              <w:szCs w:val="24"/>
            </w:rPr>
            <w:t>90</w:t>
          </w:r>
          <w:r w:rsidRPr="008C68D8">
            <w:rPr>
              <w:rFonts w:eastAsia="Times New Roman"/>
              <w:noProof/>
              <w:szCs w:val="24"/>
            </w:rPr>
            <w:fldChar w:fldCharType="end"/>
          </w:r>
          <w:r w:rsidRPr="008C68D8">
            <w:rPr>
              <w:rFonts w:eastAsia="Times New Roman"/>
              <w:noProof/>
              <w:szCs w:val="24"/>
            </w:rPr>
            <w:t xml:space="preserve"> из </w:t>
          </w:r>
          <w:r w:rsidRPr="008C68D8">
            <w:rPr>
              <w:rFonts w:eastAsia="Times New Roman"/>
              <w:noProof/>
              <w:szCs w:val="24"/>
            </w:rPr>
            <w:fldChar w:fldCharType="begin"/>
          </w:r>
          <w:r w:rsidRPr="008C68D8">
            <w:rPr>
              <w:rFonts w:eastAsia="Times New Roman"/>
              <w:noProof/>
              <w:szCs w:val="24"/>
            </w:rPr>
            <w:instrText xml:space="preserve"> NUMPAGES </w:instrText>
          </w:r>
          <w:r w:rsidRPr="008C68D8">
            <w:rPr>
              <w:rFonts w:eastAsia="Times New Roman"/>
              <w:noProof/>
              <w:szCs w:val="24"/>
            </w:rPr>
            <w:fldChar w:fldCharType="separate"/>
          </w:r>
          <w:r w:rsidR="0005126A">
            <w:rPr>
              <w:rFonts w:eastAsia="Times New Roman"/>
              <w:noProof/>
              <w:szCs w:val="24"/>
            </w:rPr>
            <w:t>162</w:t>
          </w:r>
          <w:r w:rsidRPr="008C68D8">
            <w:rPr>
              <w:rFonts w:eastAsia="Times New Roman"/>
              <w:noProof/>
              <w:szCs w:val="24"/>
            </w:rPr>
            <w:fldChar w:fldCharType="end"/>
          </w:r>
        </w:p>
      </w:tc>
    </w:tr>
  </w:tbl>
  <w:p w14:paraId="41CC416A" w14:textId="77777777" w:rsidR="00AC6CAC" w:rsidRPr="007B46F5" w:rsidRDefault="00AC6CAC" w:rsidP="007B46F5">
    <w:pPr>
      <w:tabs>
        <w:tab w:val="center" w:pos="4677"/>
        <w:tab w:val="right" w:pos="9355"/>
      </w:tabs>
      <w:rPr>
        <w:rFonts w:eastAsia="Calibri" w:cs="Times New Roman"/>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24688" w14:textId="77777777" w:rsidR="00E767EF" w:rsidRDefault="00E767EF" w:rsidP="00066F7B">
      <w:r>
        <w:separator/>
      </w:r>
    </w:p>
  </w:footnote>
  <w:footnote w:type="continuationSeparator" w:id="0">
    <w:p w14:paraId="787E8D85" w14:textId="77777777" w:rsidR="00E767EF" w:rsidRDefault="00E767EF" w:rsidP="00031769">
      <w:r>
        <w:continuationSeparator/>
      </w:r>
    </w:p>
  </w:footnote>
  <w:footnote w:type="continuationNotice" w:id="1">
    <w:p w14:paraId="16795286" w14:textId="77777777" w:rsidR="00E767EF" w:rsidRDefault="00E767EF"/>
  </w:footnote>
  <w:footnote w:id="2">
    <w:p w14:paraId="30009799" w14:textId="4E693A11" w:rsidR="00AC6CAC" w:rsidRDefault="00AC6CAC" w:rsidP="004E410C">
      <w:pPr>
        <w:pStyle w:val="FootnoteText"/>
        <w:jc w:val="both"/>
      </w:pPr>
      <w:r>
        <w:rPr>
          <w:rStyle w:val="FootnoteReference"/>
        </w:rPr>
        <w:footnoteRef/>
      </w:r>
      <w:r>
        <w:t xml:space="preserve"> Частота объективного ответа будет </w:t>
      </w:r>
      <w:r w:rsidRPr="009E6200">
        <w:rPr>
          <w:lang w:eastAsia="ru-RU" w:bidi="ru-RU"/>
        </w:rPr>
        <w:t>выражен</w:t>
      </w:r>
      <w:r>
        <w:rPr>
          <w:lang w:eastAsia="ru-RU" w:bidi="ru-RU"/>
        </w:rPr>
        <w:t xml:space="preserve">а </w:t>
      </w:r>
      <w:r w:rsidRPr="009E6200">
        <w:rPr>
          <w:lang w:eastAsia="ru-RU" w:bidi="ru-RU"/>
        </w:rPr>
        <w:t>в виде разницы рисков (частота объективного ответа в группе исследуемого препарата минус  частота объективного ответа в группе препарата сравнения)</w:t>
      </w:r>
      <w:r>
        <w:rPr>
          <w:lang w:eastAsia="ru-RU" w:bidi="ru-RU"/>
        </w:rPr>
        <w:t>.</w:t>
      </w:r>
    </w:p>
  </w:footnote>
  <w:footnote w:id="3">
    <w:p w14:paraId="5C49C571" w14:textId="77777777" w:rsidR="00AC6CAC" w:rsidRPr="00097BDC" w:rsidRDefault="00AC6CAC" w:rsidP="005C6E88">
      <w:pPr>
        <w:pStyle w:val="FootnoteText"/>
        <w:rPr>
          <w:sz w:val="12"/>
          <w:szCs w:val="12"/>
        </w:rPr>
      </w:pPr>
      <w:r w:rsidRPr="0085192F">
        <w:rPr>
          <w:rStyle w:val="FootnoteReference"/>
        </w:rPr>
        <w:footnoteRef/>
      </w:r>
      <w:r w:rsidRPr="00097BDC">
        <w:rPr>
          <w:sz w:val="12"/>
          <w:szCs w:val="12"/>
        </w:rPr>
        <w:t xml:space="preserve"> Обследование пациента в рамках </w:t>
      </w:r>
      <w:r>
        <w:rPr>
          <w:sz w:val="12"/>
          <w:szCs w:val="12"/>
        </w:rPr>
        <w:t>периода последующего наблюдения и терапии</w:t>
      </w:r>
      <w:r w:rsidRPr="00097BDC">
        <w:rPr>
          <w:sz w:val="12"/>
          <w:szCs w:val="12"/>
        </w:rPr>
        <w:t xml:space="preserve"> дополнительно к </w:t>
      </w:r>
      <w:r>
        <w:rPr>
          <w:sz w:val="12"/>
          <w:szCs w:val="12"/>
        </w:rPr>
        <w:t>указанным в таблице обследованиям</w:t>
      </w:r>
      <w:r w:rsidRPr="00097BDC">
        <w:rPr>
          <w:sz w:val="12"/>
          <w:szCs w:val="12"/>
        </w:rPr>
        <w:t xml:space="preserve"> будет производиться в соответствии со стандартами рутинной практики в исследовательском центр</w:t>
      </w:r>
      <w:r>
        <w:rPr>
          <w:sz w:val="12"/>
          <w:szCs w:val="12"/>
        </w:rPr>
        <w:t>е</w:t>
      </w:r>
    </w:p>
  </w:footnote>
  <w:footnote w:id="4">
    <w:p w14:paraId="15287731" w14:textId="77777777" w:rsidR="00AC6CAC" w:rsidRPr="00097BDC" w:rsidRDefault="00AC6CAC" w:rsidP="005C6E88">
      <w:pPr>
        <w:pStyle w:val="FootnoteText"/>
        <w:rPr>
          <w:sz w:val="12"/>
          <w:szCs w:val="12"/>
        </w:rPr>
      </w:pPr>
      <w:r w:rsidRPr="0085192F">
        <w:rPr>
          <w:rStyle w:val="FootnoteReference"/>
        </w:rPr>
        <w:footnoteRef/>
      </w:r>
      <w:r w:rsidRPr="00097BDC">
        <w:rPr>
          <w:sz w:val="12"/>
          <w:szCs w:val="12"/>
        </w:rPr>
        <w:t xml:space="preserve"> По назначению исследователя при необходимости могут быть выполнены любые предусмотренные протоколом исследования дополнительные процедуры или процедуры согласно рутинной практике учреждения</w:t>
      </w:r>
    </w:p>
  </w:footnote>
  <w:footnote w:id="5">
    <w:p w14:paraId="4C713EEF" w14:textId="77777777" w:rsidR="00AC6CAC" w:rsidRPr="004956BC" w:rsidRDefault="00AC6CAC" w:rsidP="005C6E88">
      <w:pPr>
        <w:pStyle w:val="FootnoteText"/>
        <w:rPr>
          <w:sz w:val="12"/>
          <w:szCs w:val="12"/>
        </w:rPr>
      </w:pPr>
      <w:r w:rsidRPr="00695820">
        <w:rPr>
          <w:rStyle w:val="FootnoteReference"/>
        </w:rPr>
        <w:footnoteRef/>
      </w:r>
      <w:r>
        <w:rPr>
          <w:sz w:val="12"/>
          <w:szCs w:val="12"/>
        </w:rPr>
        <w:t xml:space="preserve"> Визит преждевременного завершения исследования проводится в срок до 21 дня от момента принятия решения о завершении исследования пациентом;</w:t>
      </w:r>
    </w:p>
  </w:footnote>
  <w:footnote w:id="6">
    <w:p w14:paraId="2F883024" w14:textId="77777777" w:rsidR="00AC6CAC" w:rsidRPr="004956BC" w:rsidRDefault="00AC6CAC" w:rsidP="005C6E88">
      <w:pPr>
        <w:pStyle w:val="FootnoteText"/>
        <w:ind w:left="142" w:hanging="142"/>
        <w:rPr>
          <w:sz w:val="12"/>
          <w:szCs w:val="12"/>
        </w:rPr>
      </w:pPr>
      <w:r w:rsidRPr="0085192F">
        <w:rPr>
          <w:rStyle w:val="FootnoteReference"/>
        </w:rPr>
        <w:footnoteRef/>
      </w:r>
      <w:r w:rsidRPr="004956BC">
        <w:rPr>
          <w:sz w:val="12"/>
          <w:szCs w:val="12"/>
        </w:rPr>
        <w:t xml:space="preserve"> Масса тела, рост</w:t>
      </w:r>
    </w:p>
  </w:footnote>
  <w:footnote w:id="7">
    <w:p w14:paraId="16AB9C56" w14:textId="77777777" w:rsidR="00AC6CAC" w:rsidRPr="004956BC" w:rsidRDefault="00AC6CAC" w:rsidP="005C6E88">
      <w:pPr>
        <w:pStyle w:val="FootnoteText"/>
        <w:ind w:left="142" w:hanging="142"/>
        <w:rPr>
          <w:sz w:val="12"/>
          <w:szCs w:val="12"/>
        </w:rPr>
      </w:pPr>
      <w:r w:rsidRPr="0085192F">
        <w:rPr>
          <w:rStyle w:val="FootnoteReference"/>
        </w:rPr>
        <w:footnoteRef/>
      </w:r>
      <w:r w:rsidRPr="004956BC">
        <w:rPr>
          <w:sz w:val="12"/>
          <w:szCs w:val="12"/>
        </w:rPr>
        <w:t xml:space="preserve"> Определяемые показатели: </w:t>
      </w:r>
      <w:r w:rsidRPr="004956BC">
        <w:rPr>
          <w:rFonts w:cs="Times New Roman"/>
          <w:sz w:val="12"/>
          <w:szCs w:val="12"/>
          <w:lang w:eastAsia="ru-RU"/>
        </w:rPr>
        <w:t>АЧТВ, ПВ, фибриноген, МНО</w:t>
      </w:r>
    </w:p>
  </w:footnote>
  <w:footnote w:id="8">
    <w:p w14:paraId="50995F1D" w14:textId="77777777" w:rsidR="00AC6CAC" w:rsidRPr="004956BC" w:rsidRDefault="00AC6CAC" w:rsidP="005C6E88">
      <w:pPr>
        <w:pStyle w:val="FootnoteText"/>
        <w:ind w:left="142" w:hanging="142"/>
        <w:rPr>
          <w:sz w:val="12"/>
          <w:szCs w:val="12"/>
        </w:rPr>
      </w:pPr>
      <w:r w:rsidRPr="0085192F">
        <w:rPr>
          <w:rStyle w:val="FootnoteReference"/>
        </w:rPr>
        <w:footnoteRef/>
      </w:r>
      <w:r w:rsidRPr="004956BC">
        <w:rPr>
          <w:sz w:val="12"/>
          <w:szCs w:val="12"/>
        </w:rPr>
        <w:t xml:space="preserve"> Определяемые показатели: HBs-Ag, анти-HCV, анти-ВИЧ, анализ на сифилис. Возможен учет результатов исследований, выполненных в течение 60 дней до визита скрининга</w:t>
      </w:r>
    </w:p>
  </w:footnote>
  <w:footnote w:id="9">
    <w:p w14:paraId="26E2CD81" w14:textId="77777777" w:rsidR="00AC6CAC" w:rsidRPr="004956BC" w:rsidRDefault="00AC6CAC" w:rsidP="005C6E88">
      <w:pPr>
        <w:pStyle w:val="FootnoteText"/>
        <w:ind w:left="142" w:hanging="142"/>
        <w:rPr>
          <w:sz w:val="12"/>
          <w:szCs w:val="12"/>
        </w:rPr>
      </w:pPr>
      <w:r w:rsidRPr="0085192F">
        <w:rPr>
          <w:rStyle w:val="FootnoteReference"/>
        </w:rPr>
        <w:footnoteRef/>
      </w:r>
      <w:r w:rsidRPr="004956BC">
        <w:rPr>
          <w:sz w:val="12"/>
          <w:szCs w:val="12"/>
        </w:rPr>
        <w:t xml:space="preserve"> </w:t>
      </w:r>
      <w:r w:rsidRPr="00404410">
        <w:rPr>
          <w:sz w:val="12"/>
          <w:szCs w:val="12"/>
        </w:rPr>
        <w:t>Биопсия первичной опухоли или метастаза (в зависимости от того, что доступнее) для анализа на наличие мутаций, определяющих чувствительность опухоли к таргетной терапии (определение мутаций осуществляется по назначению врача-исследователя)</w:t>
      </w:r>
      <w:r>
        <w:rPr>
          <w:sz w:val="12"/>
          <w:szCs w:val="12"/>
        </w:rPr>
        <w:t xml:space="preserve">, </w:t>
      </w:r>
      <w:r w:rsidRPr="004956BC">
        <w:rPr>
          <w:sz w:val="12"/>
          <w:szCs w:val="12"/>
        </w:rPr>
        <w:t>если анализ на указанные мутации не выполнен ранее</w:t>
      </w:r>
    </w:p>
  </w:footnote>
  <w:footnote w:id="10">
    <w:p w14:paraId="1368BCFC" w14:textId="11A7B99B" w:rsidR="00AC6CAC" w:rsidRDefault="00AC6CAC" w:rsidP="003722FF">
      <w:pPr>
        <w:pStyle w:val="FootnoteText"/>
      </w:pPr>
      <w:r w:rsidRPr="0085192F">
        <w:rPr>
          <w:rStyle w:val="FootnoteReference"/>
        </w:rPr>
        <w:footnoteRef/>
      </w:r>
      <w:r w:rsidRPr="004956BC">
        <w:rPr>
          <w:sz w:val="12"/>
          <w:szCs w:val="12"/>
        </w:rPr>
        <w:t xml:space="preserve"> Выполняется только у пациентов с анамнезом эрозивно-язвенных поражений ЖКТ или наличия значимых жалоб/симптомов, предполагающих такое поражение. Возможен учет результатов исследований, выполненных в течение 28 дней до визита скрининга</w:t>
      </w:r>
    </w:p>
  </w:footnote>
  <w:footnote w:id="11">
    <w:p w14:paraId="6044139B" w14:textId="266975D7" w:rsidR="00AC6CAC" w:rsidRPr="00BB6320" w:rsidRDefault="00AC6CAC" w:rsidP="00BB6320">
      <w:pPr>
        <w:pStyle w:val="FootnoteText"/>
        <w:rPr>
          <w:vertAlign w:val="superscript"/>
        </w:rPr>
      </w:pPr>
      <w:r w:rsidRPr="00BB6320">
        <w:rPr>
          <w:rStyle w:val="FootnoteReference"/>
        </w:rPr>
        <w:footnoteRef/>
      </w:r>
      <w:r w:rsidRPr="00BB6320">
        <w:rPr>
          <w:vertAlign w:val="superscript"/>
        </w:rPr>
        <w:t xml:space="preserve"> Артериальное давление, частота сердечных сокращений, частота дыхательных движений, температура тела</w:t>
      </w:r>
    </w:p>
  </w:footnote>
  <w:footnote w:id="12">
    <w:p w14:paraId="5A6AA7C4" w14:textId="77777777" w:rsidR="00AC6CAC" w:rsidRPr="00BB6320" w:rsidRDefault="00AC6CAC" w:rsidP="00BB6320">
      <w:pPr>
        <w:pStyle w:val="FootnoteText"/>
        <w:ind w:left="142" w:hanging="142"/>
        <w:rPr>
          <w:vertAlign w:val="superscript"/>
        </w:rPr>
      </w:pPr>
      <w:r w:rsidRPr="00BB6320">
        <w:rPr>
          <w:rStyle w:val="FootnoteReference"/>
        </w:rPr>
        <w:footnoteRef/>
      </w:r>
      <w:r w:rsidRPr="00BB6320">
        <w:rPr>
          <w:vertAlign w:val="superscript"/>
        </w:rPr>
        <w:t xml:space="preserve"> Определяемые показатели: концентрация гемоглобина, гематокрит, количество эритроцитов, количество тромбоцитов, количество лейкоцитов, лейкоцитарная формула, скорость оседания эритроцитов</w:t>
      </w:r>
    </w:p>
  </w:footnote>
  <w:footnote w:id="13">
    <w:p w14:paraId="26EFEB22" w14:textId="0AD054D9" w:rsidR="00AC6CAC" w:rsidRPr="00BB6320" w:rsidRDefault="00AC6CAC" w:rsidP="00BB6320">
      <w:pPr>
        <w:pStyle w:val="FootnoteText"/>
        <w:rPr>
          <w:vertAlign w:val="superscript"/>
        </w:rPr>
      </w:pPr>
      <w:r w:rsidRPr="00BB6320">
        <w:rPr>
          <w:rStyle w:val="FootnoteReference"/>
        </w:rPr>
        <w:footnoteRef/>
      </w:r>
      <w:r w:rsidRPr="00BB6320">
        <w:rPr>
          <w:vertAlign w:val="superscript"/>
        </w:rPr>
        <w:t xml:space="preserve"> Начиная с визита 2 допускается забор крови и мочи для выполнения общего и биохимического анализа крови и общего анализа мочи накануне предстоящего визита</w:t>
      </w:r>
    </w:p>
  </w:footnote>
  <w:footnote w:id="14">
    <w:p w14:paraId="48B2E6E4" w14:textId="77777777" w:rsidR="00AC6CAC" w:rsidRPr="00BB6320" w:rsidRDefault="00AC6CAC" w:rsidP="00BB6320">
      <w:pPr>
        <w:pStyle w:val="FootnoteText"/>
        <w:rPr>
          <w:vertAlign w:val="superscript"/>
        </w:rPr>
      </w:pPr>
      <w:r w:rsidRPr="00BB6320">
        <w:rPr>
          <w:rStyle w:val="FootnoteReference"/>
        </w:rPr>
        <w:footnoteRef/>
      </w:r>
      <w:r w:rsidRPr="00BB6320">
        <w:rPr>
          <w:vertAlign w:val="superscript"/>
        </w:rPr>
        <w:t xml:space="preserve"> В случае, если с момента проведения данного обследования в период скрининга до даты рандомизации прошло более 7 дней (иначе используется результат со скрининга)</w:t>
      </w:r>
    </w:p>
  </w:footnote>
  <w:footnote w:id="15">
    <w:p w14:paraId="125086C2" w14:textId="77777777" w:rsidR="00AC6CAC" w:rsidRPr="00BB6320" w:rsidRDefault="00AC6CAC" w:rsidP="00BB6320">
      <w:pPr>
        <w:pStyle w:val="FootnoteText"/>
        <w:ind w:left="142" w:hanging="142"/>
        <w:rPr>
          <w:vertAlign w:val="superscript"/>
        </w:rPr>
      </w:pPr>
      <w:r w:rsidRPr="00BB6320">
        <w:rPr>
          <w:rStyle w:val="FootnoteReference"/>
        </w:rPr>
        <w:footnoteRef/>
      </w:r>
      <w:r w:rsidRPr="00BB6320">
        <w:rPr>
          <w:vertAlign w:val="superscript"/>
        </w:rPr>
        <w:t xml:space="preserve"> Определяемые показатели: АСТ, АЛТ, билирубин, щелочная фосфатаза, общий белок, альбумин, глюкоза, мочевина, креатинин</w:t>
      </w:r>
    </w:p>
  </w:footnote>
  <w:footnote w:id="16">
    <w:p w14:paraId="364E705B" w14:textId="77777777" w:rsidR="00AC6CAC" w:rsidRPr="00BB6320" w:rsidRDefault="00AC6CAC" w:rsidP="00BB6320">
      <w:pPr>
        <w:pStyle w:val="FootnoteText"/>
        <w:ind w:left="142" w:hanging="142"/>
        <w:rPr>
          <w:vertAlign w:val="superscript"/>
        </w:rPr>
      </w:pPr>
      <w:r w:rsidRPr="00BB6320">
        <w:rPr>
          <w:rStyle w:val="FootnoteReference"/>
        </w:rPr>
        <w:footnoteRef/>
      </w:r>
      <w:r w:rsidRPr="00BB6320">
        <w:rPr>
          <w:vertAlign w:val="superscript"/>
        </w:rPr>
        <w:t xml:space="preserve"> Определяемые показатели: </w:t>
      </w:r>
      <w:r w:rsidRPr="00BB6320">
        <w:rPr>
          <w:vertAlign w:val="superscript"/>
          <w:lang w:eastAsia="ru-RU"/>
        </w:rPr>
        <w:t>цвет, pH, относительная плотность, прозрачность, концентрация белка и глюкозы, лейкоциты, эритроциты, эпителиоциты, цилиндры, слизь, бактерии</w:t>
      </w:r>
    </w:p>
  </w:footnote>
  <w:footnote w:id="17">
    <w:p w14:paraId="7A392F84" w14:textId="77777777" w:rsidR="00AC6CAC" w:rsidRPr="00BB6320" w:rsidRDefault="00AC6CAC" w:rsidP="00BB6320">
      <w:pPr>
        <w:pStyle w:val="FootnoteText"/>
        <w:ind w:left="142" w:hanging="142"/>
        <w:rPr>
          <w:vertAlign w:val="superscript"/>
        </w:rPr>
      </w:pPr>
      <w:r w:rsidRPr="00BB6320">
        <w:rPr>
          <w:rStyle w:val="FootnoteReference"/>
        </w:rPr>
        <w:footnoteRef/>
      </w:r>
      <w:r w:rsidRPr="00BB6320">
        <w:rPr>
          <w:vertAlign w:val="superscript"/>
        </w:rPr>
        <w:t xml:space="preserve"> Начиная с визита 2 допускается сдача анализов накануне (но не ранее, чем за 2 дня до визита) или в день визита пациента в центр.</w:t>
      </w:r>
    </w:p>
  </w:footnote>
  <w:footnote w:id="18">
    <w:p w14:paraId="7EE0E0B2" w14:textId="77777777" w:rsidR="00AC6CAC" w:rsidRPr="004956BC" w:rsidRDefault="00AC6CAC" w:rsidP="00BB6320">
      <w:pPr>
        <w:pStyle w:val="FootnoteText"/>
        <w:ind w:left="142" w:hanging="142"/>
        <w:rPr>
          <w:sz w:val="12"/>
          <w:szCs w:val="12"/>
        </w:rPr>
      </w:pPr>
      <w:r w:rsidRPr="00BB6320">
        <w:rPr>
          <w:rStyle w:val="FootnoteReference"/>
        </w:rPr>
        <w:footnoteRef/>
      </w:r>
      <w:r w:rsidRPr="00BB6320">
        <w:rPr>
          <w:vertAlign w:val="superscript"/>
        </w:rPr>
        <w:t xml:space="preserve"> Для женщин детородного возраста с сохраненным репродуктивным потенциалом</w:t>
      </w:r>
    </w:p>
  </w:footnote>
  <w:footnote w:id="19">
    <w:p w14:paraId="141915B6" w14:textId="77777777" w:rsidR="00AC6CAC" w:rsidRPr="004956BC" w:rsidRDefault="00AC6CAC" w:rsidP="005C6E88">
      <w:pPr>
        <w:pStyle w:val="FootnoteText"/>
        <w:ind w:left="142" w:hanging="142"/>
        <w:rPr>
          <w:sz w:val="12"/>
          <w:szCs w:val="12"/>
        </w:rPr>
      </w:pPr>
      <w:r w:rsidRPr="00695820">
        <w:rPr>
          <w:rStyle w:val="FootnoteReference"/>
        </w:rPr>
        <w:footnoteRef/>
      </w:r>
      <w:r w:rsidRPr="004956BC">
        <w:rPr>
          <w:sz w:val="12"/>
          <w:szCs w:val="12"/>
        </w:rPr>
        <w:t xml:space="preserve"> Расчет производится перед каждой инфузией карбоплатина для расчета/коррекции дозы препарата</w:t>
      </w:r>
    </w:p>
  </w:footnote>
  <w:footnote w:id="20">
    <w:p w14:paraId="2162A323" w14:textId="77777777" w:rsidR="00AC6CAC" w:rsidRPr="004956BC" w:rsidRDefault="00AC6CAC" w:rsidP="005C6E88">
      <w:pPr>
        <w:pStyle w:val="FootnoteText"/>
        <w:ind w:left="142" w:hanging="142"/>
        <w:rPr>
          <w:sz w:val="12"/>
          <w:szCs w:val="12"/>
        </w:rPr>
      </w:pPr>
      <w:r w:rsidRPr="00695820">
        <w:rPr>
          <w:rStyle w:val="FootnoteReference"/>
        </w:rPr>
        <w:footnoteRef/>
      </w:r>
      <w:r w:rsidRPr="004956BC">
        <w:rPr>
          <w:sz w:val="12"/>
          <w:szCs w:val="12"/>
        </w:rPr>
        <w:t xml:space="preserve"> Если планируется выполнение КТ</w:t>
      </w:r>
      <w:r>
        <w:rPr>
          <w:sz w:val="12"/>
          <w:szCs w:val="12"/>
        </w:rPr>
        <w:t xml:space="preserve"> или МРТ</w:t>
      </w:r>
      <w:r w:rsidRPr="004956BC">
        <w:rPr>
          <w:sz w:val="12"/>
          <w:szCs w:val="12"/>
        </w:rPr>
        <w:t xml:space="preserve"> с контрастированием для решения вопроса о возможности выполнения исследования</w:t>
      </w:r>
      <w:r>
        <w:rPr>
          <w:sz w:val="12"/>
          <w:szCs w:val="12"/>
        </w:rPr>
        <w:t xml:space="preserve"> и выбора контрастного препарата</w:t>
      </w:r>
    </w:p>
  </w:footnote>
  <w:footnote w:id="21">
    <w:p w14:paraId="60193C25" w14:textId="64A2D759" w:rsidR="00AC6CAC" w:rsidRPr="004956BC" w:rsidRDefault="00AC6CAC" w:rsidP="005C6E88">
      <w:pPr>
        <w:pStyle w:val="FootnoteText"/>
        <w:ind w:left="142" w:hanging="142"/>
        <w:rPr>
          <w:sz w:val="12"/>
          <w:szCs w:val="12"/>
        </w:rPr>
      </w:pPr>
      <w:r w:rsidRPr="00695820">
        <w:rPr>
          <w:rStyle w:val="FootnoteReference"/>
        </w:rPr>
        <w:footnoteRef/>
      </w:r>
      <w:r w:rsidRPr="004956BC">
        <w:rPr>
          <w:sz w:val="12"/>
          <w:szCs w:val="12"/>
        </w:rPr>
        <w:t xml:space="preserve"> КТ</w:t>
      </w:r>
      <w:r>
        <w:rPr>
          <w:sz w:val="12"/>
          <w:szCs w:val="12"/>
        </w:rPr>
        <w:t xml:space="preserve"> </w:t>
      </w:r>
      <w:r w:rsidRPr="00E4053F">
        <w:rPr>
          <w:sz w:val="12"/>
          <w:szCs w:val="12"/>
        </w:rPr>
        <w:t>(с контрастированием)</w:t>
      </w:r>
      <w:r w:rsidRPr="004956BC">
        <w:rPr>
          <w:sz w:val="12"/>
          <w:szCs w:val="12"/>
        </w:rPr>
        <w:t xml:space="preserve"> органов грудной клетки</w:t>
      </w:r>
      <w:r>
        <w:rPr>
          <w:sz w:val="12"/>
          <w:szCs w:val="12"/>
        </w:rPr>
        <w:t xml:space="preserve"> и брюшной полости</w:t>
      </w:r>
      <w:r w:rsidRPr="004956BC">
        <w:rPr>
          <w:sz w:val="12"/>
          <w:szCs w:val="12"/>
        </w:rPr>
        <w:t xml:space="preserve"> + КТ (с контрастированием) или МРТ (с контрастированием) головы, шеи, органов брюшной полости и малого таза, а также иных областей с ранее выявленными метастазами или при подозрении на метастазы. На Визите 0 (скрининг) возможен учет результатов исследований, выполненных в течение 28 дней до визита скрининга. На визитах после скринингового выполняется тот же вид обследования, который был выполнен на скрининге, если нет клинических показаний для изменения метода исследования</w:t>
      </w:r>
      <w:r>
        <w:rPr>
          <w:sz w:val="12"/>
          <w:szCs w:val="12"/>
        </w:rPr>
        <w:t xml:space="preserve">. Обследование следует выполнять перед очередным введением бевацизумаба и/или химиотерапевтических препаратов. </w:t>
      </w:r>
    </w:p>
  </w:footnote>
  <w:footnote w:id="22">
    <w:p w14:paraId="7DE00B6F" w14:textId="4962FC42" w:rsidR="00AC6CAC" w:rsidRPr="00A83C5A" w:rsidRDefault="00AC6CAC">
      <w:pPr>
        <w:pStyle w:val="FootnoteText"/>
      </w:pPr>
      <w:r>
        <w:rPr>
          <w:rStyle w:val="FootnoteReference"/>
        </w:rPr>
        <w:footnoteRef/>
      </w:r>
      <w:r>
        <w:t xml:space="preserve"> </w:t>
      </w:r>
      <w:r w:rsidRPr="008C68D8">
        <w:rPr>
          <w:sz w:val="12"/>
          <w:szCs w:val="12"/>
        </w:rPr>
        <w:t>Плановое КТ исследование проводится в день соответствующего планового визита. Допускается отклонение во времени проведения планового КТ не болечее чем 3 дня (72 часа) до фактической даты визита.</w:t>
      </w:r>
    </w:p>
  </w:footnote>
  <w:footnote w:id="23">
    <w:p w14:paraId="4FF19BD7" w14:textId="4FA53B90" w:rsidR="00AC6CAC" w:rsidRPr="007F5C7A" w:rsidRDefault="00AC6CAC">
      <w:pPr>
        <w:pStyle w:val="FootnoteText"/>
      </w:pPr>
      <w:r>
        <w:rPr>
          <w:rStyle w:val="FootnoteReference"/>
        </w:rPr>
        <w:footnoteRef/>
      </w:r>
      <w:r>
        <w:t xml:space="preserve"> </w:t>
      </w:r>
      <w:r w:rsidRPr="008C68D8">
        <w:rPr>
          <w:sz w:val="12"/>
          <w:szCs w:val="12"/>
        </w:rPr>
        <w:t xml:space="preserve">Оценка НЯ производится с момента первого введения препаратов </w:t>
      </w:r>
      <w:r w:rsidRPr="008C68D8">
        <w:rPr>
          <w:sz w:val="12"/>
          <w:szCs w:val="12"/>
          <w:lang w:val="en-US"/>
        </w:rPr>
        <w:t>RPH</w:t>
      </w:r>
      <w:r w:rsidRPr="008C68D8">
        <w:rPr>
          <w:sz w:val="12"/>
          <w:szCs w:val="12"/>
        </w:rPr>
        <w:t>-001 или Авастин</w:t>
      </w:r>
      <w:r>
        <w:rPr>
          <w:sz w:val="12"/>
          <w:szCs w:val="12"/>
        </w:rPr>
        <w:t>, СНЯ связанные с процедурами исследования регистрируются с момента подписания формы информированного согласия</w:t>
      </w:r>
    </w:p>
  </w:footnote>
  <w:footnote w:id="24">
    <w:p w14:paraId="43254DC1" w14:textId="7839C7C0" w:rsidR="00AC6CAC" w:rsidRPr="004956BC" w:rsidRDefault="00AC6CAC" w:rsidP="005C6E88">
      <w:pPr>
        <w:pStyle w:val="FootnoteText"/>
        <w:rPr>
          <w:sz w:val="12"/>
          <w:szCs w:val="12"/>
        </w:rPr>
      </w:pPr>
      <w:r w:rsidRPr="00695820">
        <w:rPr>
          <w:rStyle w:val="FootnoteReference"/>
        </w:rPr>
        <w:footnoteRef/>
      </w:r>
      <w:r w:rsidRPr="004956BC">
        <w:rPr>
          <w:sz w:val="12"/>
          <w:szCs w:val="12"/>
        </w:rPr>
        <w:t xml:space="preserve"> </w:t>
      </w:r>
      <w:r>
        <w:rPr>
          <w:sz w:val="12"/>
          <w:szCs w:val="12"/>
        </w:rPr>
        <w:t>На скрининге регистрируются только С</w:t>
      </w:r>
      <w:r w:rsidRPr="00CA664D">
        <w:rPr>
          <w:sz w:val="12"/>
          <w:szCs w:val="12"/>
        </w:rPr>
        <w:t xml:space="preserve">НЯ, связанные с процедурами </w:t>
      </w:r>
      <w:r>
        <w:rPr>
          <w:sz w:val="12"/>
          <w:szCs w:val="12"/>
        </w:rPr>
        <w:t>исследования;</w:t>
      </w:r>
    </w:p>
  </w:footnote>
  <w:footnote w:id="25">
    <w:p w14:paraId="1FB492F9" w14:textId="3276F74E" w:rsidR="00AC6CAC" w:rsidRPr="004956BC" w:rsidRDefault="00AC6CAC" w:rsidP="005C6E88">
      <w:pPr>
        <w:pStyle w:val="FootnoteText"/>
        <w:rPr>
          <w:sz w:val="12"/>
          <w:szCs w:val="12"/>
        </w:rPr>
      </w:pPr>
      <w:r w:rsidRPr="00695820">
        <w:rPr>
          <w:rStyle w:val="FootnoteReference"/>
        </w:rPr>
        <w:footnoteRef/>
      </w:r>
      <w:r w:rsidRPr="004956BC">
        <w:rPr>
          <w:sz w:val="12"/>
          <w:szCs w:val="12"/>
        </w:rPr>
        <w:t xml:space="preserve"> Инфузии препаратов сопутствующей химиотерапии на Визитах 5 и 6 выполняются на усмотрение врача-исследователя при условии отсутствия неприемлемой токсичности</w:t>
      </w:r>
    </w:p>
  </w:footnote>
  <w:footnote w:id="26">
    <w:p w14:paraId="265EE4BB" w14:textId="381E819E" w:rsidR="00AC6CAC" w:rsidRDefault="00AC6CAC">
      <w:pPr>
        <w:pStyle w:val="FootnoteText"/>
      </w:pPr>
      <w:r>
        <w:rPr>
          <w:rStyle w:val="FootnoteReference"/>
        </w:rPr>
        <w:footnoteRef/>
      </w:r>
      <w:r>
        <w:t xml:space="preserve"> </w:t>
      </w:r>
      <w:r w:rsidRPr="008C68D8">
        <w:rPr>
          <w:sz w:val="12"/>
          <w:szCs w:val="12"/>
        </w:rPr>
        <w:t>В случае доказательства эквивалентности исследуемого препарата препарату сравнения по результатам основной части исследования, в рамках продленной части либо после ее завершения (визиты 19+) исследователь и пациент будут расслеплены, пациентам, получающим препарат сравнения Авастин®, будет предложено продолжить лечение препаратом RPH-001. В случае отказа от перевода на лечение препаратом RPH-001 пациент завершает терапию в рамках исследования, однако для оценки дожития с пациентом будет поддерживаться телефонный контакт каждые 2 месяца (±14 дней) до 12 месяцев от момента рандомизаци</w:t>
      </w:r>
    </w:p>
  </w:footnote>
  <w:footnote w:id="27">
    <w:p w14:paraId="5FDFA4FE" w14:textId="47D7C07A" w:rsidR="00AC6CAC" w:rsidRDefault="00AC6CAC">
      <w:pPr>
        <w:pStyle w:val="FootnoteText"/>
      </w:pPr>
      <w:r>
        <w:rPr>
          <w:rStyle w:val="FootnoteReference"/>
        </w:rPr>
        <w:footnoteRef/>
      </w:r>
      <w:r>
        <w:t xml:space="preserve"> </w:t>
      </w:r>
      <w:r w:rsidRPr="00855215">
        <w:t>Необычные поверхностно распространяющиеся опухоли любого размера, если их инфильтративный рост ограничен стенкой бронха, при распространении на главный бронх классифицируются как T1</w:t>
      </w:r>
    </w:p>
  </w:footnote>
  <w:footnote w:id="28">
    <w:p w14:paraId="5A36B6B5" w14:textId="1CE5CB95" w:rsidR="00AC6CAC" w:rsidRDefault="00AC6CAC">
      <w:pPr>
        <w:pStyle w:val="FootnoteText"/>
      </w:pPr>
      <w:r>
        <w:rPr>
          <w:rStyle w:val="FootnoteReference"/>
        </w:rPr>
        <w:footnoteRef/>
      </w:r>
      <w:r>
        <w:t xml:space="preserve"> </w:t>
      </w:r>
      <w:r w:rsidRPr="00855215">
        <w:t>Когда полученные клинические данные свидетельствуют о том, что выпот не связан с опухолью, плевральный выпот должен быть исключен как элемент стадирования, и пациенту должна быть установлена стадия T1, T2 или T3.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C67CC" w14:textId="77777777" w:rsidR="00AC6CAC" w:rsidRDefault="00AC6C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4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1"/>
      <w:gridCol w:w="2279"/>
    </w:tblGrid>
    <w:tr w:rsidR="00AC6CAC" w14:paraId="1B261F74" w14:textId="77777777" w:rsidTr="007B46F5">
      <w:tc>
        <w:tcPr>
          <w:tcW w:w="7361" w:type="dxa"/>
          <w:vAlign w:val="bottom"/>
        </w:tcPr>
        <w:p w14:paraId="09C8DEDB" w14:textId="77777777" w:rsidR="00AC6CAC" w:rsidRDefault="00AC6CAC" w:rsidP="007B46F5">
          <w:pPr>
            <w:tabs>
              <w:tab w:val="center" w:pos="4677"/>
              <w:tab w:val="right" w:pos="9355"/>
            </w:tabs>
            <w:rPr>
              <w:rFonts w:eastAsia="Times New Roman"/>
              <w:noProof/>
              <w:szCs w:val="24"/>
            </w:rPr>
          </w:pPr>
          <w:r w:rsidRPr="00FA1F69">
            <w:rPr>
              <w:rFonts w:eastAsia="Times New Roman"/>
              <w:noProof/>
              <w:szCs w:val="24"/>
            </w:rPr>
            <w:t>Протокол клинического исследования</w:t>
          </w:r>
        </w:p>
        <w:p w14:paraId="01AC2299" w14:textId="2812C5F0" w:rsidR="00AC6CAC" w:rsidRPr="00014095" w:rsidRDefault="00AC6CAC" w:rsidP="007B46F5">
          <w:pPr>
            <w:tabs>
              <w:tab w:val="center" w:pos="4677"/>
              <w:tab w:val="right" w:pos="9355"/>
            </w:tabs>
            <w:rPr>
              <w:rFonts w:eastAsia="Calibri"/>
              <w:szCs w:val="24"/>
            </w:rPr>
          </w:pPr>
          <w:r w:rsidRPr="009D44B4">
            <w:rPr>
              <w:szCs w:val="24"/>
              <w:lang w:eastAsia="ru-RU"/>
            </w:rPr>
            <w:t xml:space="preserve">Номер протокола: </w:t>
          </w:r>
          <w:r w:rsidRPr="009D44B4">
            <w:rPr>
              <w:rFonts w:eastAsia="Calibri"/>
              <w:szCs w:val="24"/>
              <w:lang w:eastAsia="ru-RU"/>
            </w:rPr>
            <w:t xml:space="preserve">№ </w:t>
          </w:r>
          <w:r>
            <w:rPr>
              <w:szCs w:val="24"/>
            </w:rPr>
            <w:t>CL01011070</w:t>
          </w:r>
        </w:p>
        <w:p w14:paraId="211ADBF8" w14:textId="263A92E1" w:rsidR="00AC6CAC" w:rsidRPr="007B46F5" w:rsidRDefault="00AC6CAC" w:rsidP="007B46F5">
          <w:pPr>
            <w:tabs>
              <w:tab w:val="center" w:pos="4677"/>
              <w:tab w:val="right" w:pos="9355"/>
            </w:tabs>
            <w:rPr>
              <w:rFonts w:eastAsia="Times New Roman"/>
              <w:noProof/>
              <w:szCs w:val="24"/>
            </w:rPr>
          </w:pPr>
          <w:r>
            <w:rPr>
              <w:szCs w:val="24"/>
            </w:rPr>
            <w:t>Спонсор: АО «Р-Фарм», Россия</w:t>
          </w:r>
        </w:p>
      </w:tc>
      <w:tc>
        <w:tcPr>
          <w:tcW w:w="2279" w:type="dxa"/>
        </w:tcPr>
        <w:p w14:paraId="1E75756A" w14:textId="7A1576E3" w:rsidR="00AC6CAC" w:rsidRDefault="00AC6CAC" w:rsidP="008C68D8">
          <w:pPr>
            <w:pStyle w:val="Header"/>
            <w:tabs>
              <w:tab w:val="clear" w:pos="4677"/>
              <w:tab w:val="clear" w:pos="9355"/>
            </w:tabs>
            <w:jc w:val="right"/>
            <w:rPr>
              <w:sz w:val="10"/>
              <w:szCs w:val="10"/>
            </w:rPr>
          </w:pPr>
          <w:r w:rsidRPr="004C7CF4">
            <w:rPr>
              <w:noProof/>
              <w:lang w:eastAsia="ru-RU"/>
            </w:rPr>
            <w:drawing>
              <wp:inline distT="0" distB="0" distL="0" distR="0" wp14:anchorId="247EEB23" wp14:editId="340F5D2E">
                <wp:extent cx="643255" cy="609600"/>
                <wp:effectExtent l="0" t="0" r="4445" b="0"/>
                <wp:docPr id="7" name="Рисунок 1"/>
                <wp:cNvGraphicFramePr/>
                <a:graphic xmlns:a="http://schemas.openxmlformats.org/drawingml/2006/main">
                  <a:graphicData uri="http://schemas.openxmlformats.org/drawingml/2006/picture">
                    <pic:pic xmlns:pic="http://schemas.openxmlformats.org/drawingml/2006/picture">
                      <pic:nvPicPr>
                        <pic:cNvPr id="10" name="Рисунок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3255" cy="609600"/>
                        </a:xfrm>
                        <a:prstGeom prst="rect">
                          <a:avLst/>
                        </a:prstGeom>
                        <a:noFill/>
                        <a:ln>
                          <a:noFill/>
                        </a:ln>
                      </pic:spPr>
                    </pic:pic>
                  </a:graphicData>
                </a:graphic>
              </wp:inline>
            </w:drawing>
          </w:r>
        </w:p>
      </w:tc>
    </w:tr>
  </w:tbl>
  <w:p w14:paraId="0E331952" w14:textId="584D754B" w:rsidR="00AC6CAC" w:rsidRPr="007B46F5" w:rsidRDefault="00AC6CAC" w:rsidP="00513782">
    <w:pPr>
      <w:pStyle w:val="Header"/>
      <w:tabs>
        <w:tab w:val="clear" w:pos="4677"/>
        <w:tab w:val="clear" w:pos="9355"/>
      </w:tabs>
      <w:rPr>
        <w:szCs w:val="24"/>
      </w:rPr>
    </w:pPr>
    <w:r>
      <w:rPr>
        <w:sz w:val="10"/>
        <w:szCs w:val="1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EDAC0" w14:textId="77777777" w:rsidR="00AC6CAC" w:rsidRDefault="00AC6C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5"/>
    <w:multiLevelType w:val="multilevel"/>
    <w:tmpl w:val="00000015"/>
    <w:lvl w:ilvl="0">
      <w:start w:val="1"/>
      <w:numFmt w:val="bullet"/>
      <w:pStyle w:val="1"/>
      <w:lvlText w:val=""/>
      <w:lvlJc w:val="left"/>
      <w:pPr>
        <w:tabs>
          <w:tab w:val="num" w:pos="0"/>
        </w:tabs>
        <w:ind w:left="680" w:hanging="396"/>
      </w:pPr>
      <w:rPr>
        <w:rFonts w:ascii="Symbol" w:hAnsi="Symbol" w:cs="Symbol" w:hint="default"/>
      </w:rPr>
    </w:lvl>
    <w:lvl w:ilvl="1">
      <w:start w:val="1"/>
      <w:numFmt w:val="bullet"/>
      <w:lvlText w:val="o"/>
      <w:lvlJc w:val="left"/>
      <w:pPr>
        <w:tabs>
          <w:tab w:val="num" w:pos="0"/>
        </w:tabs>
        <w:ind w:left="1247" w:hanging="396"/>
      </w:pPr>
      <w:rPr>
        <w:rFonts w:ascii="Courier New" w:hAnsi="Courier New" w:cs="Courier New" w:hint="default"/>
      </w:rPr>
    </w:lvl>
    <w:lvl w:ilvl="2">
      <w:start w:val="1"/>
      <w:numFmt w:val="bullet"/>
      <w:lvlText w:val=""/>
      <w:lvlJc w:val="left"/>
      <w:pPr>
        <w:tabs>
          <w:tab w:val="num" w:pos="0"/>
        </w:tabs>
        <w:ind w:left="1701" w:hanging="454"/>
      </w:pPr>
      <w:rPr>
        <w:rFonts w:ascii="Wingdings" w:hAnsi="Wingdings" w:cs="Wingdings" w:hint="default"/>
      </w:rPr>
    </w:lvl>
    <w:lvl w:ilvl="3">
      <w:start w:val="1"/>
      <w:numFmt w:val="bullet"/>
      <w:lvlText w:val=""/>
      <w:lvlJc w:val="left"/>
      <w:pPr>
        <w:tabs>
          <w:tab w:val="num" w:pos="0"/>
        </w:tabs>
        <w:ind w:left="2381" w:hanging="453"/>
      </w:pPr>
      <w:rPr>
        <w:rFonts w:ascii="Symbol" w:hAnsi="Symbol" w:cs="Symbol" w:hint="default"/>
      </w:rPr>
    </w:lvl>
    <w:lvl w:ilvl="4">
      <w:start w:val="1"/>
      <w:numFmt w:val="bullet"/>
      <w:lvlText w:val="o"/>
      <w:lvlJc w:val="left"/>
      <w:pPr>
        <w:tabs>
          <w:tab w:val="num" w:pos="0"/>
        </w:tabs>
        <w:ind w:left="3062" w:hanging="454"/>
      </w:pPr>
      <w:rPr>
        <w:rFonts w:ascii="Courier New" w:hAnsi="Courier New" w:cs="Courier New" w:hint="default"/>
      </w:rPr>
    </w:lvl>
    <w:lvl w:ilvl="5">
      <w:start w:val="1"/>
      <w:numFmt w:val="bullet"/>
      <w:lvlText w:val=""/>
      <w:lvlJc w:val="left"/>
      <w:pPr>
        <w:tabs>
          <w:tab w:val="num" w:pos="0"/>
        </w:tabs>
        <w:ind w:left="3402" w:hanging="283"/>
      </w:pPr>
      <w:rPr>
        <w:rFonts w:ascii="Wingdings" w:hAnsi="Wingdings" w:cs="Wingdings" w:hint="default"/>
      </w:rPr>
    </w:lvl>
    <w:lvl w:ilvl="6">
      <w:start w:val="1"/>
      <w:numFmt w:val="bullet"/>
      <w:lvlText w:val=""/>
      <w:lvlJc w:val="left"/>
      <w:pPr>
        <w:tabs>
          <w:tab w:val="num" w:pos="0"/>
        </w:tabs>
        <w:ind w:left="3856" w:hanging="397"/>
      </w:pPr>
      <w:rPr>
        <w:rFonts w:ascii="Symbol" w:hAnsi="Symbol" w:cs="Symbol" w:hint="default"/>
      </w:rPr>
    </w:lvl>
    <w:lvl w:ilvl="7">
      <w:start w:val="1"/>
      <w:numFmt w:val="bullet"/>
      <w:lvlText w:val="o"/>
      <w:lvlJc w:val="left"/>
      <w:pPr>
        <w:tabs>
          <w:tab w:val="num" w:pos="0"/>
        </w:tabs>
        <w:ind w:left="4196" w:hanging="340"/>
      </w:pPr>
      <w:rPr>
        <w:rFonts w:ascii="Courier New" w:hAnsi="Courier New" w:cs="Courier New" w:hint="default"/>
      </w:rPr>
    </w:lvl>
    <w:lvl w:ilvl="8">
      <w:start w:val="1"/>
      <w:numFmt w:val="bullet"/>
      <w:lvlText w:val=""/>
      <w:lvlJc w:val="left"/>
      <w:pPr>
        <w:tabs>
          <w:tab w:val="num" w:pos="0"/>
        </w:tabs>
        <w:ind w:left="4423" w:hanging="397"/>
      </w:pPr>
      <w:rPr>
        <w:rFonts w:ascii="Wingdings" w:hAnsi="Wingdings" w:cs="Wingdings" w:hint="default"/>
      </w:rPr>
    </w:lvl>
  </w:abstractNum>
  <w:abstractNum w:abstractNumId="1" w15:restartNumberingAfterBreak="0">
    <w:nsid w:val="00F323C1"/>
    <w:multiLevelType w:val="multilevel"/>
    <w:tmpl w:val="587AB0A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rPr>
        <w:b/>
        <w:i/>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2C72B71"/>
    <w:multiLevelType w:val="hybridMultilevel"/>
    <w:tmpl w:val="765AEE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A37057"/>
    <w:multiLevelType w:val="hybridMultilevel"/>
    <w:tmpl w:val="2EF4BA56"/>
    <w:lvl w:ilvl="0" w:tplc="356E35D2">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60B7B84"/>
    <w:multiLevelType w:val="hybridMultilevel"/>
    <w:tmpl w:val="73341892"/>
    <w:lvl w:ilvl="0" w:tplc="FEFCCAA2">
      <w:numFmt w:val="bullet"/>
      <w:lvlText w:val="•"/>
      <w:lvlJc w:val="left"/>
      <w:pPr>
        <w:ind w:left="1065" w:hanging="705"/>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68D745F"/>
    <w:multiLevelType w:val="hybridMultilevel"/>
    <w:tmpl w:val="476A2D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6EE16ED"/>
    <w:multiLevelType w:val="multilevel"/>
    <w:tmpl w:val="587AB0A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rPr>
        <w:b/>
        <w:i/>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06F10682"/>
    <w:multiLevelType w:val="hybridMultilevel"/>
    <w:tmpl w:val="B38EBB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77E1451"/>
    <w:multiLevelType w:val="hybridMultilevel"/>
    <w:tmpl w:val="536E08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79044DE"/>
    <w:multiLevelType w:val="hybridMultilevel"/>
    <w:tmpl w:val="5FF81DC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089573F0"/>
    <w:multiLevelType w:val="hybridMultilevel"/>
    <w:tmpl w:val="1B6AF8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08F85475"/>
    <w:multiLevelType w:val="hybridMultilevel"/>
    <w:tmpl w:val="C18E17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0FAE4250"/>
    <w:multiLevelType w:val="hybridMultilevel"/>
    <w:tmpl w:val="7778C09C"/>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37C3549"/>
    <w:multiLevelType w:val="hybridMultilevel"/>
    <w:tmpl w:val="EAF2DE44"/>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4" w15:restartNumberingAfterBreak="0">
    <w:nsid w:val="13AC61E0"/>
    <w:multiLevelType w:val="hybridMultilevel"/>
    <w:tmpl w:val="950C7B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7012A35"/>
    <w:multiLevelType w:val="hybridMultilevel"/>
    <w:tmpl w:val="5F943046"/>
    <w:lvl w:ilvl="0" w:tplc="2A36E434">
      <w:numFmt w:val="bullet"/>
      <w:lvlText w:val="•"/>
      <w:lvlJc w:val="left"/>
      <w:pPr>
        <w:ind w:left="1065" w:hanging="705"/>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4214348"/>
    <w:multiLevelType w:val="hybridMultilevel"/>
    <w:tmpl w:val="DC066BCA"/>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6AA7EF5"/>
    <w:multiLevelType w:val="hybridMultilevel"/>
    <w:tmpl w:val="B2620576"/>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15:restartNumberingAfterBreak="0">
    <w:nsid w:val="29222E2C"/>
    <w:multiLevelType w:val="hybridMultilevel"/>
    <w:tmpl w:val="F06CE8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B9C48CC"/>
    <w:multiLevelType w:val="hybridMultilevel"/>
    <w:tmpl w:val="12BCF7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C3104AA"/>
    <w:multiLevelType w:val="hybridMultilevel"/>
    <w:tmpl w:val="2FF064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C574C3B"/>
    <w:multiLevelType w:val="hybridMultilevel"/>
    <w:tmpl w:val="75E2FF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ED563B9"/>
    <w:multiLevelType w:val="hybridMultilevel"/>
    <w:tmpl w:val="0436D39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2F63135F"/>
    <w:multiLevelType w:val="hybridMultilevel"/>
    <w:tmpl w:val="D4A65E04"/>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1EE40E8"/>
    <w:multiLevelType w:val="hybridMultilevel"/>
    <w:tmpl w:val="9904C084"/>
    <w:lvl w:ilvl="0" w:tplc="04190001">
      <w:start w:val="1"/>
      <w:numFmt w:val="bullet"/>
      <w:lvlText w:val=""/>
      <w:lvlJc w:val="left"/>
      <w:pPr>
        <w:ind w:left="720" w:hanging="360"/>
      </w:pPr>
      <w:rPr>
        <w:rFonts w:ascii="Symbol" w:hAnsi="Symbol" w:hint="default"/>
      </w:rPr>
    </w:lvl>
    <w:lvl w:ilvl="1" w:tplc="8EC0FA10">
      <w:numFmt w:val="bullet"/>
      <w:lvlText w:val="•"/>
      <w:lvlJc w:val="left"/>
      <w:pPr>
        <w:ind w:left="1785" w:hanging="705"/>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3726393"/>
    <w:multiLevelType w:val="hybridMultilevel"/>
    <w:tmpl w:val="82CA0BEC"/>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6" w15:restartNumberingAfterBreak="0">
    <w:nsid w:val="348B01B6"/>
    <w:multiLevelType w:val="hybridMultilevel"/>
    <w:tmpl w:val="A5C272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5077D0A"/>
    <w:multiLevelType w:val="hybridMultilevel"/>
    <w:tmpl w:val="6FFA31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36CA26DE"/>
    <w:multiLevelType w:val="hybridMultilevel"/>
    <w:tmpl w:val="A5149D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37031B45"/>
    <w:multiLevelType w:val="multilevel"/>
    <w:tmpl w:val="C910145E"/>
    <w:lvl w:ilvl="0">
      <w:start w:val="1"/>
      <w:numFmt w:val="bullet"/>
      <w:pStyle w:val="ListBullet"/>
      <w:lvlText w:val=""/>
      <w:lvlJc w:val="left"/>
      <w:pPr>
        <w:ind w:left="680" w:hanging="396"/>
      </w:pPr>
      <w:rPr>
        <w:rFonts w:ascii="Symbol" w:hAnsi="Symbol" w:hint="default"/>
      </w:rPr>
    </w:lvl>
    <w:lvl w:ilvl="1">
      <w:start w:val="1"/>
      <w:numFmt w:val="bullet"/>
      <w:lvlText w:val="o"/>
      <w:lvlJc w:val="left"/>
      <w:pPr>
        <w:ind w:left="1247" w:hanging="396"/>
      </w:pPr>
      <w:rPr>
        <w:rFonts w:ascii="Courier New" w:hAnsi="Courier New" w:hint="default"/>
      </w:rPr>
    </w:lvl>
    <w:lvl w:ilvl="2">
      <w:start w:val="1"/>
      <w:numFmt w:val="bullet"/>
      <w:lvlText w:val=""/>
      <w:lvlJc w:val="left"/>
      <w:pPr>
        <w:ind w:left="1701" w:hanging="454"/>
      </w:pPr>
      <w:rPr>
        <w:rFonts w:ascii="Wingdings" w:hAnsi="Wingdings" w:hint="default"/>
      </w:rPr>
    </w:lvl>
    <w:lvl w:ilvl="3">
      <w:start w:val="1"/>
      <w:numFmt w:val="bullet"/>
      <w:lvlText w:val=""/>
      <w:lvlJc w:val="left"/>
      <w:pPr>
        <w:ind w:left="2381" w:hanging="453"/>
      </w:pPr>
      <w:rPr>
        <w:rFonts w:ascii="Symbol" w:hAnsi="Symbol" w:hint="default"/>
      </w:rPr>
    </w:lvl>
    <w:lvl w:ilvl="4">
      <w:start w:val="1"/>
      <w:numFmt w:val="bullet"/>
      <w:lvlText w:val="o"/>
      <w:lvlJc w:val="left"/>
      <w:pPr>
        <w:ind w:left="3062" w:hanging="454"/>
      </w:pPr>
      <w:rPr>
        <w:rFonts w:ascii="Courier New" w:hAnsi="Courier New" w:hint="default"/>
      </w:rPr>
    </w:lvl>
    <w:lvl w:ilvl="5">
      <w:start w:val="1"/>
      <w:numFmt w:val="bullet"/>
      <w:lvlText w:val=""/>
      <w:lvlJc w:val="left"/>
      <w:pPr>
        <w:ind w:left="3402" w:hanging="283"/>
      </w:pPr>
      <w:rPr>
        <w:rFonts w:ascii="Wingdings" w:hAnsi="Wingdings" w:hint="default"/>
      </w:rPr>
    </w:lvl>
    <w:lvl w:ilvl="6">
      <w:start w:val="1"/>
      <w:numFmt w:val="bullet"/>
      <w:lvlText w:val=""/>
      <w:lvlJc w:val="left"/>
      <w:pPr>
        <w:ind w:left="3856" w:hanging="397"/>
      </w:pPr>
      <w:rPr>
        <w:rFonts w:ascii="Symbol" w:hAnsi="Symbol" w:hint="default"/>
      </w:rPr>
    </w:lvl>
    <w:lvl w:ilvl="7">
      <w:start w:val="1"/>
      <w:numFmt w:val="bullet"/>
      <w:lvlText w:val="o"/>
      <w:lvlJc w:val="left"/>
      <w:pPr>
        <w:ind w:left="4196" w:hanging="340"/>
      </w:pPr>
      <w:rPr>
        <w:rFonts w:ascii="Courier New" w:hAnsi="Courier New" w:hint="default"/>
      </w:rPr>
    </w:lvl>
    <w:lvl w:ilvl="8">
      <w:start w:val="1"/>
      <w:numFmt w:val="bullet"/>
      <w:lvlText w:val=""/>
      <w:lvlJc w:val="left"/>
      <w:pPr>
        <w:ind w:left="4423" w:hanging="397"/>
      </w:pPr>
      <w:rPr>
        <w:rFonts w:ascii="Wingdings" w:hAnsi="Wingdings" w:hint="default"/>
      </w:rPr>
    </w:lvl>
  </w:abstractNum>
  <w:abstractNum w:abstractNumId="30" w15:restartNumberingAfterBreak="0">
    <w:nsid w:val="39B92DFE"/>
    <w:multiLevelType w:val="multilevel"/>
    <w:tmpl w:val="EB7EDCB2"/>
    <w:lvl w:ilvl="0">
      <w:start w:val="1"/>
      <w:numFmt w:val="decimal"/>
      <w:pStyle w:val="Heading1"/>
      <w:lvlText w:val="%1"/>
      <w:lvlJc w:val="left"/>
      <w:pPr>
        <w:ind w:left="432" w:hanging="432"/>
      </w:pPr>
      <w:rPr>
        <w:rFonts w:hint="default"/>
        <w:sz w:val="28"/>
        <w:szCs w:val="28"/>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5682" w:hanging="720"/>
      </w:pPr>
      <w:rPr>
        <w:rFonts w:hint="default"/>
        <w:sz w:val="24"/>
        <w:szCs w:val="24"/>
      </w:rPr>
    </w:lvl>
    <w:lvl w:ilvl="3">
      <w:start w:val="1"/>
      <w:numFmt w:val="decimal"/>
      <w:pStyle w:val="Heading4"/>
      <w:lvlText w:val="%1.%2.%3.%4"/>
      <w:lvlJc w:val="left"/>
      <w:pPr>
        <w:ind w:left="864" w:hanging="864"/>
      </w:pPr>
      <w:rPr>
        <w:rFonts w:hint="default"/>
        <w:b/>
        <w:i/>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15:restartNumberingAfterBreak="0">
    <w:nsid w:val="3E977322"/>
    <w:multiLevelType w:val="hybridMultilevel"/>
    <w:tmpl w:val="29AE4BAE"/>
    <w:lvl w:ilvl="0" w:tplc="7CF645F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0217F45"/>
    <w:multiLevelType w:val="hybridMultilevel"/>
    <w:tmpl w:val="AF363AAE"/>
    <w:lvl w:ilvl="0" w:tplc="C16868D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4400B68"/>
    <w:multiLevelType w:val="multilevel"/>
    <w:tmpl w:val="84DEB56E"/>
    <w:lvl w:ilvl="0">
      <w:start w:val="1"/>
      <w:numFmt w:val="bullet"/>
      <w:lvlText w:val="•"/>
      <w:lvlJc w:val="left"/>
      <w:rPr>
        <w:rFonts w:ascii="Arial" w:eastAsia="Arial" w:hAnsi="Arial" w:cs="Arial"/>
        <w:b w:val="0"/>
        <w:bCs w:val="0"/>
        <w:i w:val="0"/>
        <w:iCs w:val="0"/>
        <w:smallCaps w:val="0"/>
        <w:strike w:val="0"/>
        <w:color w:val="000000"/>
        <w:spacing w:val="0"/>
        <w:w w:val="100"/>
        <w:position w:val="0"/>
        <w:sz w:val="22"/>
        <w:szCs w:val="22"/>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449C692A"/>
    <w:multiLevelType w:val="hybridMultilevel"/>
    <w:tmpl w:val="756AD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6207030"/>
    <w:multiLevelType w:val="hybridMultilevel"/>
    <w:tmpl w:val="6C183B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46992D08"/>
    <w:multiLevelType w:val="hybridMultilevel"/>
    <w:tmpl w:val="7BC4AD7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7" w15:restartNumberingAfterBreak="0">
    <w:nsid w:val="475E2032"/>
    <w:multiLevelType w:val="hybridMultilevel"/>
    <w:tmpl w:val="9AAC5ACE"/>
    <w:lvl w:ilvl="0" w:tplc="C16868D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47BC36B2"/>
    <w:multiLevelType w:val="hybridMultilevel"/>
    <w:tmpl w:val="35AC61B8"/>
    <w:lvl w:ilvl="0" w:tplc="899A435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48F06677"/>
    <w:multiLevelType w:val="hybridMultilevel"/>
    <w:tmpl w:val="37A4FF28"/>
    <w:lvl w:ilvl="0" w:tplc="FEFCCAA2">
      <w:numFmt w:val="bullet"/>
      <w:lvlText w:val="•"/>
      <w:lvlJc w:val="left"/>
      <w:pPr>
        <w:ind w:left="1065" w:hanging="705"/>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49C42A7A"/>
    <w:multiLevelType w:val="hybridMultilevel"/>
    <w:tmpl w:val="821CED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4BFB1683"/>
    <w:multiLevelType w:val="hybridMultilevel"/>
    <w:tmpl w:val="CAF0F070"/>
    <w:lvl w:ilvl="0" w:tplc="FEFCCAA2">
      <w:numFmt w:val="bullet"/>
      <w:lvlText w:val="•"/>
      <w:lvlJc w:val="left"/>
      <w:pPr>
        <w:ind w:left="1065" w:hanging="705"/>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4E6D77FA"/>
    <w:multiLevelType w:val="hybridMultilevel"/>
    <w:tmpl w:val="1486A4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1016386"/>
    <w:multiLevelType w:val="hybridMultilevel"/>
    <w:tmpl w:val="FCE473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58190E96"/>
    <w:multiLevelType w:val="hybridMultilevel"/>
    <w:tmpl w:val="885EE4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B406B29"/>
    <w:multiLevelType w:val="hybridMultilevel"/>
    <w:tmpl w:val="A68A87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5E2612F5"/>
    <w:multiLevelType w:val="hybridMultilevel"/>
    <w:tmpl w:val="CE785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63DF28ED"/>
    <w:multiLevelType w:val="hybridMultilevel"/>
    <w:tmpl w:val="3E6E59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64C2302C"/>
    <w:multiLevelType w:val="hybridMultilevel"/>
    <w:tmpl w:val="91AC03E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9" w15:restartNumberingAfterBreak="0">
    <w:nsid w:val="64E97AC8"/>
    <w:multiLevelType w:val="multilevel"/>
    <w:tmpl w:val="587AB0A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rPr>
        <w:b/>
        <w:i/>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0" w15:restartNumberingAfterBreak="0">
    <w:nsid w:val="6B6E2A11"/>
    <w:multiLevelType w:val="hybridMultilevel"/>
    <w:tmpl w:val="31FE2E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6EE47497"/>
    <w:multiLevelType w:val="hybridMultilevel"/>
    <w:tmpl w:val="107E11EE"/>
    <w:lvl w:ilvl="0" w:tplc="04190001">
      <w:start w:val="1"/>
      <w:numFmt w:val="bullet"/>
      <w:lvlText w:val=""/>
      <w:lvlJc w:val="left"/>
      <w:pPr>
        <w:ind w:left="360" w:hanging="360"/>
      </w:pPr>
      <w:rPr>
        <w:rFonts w:ascii="Symbol" w:hAnsi="Symbol"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2" w15:restartNumberingAfterBreak="0">
    <w:nsid w:val="728223F7"/>
    <w:multiLevelType w:val="hybridMultilevel"/>
    <w:tmpl w:val="F404F3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7846580F"/>
    <w:multiLevelType w:val="hybridMultilevel"/>
    <w:tmpl w:val="F9C83728"/>
    <w:lvl w:ilvl="0" w:tplc="899A435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788E3B20"/>
    <w:multiLevelType w:val="hybridMultilevel"/>
    <w:tmpl w:val="112E6D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789122E3"/>
    <w:multiLevelType w:val="hybridMultilevel"/>
    <w:tmpl w:val="467C863C"/>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6" w15:restartNumberingAfterBreak="0">
    <w:nsid w:val="7999327F"/>
    <w:multiLevelType w:val="hybridMultilevel"/>
    <w:tmpl w:val="D1F8D0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7AA27EBE"/>
    <w:multiLevelType w:val="hybridMultilevel"/>
    <w:tmpl w:val="3E6E59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7CEE1161"/>
    <w:multiLevelType w:val="hybridMultilevel"/>
    <w:tmpl w:val="1430D06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7D9E6896"/>
    <w:multiLevelType w:val="hybridMultilevel"/>
    <w:tmpl w:val="2F3A09AA"/>
    <w:lvl w:ilvl="0" w:tplc="FEFCCAA2">
      <w:numFmt w:val="bullet"/>
      <w:lvlText w:val="•"/>
      <w:lvlJc w:val="left"/>
      <w:pPr>
        <w:ind w:left="1065" w:hanging="705"/>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0"/>
  </w:num>
  <w:num w:numId="2">
    <w:abstractNumId w:val="29"/>
  </w:num>
  <w:num w:numId="3">
    <w:abstractNumId w:val="55"/>
  </w:num>
  <w:num w:numId="4">
    <w:abstractNumId w:val="19"/>
  </w:num>
  <w:num w:numId="5">
    <w:abstractNumId w:val="47"/>
  </w:num>
  <w:num w:numId="6">
    <w:abstractNumId w:val="31"/>
  </w:num>
  <w:num w:numId="7">
    <w:abstractNumId w:val="52"/>
  </w:num>
  <w:num w:numId="8">
    <w:abstractNumId w:val="50"/>
  </w:num>
  <w:num w:numId="9">
    <w:abstractNumId w:val="40"/>
  </w:num>
  <w:num w:numId="10">
    <w:abstractNumId w:val="9"/>
  </w:num>
  <w:num w:numId="11">
    <w:abstractNumId w:val="58"/>
  </w:num>
  <w:num w:numId="12">
    <w:abstractNumId w:val="48"/>
  </w:num>
  <w:num w:numId="13">
    <w:abstractNumId w:val="8"/>
  </w:num>
  <w:num w:numId="14">
    <w:abstractNumId w:val="42"/>
  </w:num>
  <w:num w:numId="15">
    <w:abstractNumId w:val="24"/>
  </w:num>
  <w:num w:numId="16">
    <w:abstractNumId w:val="49"/>
  </w:num>
  <w:num w:numId="17">
    <w:abstractNumId w:val="6"/>
  </w:num>
  <w:num w:numId="18">
    <w:abstractNumId w:val="1"/>
  </w:num>
  <w:num w:numId="19">
    <w:abstractNumId w:val="13"/>
  </w:num>
  <w:num w:numId="20">
    <w:abstractNumId w:val="45"/>
  </w:num>
  <w:num w:numId="21">
    <w:abstractNumId w:val="18"/>
  </w:num>
  <w:num w:numId="22">
    <w:abstractNumId w:val="46"/>
  </w:num>
  <w:num w:numId="23">
    <w:abstractNumId w:val="32"/>
  </w:num>
  <w:num w:numId="24">
    <w:abstractNumId w:val="10"/>
  </w:num>
  <w:num w:numId="25">
    <w:abstractNumId w:val="37"/>
  </w:num>
  <w:num w:numId="26">
    <w:abstractNumId w:val="28"/>
  </w:num>
  <w:num w:numId="27">
    <w:abstractNumId w:val="51"/>
  </w:num>
  <w:num w:numId="28">
    <w:abstractNumId w:val="0"/>
  </w:num>
  <w:num w:numId="29">
    <w:abstractNumId w:val="3"/>
  </w:num>
  <w:num w:numId="30">
    <w:abstractNumId w:val="15"/>
  </w:num>
  <w:num w:numId="31">
    <w:abstractNumId w:val="12"/>
  </w:num>
  <w:num w:numId="32">
    <w:abstractNumId w:val="17"/>
  </w:num>
  <w:num w:numId="33">
    <w:abstractNumId w:val="36"/>
  </w:num>
  <w:num w:numId="34">
    <w:abstractNumId w:val="26"/>
  </w:num>
  <w:num w:numId="35">
    <w:abstractNumId w:val="33"/>
  </w:num>
  <w:num w:numId="36">
    <w:abstractNumId w:val="21"/>
  </w:num>
  <w:num w:numId="37">
    <w:abstractNumId w:val="7"/>
  </w:num>
  <w:num w:numId="38">
    <w:abstractNumId w:val="57"/>
  </w:num>
  <w:num w:numId="39">
    <w:abstractNumId w:val="25"/>
  </w:num>
  <w:num w:numId="40">
    <w:abstractNumId w:val="5"/>
  </w:num>
  <w:num w:numId="41">
    <w:abstractNumId w:val="35"/>
  </w:num>
  <w:num w:numId="42">
    <w:abstractNumId w:val="14"/>
  </w:num>
  <w:num w:numId="43">
    <w:abstractNumId w:val="44"/>
  </w:num>
  <w:num w:numId="44">
    <w:abstractNumId w:val="27"/>
  </w:num>
  <w:num w:numId="45">
    <w:abstractNumId w:val="56"/>
  </w:num>
  <w:num w:numId="46">
    <w:abstractNumId w:val="11"/>
  </w:num>
  <w:num w:numId="47">
    <w:abstractNumId w:val="2"/>
  </w:num>
  <w:num w:numId="48">
    <w:abstractNumId w:val="16"/>
  </w:num>
  <w:num w:numId="49">
    <w:abstractNumId w:val="23"/>
  </w:num>
  <w:num w:numId="50">
    <w:abstractNumId w:val="34"/>
  </w:num>
  <w:num w:numId="51">
    <w:abstractNumId w:val="43"/>
  </w:num>
  <w:num w:numId="52">
    <w:abstractNumId w:val="30"/>
    <w:lvlOverride w:ilvl="0">
      <w:startOverride w:val="8"/>
    </w:lvlOverride>
    <w:lvlOverride w:ilvl="1">
      <w:startOverride w:val="6"/>
    </w:lvlOverride>
    <w:lvlOverride w:ilvl="2">
      <w:startOverride w:val="1"/>
    </w:lvlOverride>
  </w:num>
  <w:num w:numId="53">
    <w:abstractNumId w:val="54"/>
  </w:num>
  <w:num w:numId="54">
    <w:abstractNumId w:val="39"/>
  </w:num>
  <w:num w:numId="55">
    <w:abstractNumId w:val="38"/>
  </w:num>
  <w:num w:numId="56">
    <w:abstractNumId w:val="53"/>
  </w:num>
  <w:num w:numId="57">
    <w:abstractNumId w:val="22"/>
  </w:num>
  <w:num w:numId="58">
    <w:abstractNumId w:val="59"/>
  </w:num>
  <w:num w:numId="59">
    <w:abstractNumId w:val="4"/>
  </w:num>
  <w:num w:numId="60">
    <w:abstractNumId w:val="41"/>
  </w:num>
  <w:num w:numId="61">
    <w:abstractNumId w:val="20"/>
  </w:num>
  <w:num w:numId="62">
    <w:abstractNumId w:val="3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activeWritingStyle w:appName="MSWord" w:lang="ru-RU" w:vendorID="64" w:dllVersion="6" w:nlCheck="1" w:checkStyle="0"/>
  <w:activeWritingStyle w:appName="MSWord" w:lang="en-US" w:vendorID="64" w:dllVersion="6" w:nlCheck="1" w:checkStyle="0"/>
  <w:activeWritingStyle w:appName="MSWord" w:lang="en-US" w:vendorID="64" w:dllVersion="4096" w:nlCheck="1" w:checkStyle="0"/>
  <w:defaultTabStop w:val="709"/>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8FF"/>
    <w:rsid w:val="000002D8"/>
    <w:rsid w:val="0000043F"/>
    <w:rsid w:val="00000D0F"/>
    <w:rsid w:val="000010A1"/>
    <w:rsid w:val="0000156B"/>
    <w:rsid w:val="00001710"/>
    <w:rsid w:val="00001A27"/>
    <w:rsid w:val="00001EDE"/>
    <w:rsid w:val="0000389C"/>
    <w:rsid w:val="00004131"/>
    <w:rsid w:val="00004968"/>
    <w:rsid w:val="000060DC"/>
    <w:rsid w:val="000063AD"/>
    <w:rsid w:val="00006851"/>
    <w:rsid w:val="000076F7"/>
    <w:rsid w:val="00007834"/>
    <w:rsid w:val="000114F0"/>
    <w:rsid w:val="0001294E"/>
    <w:rsid w:val="00014095"/>
    <w:rsid w:val="00015287"/>
    <w:rsid w:val="00015486"/>
    <w:rsid w:val="000155D9"/>
    <w:rsid w:val="00015EEA"/>
    <w:rsid w:val="00015FE4"/>
    <w:rsid w:val="0001621A"/>
    <w:rsid w:val="00016A31"/>
    <w:rsid w:val="00016EA7"/>
    <w:rsid w:val="00016EE0"/>
    <w:rsid w:val="00017CF4"/>
    <w:rsid w:val="00020164"/>
    <w:rsid w:val="00020682"/>
    <w:rsid w:val="0002081E"/>
    <w:rsid w:val="00020BD4"/>
    <w:rsid w:val="0002158E"/>
    <w:rsid w:val="0002193F"/>
    <w:rsid w:val="00022B18"/>
    <w:rsid w:val="00023150"/>
    <w:rsid w:val="00023501"/>
    <w:rsid w:val="000237F8"/>
    <w:rsid w:val="00024F6F"/>
    <w:rsid w:val="000260E1"/>
    <w:rsid w:val="00027254"/>
    <w:rsid w:val="0002788A"/>
    <w:rsid w:val="00030BF5"/>
    <w:rsid w:val="00031769"/>
    <w:rsid w:val="0003236A"/>
    <w:rsid w:val="0003305A"/>
    <w:rsid w:val="00033535"/>
    <w:rsid w:val="00033801"/>
    <w:rsid w:val="00034091"/>
    <w:rsid w:val="000351E7"/>
    <w:rsid w:val="000352C7"/>
    <w:rsid w:val="0003749F"/>
    <w:rsid w:val="00037730"/>
    <w:rsid w:val="0004208E"/>
    <w:rsid w:val="00042D49"/>
    <w:rsid w:val="00042E65"/>
    <w:rsid w:val="000436DD"/>
    <w:rsid w:val="00043FC6"/>
    <w:rsid w:val="000460F3"/>
    <w:rsid w:val="0004635E"/>
    <w:rsid w:val="00046389"/>
    <w:rsid w:val="000475A8"/>
    <w:rsid w:val="00047C7A"/>
    <w:rsid w:val="00050199"/>
    <w:rsid w:val="000507E5"/>
    <w:rsid w:val="0005110B"/>
    <w:rsid w:val="0005126A"/>
    <w:rsid w:val="0005143B"/>
    <w:rsid w:val="000523D0"/>
    <w:rsid w:val="00053578"/>
    <w:rsid w:val="000536EA"/>
    <w:rsid w:val="00054050"/>
    <w:rsid w:val="00054633"/>
    <w:rsid w:val="000547AA"/>
    <w:rsid w:val="000556A9"/>
    <w:rsid w:val="00055716"/>
    <w:rsid w:val="00056031"/>
    <w:rsid w:val="00056268"/>
    <w:rsid w:val="00056B3F"/>
    <w:rsid w:val="00056C5E"/>
    <w:rsid w:val="000575DC"/>
    <w:rsid w:val="000575FC"/>
    <w:rsid w:val="00057A32"/>
    <w:rsid w:val="0006066D"/>
    <w:rsid w:val="00061301"/>
    <w:rsid w:val="00061A17"/>
    <w:rsid w:val="00062DA0"/>
    <w:rsid w:val="00063FF4"/>
    <w:rsid w:val="0006454E"/>
    <w:rsid w:val="00064552"/>
    <w:rsid w:val="00064B43"/>
    <w:rsid w:val="00064C5A"/>
    <w:rsid w:val="00065C1D"/>
    <w:rsid w:val="00065CB7"/>
    <w:rsid w:val="00066334"/>
    <w:rsid w:val="000663AF"/>
    <w:rsid w:val="00066F7B"/>
    <w:rsid w:val="00067CE9"/>
    <w:rsid w:val="00070269"/>
    <w:rsid w:val="00071F73"/>
    <w:rsid w:val="0007231D"/>
    <w:rsid w:val="00072351"/>
    <w:rsid w:val="00073575"/>
    <w:rsid w:val="00073DCB"/>
    <w:rsid w:val="00075CD9"/>
    <w:rsid w:val="00076FC8"/>
    <w:rsid w:val="00077013"/>
    <w:rsid w:val="00077240"/>
    <w:rsid w:val="00077667"/>
    <w:rsid w:val="000778A5"/>
    <w:rsid w:val="00077F21"/>
    <w:rsid w:val="00077F9A"/>
    <w:rsid w:val="00080026"/>
    <w:rsid w:val="00082F94"/>
    <w:rsid w:val="00084221"/>
    <w:rsid w:val="00084C8C"/>
    <w:rsid w:val="00086FAA"/>
    <w:rsid w:val="00087785"/>
    <w:rsid w:val="000901B0"/>
    <w:rsid w:val="00090B00"/>
    <w:rsid w:val="000927B2"/>
    <w:rsid w:val="00092B7F"/>
    <w:rsid w:val="00092D27"/>
    <w:rsid w:val="00092DC5"/>
    <w:rsid w:val="0009540C"/>
    <w:rsid w:val="000958F4"/>
    <w:rsid w:val="00097625"/>
    <w:rsid w:val="00097BDC"/>
    <w:rsid w:val="00097DC3"/>
    <w:rsid w:val="000A05F8"/>
    <w:rsid w:val="000A0CEB"/>
    <w:rsid w:val="000A15B0"/>
    <w:rsid w:val="000A1A5F"/>
    <w:rsid w:val="000A55EF"/>
    <w:rsid w:val="000A69A5"/>
    <w:rsid w:val="000B0C71"/>
    <w:rsid w:val="000B2771"/>
    <w:rsid w:val="000B2B17"/>
    <w:rsid w:val="000B5D24"/>
    <w:rsid w:val="000B721A"/>
    <w:rsid w:val="000C0014"/>
    <w:rsid w:val="000C0243"/>
    <w:rsid w:val="000C0E07"/>
    <w:rsid w:val="000C14AD"/>
    <w:rsid w:val="000C27D4"/>
    <w:rsid w:val="000C2B58"/>
    <w:rsid w:val="000C390F"/>
    <w:rsid w:val="000C41C4"/>
    <w:rsid w:val="000C5234"/>
    <w:rsid w:val="000C5923"/>
    <w:rsid w:val="000C5F3D"/>
    <w:rsid w:val="000C739F"/>
    <w:rsid w:val="000C7567"/>
    <w:rsid w:val="000D010C"/>
    <w:rsid w:val="000D082B"/>
    <w:rsid w:val="000D0833"/>
    <w:rsid w:val="000D0C51"/>
    <w:rsid w:val="000D1F64"/>
    <w:rsid w:val="000D1F68"/>
    <w:rsid w:val="000D2484"/>
    <w:rsid w:val="000D5597"/>
    <w:rsid w:val="000D6D09"/>
    <w:rsid w:val="000D7059"/>
    <w:rsid w:val="000D786B"/>
    <w:rsid w:val="000E06DF"/>
    <w:rsid w:val="000E0C0A"/>
    <w:rsid w:val="000E25F3"/>
    <w:rsid w:val="000E2E7D"/>
    <w:rsid w:val="000E3658"/>
    <w:rsid w:val="000E60B2"/>
    <w:rsid w:val="000E60EB"/>
    <w:rsid w:val="000E7290"/>
    <w:rsid w:val="000E7B9D"/>
    <w:rsid w:val="000F0150"/>
    <w:rsid w:val="000F1AE1"/>
    <w:rsid w:val="000F1F40"/>
    <w:rsid w:val="000F5979"/>
    <w:rsid w:val="000F60D1"/>
    <w:rsid w:val="000F6EF0"/>
    <w:rsid w:val="001002FC"/>
    <w:rsid w:val="001004E8"/>
    <w:rsid w:val="001020A4"/>
    <w:rsid w:val="00102B1C"/>
    <w:rsid w:val="00102CFA"/>
    <w:rsid w:val="00102E55"/>
    <w:rsid w:val="00104198"/>
    <w:rsid w:val="001042C7"/>
    <w:rsid w:val="00105BBE"/>
    <w:rsid w:val="00106368"/>
    <w:rsid w:val="001063D3"/>
    <w:rsid w:val="00106D3B"/>
    <w:rsid w:val="00107DD5"/>
    <w:rsid w:val="00107EAC"/>
    <w:rsid w:val="0011069C"/>
    <w:rsid w:val="00111BF2"/>
    <w:rsid w:val="00111EB1"/>
    <w:rsid w:val="001123B6"/>
    <w:rsid w:val="00112B4A"/>
    <w:rsid w:val="00112E2D"/>
    <w:rsid w:val="00113804"/>
    <w:rsid w:val="00116348"/>
    <w:rsid w:val="00117486"/>
    <w:rsid w:val="00117AFF"/>
    <w:rsid w:val="00117CF6"/>
    <w:rsid w:val="00117DB0"/>
    <w:rsid w:val="00120248"/>
    <w:rsid w:val="001202AF"/>
    <w:rsid w:val="00121EB9"/>
    <w:rsid w:val="00121FA5"/>
    <w:rsid w:val="0012291C"/>
    <w:rsid w:val="00122F60"/>
    <w:rsid w:val="00124F76"/>
    <w:rsid w:val="00125D5F"/>
    <w:rsid w:val="00125F7F"/>
    <w:rsid w:val="00125FB0"/>
    <w:rsid w:val="00126BA1"/>
    <w:rsid w:val="001303A4"/>
    <w:rsid w:val="001310EA"/>
    <w:rsid w:val="00131A81"/>
    <w:rsid w:val="001321C3"/>
    <w:rsid w:val="001327EB"/>
    <w:rsid w:val="001340FA"/>
    <w:rsid w:val="0013483B"/>
    <w:rsid w:val="00134857"/>
    <w:rsid w:val="00134C22"/>
    <w:rsid w:val="0013538D"/>
    <w:rsid w:val="001356A2"/>
    <w:rsid w:val="001364C7"/>
    <w:rsid w:val="00136A9D"/>
    <w:rsid w:val="00142135"/>
    <w:rsid w:val="001426AD"/>
    <w:rsid w:val="00142726"/>
    <w:rsid w:val="001447EB"/>
    <w:rsid w:val="00144AF1"/>
    <w:rsid w:val="001462A8"/>
    <w:rsid w:val="001463D6"/>
    <w:rsid w:val="00146737"/>
    <w:rsid w:val="001470CF"/>
    <w:rsid w:val="00147C60"/>
    <w:rsid w:val="00147E7B"/>
    <w:rsid w:val="00151289"/>
    <w:rsid w:val="00151372"/>
    <w:rsid w:val="00151CED"/>
    <w:rsid w:val="00152AE2"/>
    <w:rsid w:val="00153D65"/>
    <w:rsid w:val="00153FC9"/>
    <w:rsid w:val="0015485F"/>
    <w:rsid w:val="00154E0C"/>
    <w:rsid w:val="00155020"/>
    <w:rsid w:val="00155AF4"/>
    <w:rsid w:val="00155B87"/>
    <w:rsid w:val="00155BDC"/>
    <w:rsid w:val="00156803"/>
    <w:rsid w:val="001568D8"/>
    <w:rsid w:val="00156D54"/>
    <w:rsid w:val="00160A1E"/>
    <w:rsid w:val="00160CAB"/>
    <w:rsid w:val="00161DCD"/>
    <w:rsid w:val="00162354"/>
    <w:rsid w:val="001633F9"/>
    <w:rsid w:val="00163741"/>
    <w:rsid w:val="00163983"/>
    <w:rsid w:val="00163BA6"/>
    <w:rsid w:val="001641C5"/>
    <w:rsid w:val="00164C21"/>
    <w:rsid w:val="00165703"/>
    <w:rsid w:val="00167C33"/>
    <w:rsid w:val="00170F28"/>
    <w:rsid w:val="0017145D"/>
    <w:rsid w:val="001716BA"/>
    <w:rsid w:val="0017176B"/>
    <w:rsid w:val="00172A65"/>
    <w:rsid w:val="0017386D"/>
    <w:rsid w:val="00175F22"/>
    <w:rsid w:val="001762EC"/>
    <w:rsid w:val="001773C3"/>
    <w:rsid w:val="00177651"/>
    <w:rsid w:val="0017775D"/>
    <w:rsid w:val="00177A89"/>
    <w:rsid w:val="001807CE"/>
    <w:rsid w:val="0018110D"/>
    <w:rsid w:val="001821CE"/>
    <w:rsid w:val="0018236D"/>
    <w:rsid w:val="0018280E"/>
    <w:rsid w:val="001833D9"/>
    <w:rsid w:val="0018375E"/>
    <w:rsid w:val="001858A4"/>
    <w:rsid w:val="00186520"/>
    <w:rsid w:val="00186C94"/>
    <w:rsid w:val="001875DC"/>
    <w:rsid w:val="00187A7F"/>
    <w:rsid w:val="00190456"/>
    <w:rsid w:val="0019201D"/>
    <w:rsid w:val="00192409"/>
    <w:rsid w:val="00193177"/>
    <w:rsid w:val="00193C23"/>
    <w:rsid w:val="001944D6"/>
    <w:rsid w:val="00194C9A"/>
    <w:rsid w:val="00195895"/>
    <w:rsid w:val="00195D6D"/>
    <w:rsid w:val="00196A00"/>
    <w:rsid w:val="00196F34"/>
    <w:rsid w:val="0019714A"/>
    <w:rsid w:val="001A0816"/>
    <w:rsid w:val="001A0DE0"/>
    <w:rsid w:val="001A238E"/>
    <w:rsid w:val="001A2740"/>
    <w:rsid w:val="001A317D"/>
    <w:rsid w:val="001A56EE"/>
    <w:rsid w:val="001A6D80"/>
    <w:rsid w:val="001A6EF7"/>
    <w:rsid w:val="001B2F38"/>
    <w:rsid w:val="001B3133"/>
    <w:rsid w:val="001B3BEF"/>
    <w:rsid w:val="001B3F66"/>
    <w:rsid w:val="001B49DC"/>
    <w:rsid w:val="001B5FF1"/>
    <w:rsid w:val="001B6037"/>
    <w:rsid w:val="001B6DB6"/>
    <w:rsid w:val="001B792E"/>
    <w:rsid w:val="001B7E3C"/>
    <w:rsid w:val="001C1426"/>
    <w:rsid w:val="001C186C"/>
    <w:rsid w:val="001C191F"/>
    <w:rsid w:val="001C34E6"/>
    <w:rsid w:val="001C350A"/>
    <w:rsid w:val="001C38E3"/>
    <w:rsid w:val="001C42C2"/>
    <w:rsid w:val="001C4892"/>
    <w:rsid w:val="001C5B1B"/>
    <w:rsid w:val="001C5E80"/>
    <w:rsid w:val="001C6F56"/>
    <w:rsid w:val="001C77AD"/>
    <w:rsid w:val="001C7EE5"/>
    <w:rsid w:val="001C7EEA"/>
    <w:rsid w:val="001D0045"/>
    <w:rsid w:val="001D1A4D"/>
    <w:rsid w:val="001D23B0"/>
    <w:rsid w:val="001D23C8"/>
    <w:rsid w:val="001D2554"/>
    <w:rsid w:val="001D2F8F"/>
    <w:rsid w:val="001D3D69"/>
    <w:rsid w:val="001D4DE1"/>
    <w:rsid w:val="001D6311"/>
    <w:rsid w:val="001E0C92"/>
    <w:rsid w:val="001E3374"/>
    <w:rsid w:val="001E3E29"/>
    <w:rsid w:val="001E4DEB"/>
    <w:rsid w:val="001E5AB3"/>
    <w:rsid w:val="001E5D3A"/>
    <w:rsid w:val="001E651F"/>
    <w:rsid w:val="001E69D3"/>
    <w:rsid w:val="001E6A66"/>
    <w:rsid w:val="001E6B83"/>
    <w:rsid w:val="001E6F8F"/>
    <w:rsid w:val="001E7232"/>
    <w:rsid w:val="001E7B26"/>
    <w:rsid w:val="001F0941"/>
    <w:rsid w:val="001F1555"/>
    <w:rsid w:val="001F22BE"/>
    <w:rsid w:val="001F2F81"/>
    <w:rsid w:val="001F358C"/>
    <w:rsid w:val="001F4578"/>
    <w:rsid w:val="001F6468"/>
    <w:rsid w:val="001F6D7D"/>
    <w:rsid w:val="00200B2E"/>
    <w:rsid w:val="00200B57"/>
    <w:rsid w:val="00200F3A"/>
    <w:rsid w:val="00201FC7"/>
    <w:rsid w:val="00202A18"/>
    <w:rsid w:val="00202F6D"/>
    <w:rsid w:val="00203386"/>
    <w:rsid w:val="00203476"/>
    <w:rsid w:val="002042DD"/>
    <w:rsid w:val="00204399"/>
    <w:rsid w:val="002043B0"/>
    <w:rsid w:val="002045FE"/>
    <w:rsid w:val="00204708"/>
    <w:rsid w:val="00204D1A"/>
    <w:rsid w:val="00205B3E"/>
    <w:rsid w:val="00210BF5"/>
    <w:rsid w:val="00210EE5"/>
    <w:rsid w:val="002111CA"/>
    <w:rsid w:val="00211909"/>
    <w:rsid w:val="00212DB3"/>
    <w:rsid w:val="002133AA"/>
    <w:rsid w:val="002142AC"/>
    <w:rsid w:val="00216D62"/>
    <w:rsid w:val="0021726A"/>
    <w:rsid w:val="0021763C"/>
    <w:rsid w:val="00217789"/>
    <w:rsid w:val="002203CC"/>
    <w:rsid w:val="0022046E"/>
    <w:rsid w:val="00220649"/>
    <w:rsid w:val="0022104A"/>
    <w:rsid w:val="0022177C"/>
    <w:rsid w:val="002219B7"/>
    <w:rsid w:val="0022229C"/>
    <w:rsid w:val="00222B17"/>
    <w:rsid w:val="002233F8"/>
    <w:rsid w:val="00223DFF"/>
    <w:rsid w:val="00225C95"/>
    <w:rsid w:val="00226464"/>
    <w:rsid w:val="00226A9D"/>
    <w:rsid w:val="00227A4E"/>
    <w:rsid w:val="0023037D"/>
    <w:rsid w:val="0023176A"/>
    <w:rsid w:val="00231BD2"/>
    <w:rsid w:val="00231C2A"/>
    <w:rsid w:val="00231EF3"/>
    <w:rsid w:val="00232299"/>
    <w:rsid w:val="00232890"/>
    <w:rsid w:val="0023303B"/>
    <w:rsid w:val="00233B45"/>
    <w:rsid w:val="002342F5"/>
    <w:rsid w:val="00234615"/>
    <w:rsid w:val="002348FB"/>
    <w:rsid w:val="00234C53"/>
    <w:rsid w:val="002351EB"/>
    <w:rsid w:val="002366D3"/>
    <w:rsid w:val="00236C6E"/>
    <w:rsid w:val="0023701D"/>
    <w:rsid w:val="0023746C"/>
    <w:rsid w:val="002406B3"/>
    <w:rsid w:val="0024163F"/>
    <w:rsid w:val="00241CA0"/>
    <w:rsid w:val="002433C4"/>
    <w:rsid w:val="0024345B"/>
    <w:rsid w:val="00243D15"/>
    <w:rsid w:val="00244CC0"/>
    <w:rsid w:val="0024536F"/>
    <w:rsid w:val="00245395"/>
    <w:rsid w:val="0024542E"/>
    <w:rsid w:val="00245520"/>
    <w:rsid w:val="00246AA4"/>
    <w:rsid w:val="00246DAF"/>
    <w:rsid w:val="00247AEC"/>
    <w:rsid w:val="00247CAE"/>
    <w:rsid w:val="00251352"/>
    <w:rsid w:val="002518AA"/>
    <w:rsid w:val="00252285"/>
    <w:rsid w:val="00252301"/>
    <w:rsid w:val="0025247C"/>
    <w:rsid w:val="0025360E"/>
    <w:rsid w:val="002546C6"/>
    <w:rsid w:val="002560A9"/>
    <w:rsid w:val="00256272"/>
    <w:rsid w:val="00256534"/>
    <w:rsid w:val="00256F34"/>
    <w:rsid w:val="0025745E"/>
    <w:rsid w:val="00257A55"/>
    <w:rsid w:val="0026072B"/>
    <w:rsid w:val="00261C17"/>
    <w:rsid w:val="002627A0"/>
    <w:rsid w:val="00263D38"/>
    <w:rsid w:val="002647CF"/>
    <w:rsid w:val="002656E4"/>
    <w:rsid w:val="00265870"/>
    <w:rsid w:val="002668D0"/>
    <w:rsid w:val="00267AAE"/>
    <w:rsid w:val="00267ACF"/>
    <w:rsid w:val="00267F4D"/>
    <w:rsid w:val="0027006B"/>
    <w:rsid w:val="00271215"/>
    <w:rsid w:val="00271A9B"/>
    <w:rsid w:val="00272449"/>
    <w:rsid w:val="00273ADE"/>
    <w:rsid w:val="00273BB5"/>
    <w:rsid w:val="00275217"/>
    <w:rsid w:val="0027550F"/>
    <w:rsid w:val="002757E7"/>
    <w:rsid w:val="002759EE"/>
    <w:rsid w:val="00277277"/>
    <w:rsid w:val="00280D79"/>
    <w:rsid w:val="00281BD4"/>
    <w:rsid w:val="00282730"/>
    <w:rsid w:val="00282943"/>
    <w:rsid w:val="00282BF9"/>
    <w:rsid w:val="0028319C"/>
    <w:rsid w:val="0028376A"/>
    <w:rsid w:val="00283794"/>
    <w:rsid w:val="0028529E"/>
    <w:rsid w:val="002866C2"/>
    <w:rsid w:val="00287060"/>
    <w:rsid w:val="002926D0"/>
    <w:rsid w:val="0029384A"/>
    <w:rsid w:val="00293EAB"/>
    <w:rsid w:val="002948B0"/>
    <w:rsid w:val="002959FF"/>
    <w:rsid w:val="00295BDE"/>
    <w:rsid w:val="00297EEB"/>
    <w:rsid w:val="002A1B16"/>
    <w:rsid w:val="002A2A04"/>
    <w:rsid w:val="002A2F57"/>
    <w:rsid w:val="002A30C7"/>
    <w:rsid w:val="002A345D"/>
    <w:rsid w:val="002A7AC5"/>
    <w:rsid w:val="002B043A"/>
    <w:rsid w:val="002B1143"/>
    <w:rsid w:val="002B2BFC"/>
    <w:rsid w:val="002B2F9E"/>
    <w:rsid w:val="002B4DAB"/>
    <w:rsid w:val="002B59BF"/>
    <w:rsid w:val="002B5CAA"/>
    <w:rsid w:val="002B5D0F"/>
    <w:rsid w:val="002B5E88"/>
    <w:rsid w:val="002B5EED"/>
    <w:rsid w:val="002B6457"/>
    <w:rsid w:val="002B6479"/>
    <w:rsid w:val="002B6948"/>
    <w:rsid w:val="002B78D6"/>
    <w:rsid w:val="002B7BCF"/>
    <w:rsid w:val="002C09AA"/>
    <w:rsid w:val="002C1E19"/>
    <w:rsid w:val="002C1EBA"/>
    <w:rsid w:val="002C26CD"/>
    <w:rsid w:val="002C2B6E"/>
    <w:rsid w:val="002C30A6"/>
    <w:rsid w:val="002C39AF"/>
    <w:rsid w:val="002C3E90"/>
    <w:rsid w:val="002C4595"/>
    <w:rsid w:val="002C5486"/>
    <w:rsid w:val="002C5FD0"/>
    <w:rsid w:val="002C6384"/>
    <w:rsid w:val="002C7640"/>
    <w:rsid w:val="002C7B00"/>
    <w:rsid w:val="002D069B"/>
    <w:rsid w:val="002D0CB9"/>
    <w:rsid w:val="002D1004"/>
    <w:rsid w:val="002D1B4C"/>
    <w:rsid w:val="002D26B0"/>
    <w:rsid w:val="002D3209"/>
    <w:rsid w:val="002D3E83"/>
    <w:rsid w:val="002D467C"/>
    <w:rsid w:val="002D4AD9"/>
    <w:rsid w:val="002D61F1"/>
    <w:rsid w:val="002D7056"/>
    <w:rsid w:val="002E10C4"/>
    <w:rsid w:val="002E10D6"/>
    <w:rsid w:val="002E13ED"/>
    <w:rsid w:val="002E20E6"/>
    <w:rsid w:val="002E3EE4"/>
    <w:rsid w:val="002E4408"/>
    <w:rsid w:val="002E4D16"/>
    <w:rsid w:val="002E5699"/>
    <w:rsid w:val="002E59DD"/>
    <w:rsid w:val="002E6BA7"/>
    <w:rsid w:val="002E7025"/>
    <w:rsid w:val="002E7156"/>
    <w:rsid w:val="002E738B"/>
    <w:rsid w:val="002E7D61"/>
    <w:rsid w:val="002F03BE"/>
    <w:rsid w:val="002F06E7"/>
    <w:rsid w:val="002F0D30"/>
    <w:rsid w:val="002F1B18"/>
    <w:rsid w:val="002F2BA9"/>
    <w:rsid w:val="002F3A92"/>
    <w:rsid w:val="002F3B7A"/>
    <w:rsid w:val="002F3FFE"/>
    <w:rsid w:val="002F64A4"/>
    <w:rsid w:val="002F6967"/>
    <w:rsid w:val="002F6ECB"/>
    <w:rsid w:val="002F7355"/>
    <w:rsid w:val="002F7A0A"/>
    <w:rsid w:val="002F7E81"/>
    <w:rsid w:val="003007EE"/>
    <w:rsid w:val="00302E28"/>
    <w:rsid w:val="00303339"/>
    <w:rsid w:val="00303D68"/>
    <w:rsid w:val="00304368"/>
    <w:rsid w:val="00304D86"/>
    <w:rsid w:val="00306BC1"/>
    <w:rsid w:val="00312EB7"/>
    <w:rsid w:val="003137E9"/>
    <w:rsid w:val="00314E5C"/>
    <w:rsid w:val="003153D5"/>
    <w:rsid w:val="00315AE1"/>
    <w:rsid w:val="00315E42"/>
    <w:rsid w:val="003169E6"/>
    <w:rsid w:val="003173C3"/>
    <w:rsid w:val="00317FD1"/>
    <w:rsid w:val="003219ED"/>
    <w:rsid w:val="0032277F"/>
    <w:rsid w:val="00322BBB"/>
    <w:rsid w:val="0032383A"/>
    <w:rsid w:val="00323E4E"/>
    <w:rsid w:val="0032411D"/>
    <w:rsid w:val="00324F1D"/>
    <w:rsid w:val="00325293"/>
    <w:rsid w:val="00326152"/>
    <w:rsid w:val="00327B72"/>
    <w:rsid w:val="0033109B"/>
    <w:rsid w:val="003316F4"/>
    <w:rsid w:val="00333861"/>
    <w:rsid w:val="003346B7"/>
    <w:rsid w:val="00336E76"/>
    <w:rsid w:val="003372BA"/>
    <w:rsid w:val="0034002B"/>
    <w:rsid w:val="003403C6"/>
    <w:rsid w:val="00340652"/>
    <w:rsid w:val="00340984"/>
    <w:rsid w:val="003414D7"/>
    <w:rsid w:val="00341F48"/>
    <w:rsid w:val="0034215C"/>
    <w:rsid w:val="003421E2"/>
    <w:rsid w:val="0034226C"/>
    <w:rsid w:val="00342A51"/>
    <w:rsid w:val="00343279"/>
    <w:rsid w:val="00343DD9"/>
    <w:rsid w:val="00344178"/>
    <w:rsid w:val="00345303"/>
    <w:rsid w:val="003456A3"/>
    <w:rsid w:val="003468F5"/>
    <w:rsid w:val="00346CA7"/>
    <w:rsid w:val="003475E7"/>
    <w:rsid w:val="0035054A"/>
    <w:rsid w:val="00350C0E"/>
    <w:rsid w:val="00350E4B"/>
    <w:rsid w:val="00351AC8"/>
    <w:rsid w:val="003521C2"/>
    <w:rsid w:val="0035314A"/>
    <w:rsid w:val="00354F85"/>
    <w:rsid w:val="003558AB"/>
    <w:rsid w:val="00355981"/>
    <w:rsid w:val="00355B4D"/>
    <w:rsid w:val="00357B72"/>
    <w:rsid w:val="0036052B"/>
    <w:rsid w:val="00360BFC"/>
    <w:rsid w:val="00360FE2"/>
    <w:rsid w:val="003612AA"/>
    <w:rsid w:val="003620A2"/>
    <w:rsid w:val="003620CD"/>
    <w:rsid w:val="00362BD5"/>
    <w:rsid w:val="00363A82"/>
    <w:rsid w:val="00363E19"/>
    <w:rsid w:val="003647D5"/>
    <w:rsid w:val="00364C83"/>
    <w:rsid w:val="00364CEF"/>
    <w:rsid w:val="00364FCA"/>
    <w:rsid w:val="00365234"/>
    <w:rsid w:val="00365A81"/>
    <w:rsid w:val="00366082"/>
    <w:rsid w:val="003663A3"/>
    <w:rsid w:val="00366479"/>
    <w:rsid w:val="00367CD0"/>
    <w:rsid w:val="00367F7E"/>
    <w:rsid w:val="0037011C"/>
    <w:rsid w:val="0037141E"/>
    <w:rsid w:val="003721AB"/>
    <w:rsid w:val="003722FF"/>
    <w:rsid w:val="003728F1"/>
    <w:rsid w:val="003742E3"/>
    <w:rsid w:val="0037519E"/>
    <w:rsid w:val="00375686"/>
    <w:rsid w:val="003771FB"/>
    <w:rsid w:val="003825D4"/>
    <w:rsid w:val="0038292C"/>
    <w:rsid w:val="00382B22"/>
    <w:rsid w:val="00382DD2"/>
    <w:rsid w:val="00382F64"/>
    <w:rsid w:val="00383F04"/>
    <w:rsid w:val="003847C8"/>
    <w:rsid w:val="00385011"/>
    <w:rsid w:val="00385A30"/>
    <w:rsid w:val="00390858"/>
    <w:rsid w:val="00390E86"/>
    <w:rsid w:val="00390FD1"/>
    <w:rsid w:val="00391A75"/>
    <w:rsid w:val="00391D4B"/>
    <w:rsid w:val="00392E36"/>
    <w:rsid w:val="003933D5"/>
    <w:rsid w:val="00393F52"/>
    <w:rsid w:val="003949FD"/>
    <w:rsid w:val="00394C9E"/>
    <w:rsid w:val="00394E09"/>
    <w:rsid w:val="00395F91"/>
    <w:rsid w:val="003A0323"/>
    <w:rsid w:val="003A0598"/>
    <w:rsid w:val="003A1C85"/>
    <w:rsid w:val="003A26DA"/>
    <w:rsid w:val="003A2FBA"/>
    <w:rsid w:val="003A3050"/>
    <w:rsid w:val="003A3E02"/>
    <w:rsid w:val="003A4091"/>
    <w:rsid w:val="003A4358"/>
    <w:rsid w:val="003A4BD8"/>
    <w:rsid w:val="003A4C01"/>
    <w:rsid w:val="003A4DFA"/>
    <w:rsid w:val="003A5C81"/>
    <w:rsid w:val="003A6247"/>
    <w:rsid w:val="003A6811"/>
    <w:rsid w:val="003A698B"/>
    <w:rsid w:val="003B1507"/>
    <w:rsid w:val="003B2563"/>
    <w:rsid w:val="003B25E0"/>
    <w:rsid w:val="003B29F7"/>
    <w:rsid w:val="003B2D8F"/>
    <w:rsid w:val="003B2E50"/>
    <w:rsid w:val="003B31CE"/>
    <w:rsid w:val="003B4CD5"/>
    <w:rsid w:val="003B56CE"/>
    <w:rsid w:val="003B5FA8"/>
    <w:rsid w:val="003B6456"/>
    <w:rsid w:val="003B6713"/>
    <w:rsid w:val="003B6AC6"/>
    <w:rsid w:val="003B6D5E"/>
    <w:rsid w:val="003B72D4"/>
    <w:rsid w:val="003B7B62"/>
    <w:rsid w:val="003C0D85"/>
    <w:rsid w:val="003C123B"/>
    <w:rsid w:val="003C1C63"/>
    <w:rsid w:val="003C1EE2"/>
    <w:rsid w:val="003C1EF6"/>
    <w:rsid w:val="003C2335"/>
    <w:rsid w:val="003C2E55"/>
    <w:rsid w:val="003C3298"/>
    <w:rsid w:val="003C3608"/>
    <w:rsid w:val="003C39F6"/>
    <w:rsid w:val="003C3DFF"/>
    <w:rsid w:val="003C46DD"/>
    <w:rsid w:val="003C49BE"/>
    <w:rsid w:val="003C6A49"/>
    <w:rsid w:val="003C7640"/>
    <w:rsid w:val="003D0B32"/>
    <w:rsid w:val="003D13B3"/>
    <w:rsid w:val="003D2183"/>
    <w:rsid w:val="003D2219"/>
    <w:rsid w:val="003D2240"/>
    <w:rsid w:val="003D3917"/>
    <w:rsid w:val="003D5061"/>
    <w:rsid w:val="003D544B"/>
    <w:rsid w:val="003D6056"/>
    <w:rsid w:val="003D6639"/>
    <w:rsid w:val="003E0F31"/>
    <w:rsid w:val="003E152D"/>
    <w:rsid w:val="003E2916"/>
    <w:rsid w:val="003E31DF"/>
    <w:rsid w:val="003E3FF6"/>
    <w:rsid w:val="003E467E"/>
    <w:rsid w:val="003E4ED7"/>
    <w:rsid w:val="003E58FE"/>
    <w:rsid w:val="003E5DC1"/>
    <w:rsid w:val="003E6306"/>
    <w:rsid w:val="003E6316"/>
    <w:rsid w:val="003E75BA"/>
    <w:rsid w:val="003F0B9D"/>
    <w:rsid w:val="003F26CD"/>
    <w:rsid w:val="003F2CD6"/>
    <w:rsid w:val="003F2FB0"/>
    <w:rsid w:val="003F30CB"/>
    <w:rsid w:val="003F431D"/>
    <w:rsid w:val="003F5339"/>
    <w:rsid w:val="003F58F0"/>
    <w:rsid w:val="003F5E0F"/>
    <w:rsid w:val="003F6586"/>
    <w:rsid w:val="003F6E35"/>
    <w:rsid w:val="003F75F7"/>
    <w:rsid w:val="003F7C9F"/>
    <w:rsid w:val="004000A7"/>
    <w:rsid w:val="00400340"/>
    <w:rsid w:val="00402847"/>
    <w:rsid w:val="004029AE"/>
    <w:rsid w:val="00402B11"/>
    <w:rsid w:val="0040320D"/>
    <w:rsid w:val="00403625"/>
    <w:rsid w:val="00404410"/>
    <w:rsid w:val="004049B6"/>
    <w:rsid w:val="00404C01"/>
    <w:rsid w:val="00404C4D"/>
    <w:rsid w:val="00404F1F"/>
    <w:rsid w:val="0040557D"/>
    <w:rsid w:val="004058CB"/>
    <w:rsid w:val="00410291"/>
    <w:rsid w:val="0041078B"/>
    <w:rsid w:val="004114E8"/>
    <w:rsid w:val="0041199A"/>
    <w:rsid w:val="00412593"/>
    <w:rsid w:val="00412F63"/>
    <w:rsid w:val="00413DE0"/>
    <w:rsid w:val="0041589D"/>
    <w:rsid w:val="00415972"/>
    <w:rsid w:val="00416352"/>
    <w:rsid w:val="00416920"/>
    <w:rsid w:val="00417162"/>
    <w:rsid w:val="004174B6"/>
    <w:rsid w:val="0042070A"/>
    <w:rsid w:val="00420EE9"/>
    <w:rsid w:val="00421784"/>
    <w:rsid w:val="00422CC3"/>
    <w:rsid w:val="00423134"/>
    <w:rsid w:val="00423972"/>
    <w:rsid w:val="00425A6C"/>
    <w:rsid w:val="004269FF"/>
    <w:rsid w:val="004271B8"/>
    <w:rsid w:val="004275CD"/>
    <w:rsid w:val="004276F4"/>
    <w:rsid w:val="00427882"/>
    <w:rsid w:val="004279D0"/>
    <w:rsid w:val="004279FC"/>
    <w:rsid w:val="00430E37"/>
    <w:rsid w:val="00431353"/>
    <w:rsid w:val="004319D1"/>
    <w:rsid w:val="00434492"/>
    <w:rsid w:val="00437BFE"/>
    <w:rsid w:val="00441438"/>
    <w:rsid w:val="004416B6"/>
    <w:rsid w:val="004421AC"/>
    <w:rsid w:val="00442D07"/>
    <w:rsid w:val="00443809"/>
    <w:rsid w:val="00443D6A"/>
    <w:rsid w:val="00446BF9"/>
    <w:rsid w:val="004476E2"/>
    <w:rsid w:val="00451881"/>
    <w:rsid w:val="00452359"/>
    <w:rsid w:val="00452C94"/>
    <w:rsid w:val="0045326F"/>
    <w:rsid w:val="00454FC6"/>
    <w:rsid w:val="00457824"/>
    <w:rsid w:val="004628DC"/>
    <w:rsid w:val="00466ACC"/>
    <w:rsid w:val="00466DB6"/>
    <w:rsid w:val="004674D5"/>
    <w:rsid w:val="004675A0"/>
    <w:rsid w:val="00467C12"/>
    <w:rsid w:val="0047088F"/>
    <w:rsid w:val="00471654"/>
    <w:rsid w:val="00471B04"/>
    <w:rsid w:val="00472145"/>
    <w:rsid w:val="00472F7B"/>
    <w:rsid w:val="00473401"/>
    <w:rsid w:val="00475E3A"/>
    <w:rsid w:val="00475FB4"/>
    <w:rsid w:val="00476579"/>
    <w:rsid w:val="00476D40"/>
    <w:rsid w:val="00480978"/>
    <w:rsid w:val="00481ABC"/>
    <w:rsid w:val="0048224A"/>
    <w:rsid w:val="004834B5"/>
    <w:rsid w:val="004847CE"/>
    <w:rsid w:val="00484F83"/>
    <w:rsid w:val="00485C44"/>
    <w:rsid w:val="00485D46"/>
    <w:rsid w:val="004860BD"/>
    <w:rsid w:val="0048653E"/>
    <w:rsid w:val="00487AEF"/>
    <w:rsid w:val="0049012F"/>
    <w:rsid w:val="00490934"/>
    <w:rsid w:val="00491756"/>
    <w:rsid w:val="00492A7F"/>
    <w:rsid w:val="00492F0B"/>
    <w:rsid w:val="0049310A"/>
    <w:rsid w:val="00494C2D"/>
    <w:rsid w:val="0049536C"/>
    <w:rsid w:val="004956BC"/>
    <w:rsid w:val="00496336"/>
    <w:rsid w:val="004968A6"/>
    <w:rsid w:val="00496D45"/>
    <w:rsid w:val="004974CB"/>
    <w:rsid w:val="00497D1A"/>
    <w:rsid w:val="00497EA4"/>
    <w:rsid w:val="004A104C"/>
    <w:rsid w:val="004A1732"/>
    <w:rsid w:val="004A197C"/>
    <w:rsid w:val="004A1AD5"/>
    <w:rsid w:val="004A2A65"/>
    <w:rsid w:val="004A2DBB"/>
    <w:rsid w:val="004A34BF"/>
    <w:rsid w:val="004A39DB"/>
    <w:rsid w:val="004A4095"/>
    <w:rsid w:val="004A6549"/>
    <w:rsid w:val="004A7174"/>
    <w:rsid w:val="004A75CF"/>
    <w:rsid w:val="004A7BFE"/>
    <w:rsid w:val="004A7D09"/>
    <w:rsid w:val="004B07AD"/>
    <w:rsid w:val="004B127F"/>
    <w:rsid w:val="004B135D"/>
    <w:rsid w:val="004B1D77"/>
    <w:rsid w:val="004B2041"/>
    <w:rsid w:val="004B2477"/>
    <w:rsid w:val="004B2744"/>
    <w:rsid w:val="004B3061"/>
    <w:rsid w:val="004B3B77"/>
    <w:rsid w:val="004B44E9"/>
    <w:rsid w:val="004B4717"/>
    <w:rsid w:val="004B4B8E"/>
    <w:rsid w:val="004B5A84"/>
    <w:rsid w:val="004B7FFA"/>
    <w:rsid w:val="004C0E53"/>
    <w:rsid w:val="004C1162"/>
    <w:rsid w:val="004C16C4"/>
    <w:rsid w:val="004C3204"/>
    <w:rsid w:val="004C4B8B"/>
    <w:rsid w:val="004C52CC"/>
    <w:rsid w:val="004C5FA4"/>
    <w:rsid w:val="004C647C"/>
    <w:rsid w:val="004C6BCA"/>
    <w:rsid w:val="004D0065"/>
    <w:rsid w:val="004D14A0"/>
    <w:rsid w:val="004D1D1B"/>
    <w:rsid w:val="004D1E79"/>
    <w:rsid w:val="004D20A1"/>
    <w:rsid w:val="004D2341"/>
    <w:rsid w:val="004D271E"/>
    <w:rsid w:val="004D3828"/>
    <w:rsid w:val="004D3D5E"/>
    <w:rsid w:val="004D5546"/>
    <w:rsid w:val="004D5561"/>
    <w:rsid w:val="004D6CA0"/>
    <w:rsid w:val="004D6E76"/>
    <w:rsid w:val="004D7024"/>
    <w:rsid w:val="004D7416"/>
    <w:rsid w:val="004D78BA"/>
    <w:rsid w:val="004E0990"/>
    <w:rsid w:val="004E1C96"/>
    <w:rsid w:val="004E1CBB"/>
    <w:rsid w:val="004E20A2"/>
    <w:rsid w:val="004E22B2"/>
    <w:rsid w:val="004E24EB"/>
    <w:rsid w:val="004E28BA"/>
    <w:rsid w:val="004E29FD"/>
    <w:rsid w:val="004E410C"/>
    <w:rsid w:val="004E5FCB"/>
    <w:rsid w:val="004E66E1"/>
    <w:rsid w:val="004E6E99"/>
    <w:rsid w:val="004E760F"/>
    <w:rsid w:val="004F053D"/>
    <w:rsid w:val="004F183B"/>
    <w:rsid w:val="004F1974"/>
    <w:rsid w:val="004F1A3F"/>
    <w:rsid w:val="004F1A55"/>
    <w:rsid w:val="004F2545"/>
    <w:rsid w:val="004F29C0"/>
    <w:rsid w:val="004F382A"/>
    <w:rsid w:val="004F3E43"/>
    <w:rsid w:val="004F5A74"/>
    <w:rsid w:val="004F5B8B"/>
    <w:rsid w:val="004F78CA"/>
    <w:rsid w:val="00500D02"/>
    <w:rsid w:val="0050126B"/>
    <w:rsid w:val="00501961"/>
    <w:rsid w:val="00501F3D"/>
    <w:rsid w:val="005023D5"/>
    <w:rsid w:val="00502A67"/>
    <w:rsid w:val="005048F6"/>
    <w:rsid w:val="005055DC"/>
    <w:rsid w:val="00505A38"/>
    <w:rsid w:val="00506E2A"/>
    <w:rsid w:val="0050728B"/>
    <w:rsid w:val="00507A36"/>
    <w:rsid w:val="00510011"/>
    <w:rsid w:val="0051072C"/>
    <w:rsid w:val="00511216"/>
    <w:rsid w:val="00513751"/>
    <w:rsid w:val="00513782"/>
    <w:rsid w:val="00513E6A"/>
    <w:rsid w:val="00513EEB"/>
    <w:rsid w:val="00515CBC"/>
    <w:rsid w:val="00515F4B"/>
    <w:rsid w:val="00517A8C"/>
    <w:rsid w:val="00521CF0"/>
    <w:rsid w:val="00523E81"/>
    <w:rsid w:val="00524641"/>
    <w:rsid w:val="00524FD9"/>
    <w:rsid w:val="00525BC2"/>
    <w:rsid w:val="00525F34"/>
    <w:rsid w:val="00525F4F"/>
    <w:rsid w:val="00526110"/>
    <w:rsid w:val="0052666E"/>
    <w:rsid w:val="005266F6"/>
    <w:rsid w:val="00527166"/>
    <w:rsid w:val="00530A59"/>
    <w:rsid w:val="005314EF"/>
    <w:rsid w:val="005318BC"/>
    <w:rsid w:val="00531BD7"/>
    <w:rsid w:val="00532506"/>
    <w:rsid w:val="00533344"/>
    <w:rsid w:val="005358A4"/>
    <w:rsid w:val="00535AE4"/>
    <w:rsid w:val="005366B5"/>
    <w:rsid w:val="005372FF"/>
    <w:rsid w:val="00540286"/>
    <w:rsid w:val="005406EE"/>
    <w:rsid w:val="00540B9D"/>
    <w:rsid w:val="00540DCC"/>
    <w:rsid w:val="00541719"/>
    <w:rsid w:val="00542414"/>
    <w:rsid w:val="00543019"/>
    <w:rsid w:val="0054386A"/>
    <w:rsid w:val="00543B7E"/>
    <w:rsid w:val="00543E62"/>
    <w:rsid w:val="00544FB8"/>
    <w:rsid w:val="00545A82"/>
    <w:rsid w:val="00545A92"/>
    <w:rsid w:val="00545E92"/>
    <w:rsid w:val="00547301"/>
    <w:rsid w:val="00550D67"/>
    <w:rsid w:val="005518C4"/>
    <w:rsid w:val="00551A33"/>
    <w:rsid w:val="00551D02"/>
    <w:rsid w:val="005537DD"/>
    <w:rsid w:val="00553C36"/>
    <w:rsid w:val="00554755"/>
    <w:rsid w:val="00556565"/>
    <w:rsid w:val="005571CA"/>
    <w:rsid w:val="005578E9"/>
    <w:rsid w:val="00557C0A"/>
    <w:rsid w:val="00560261"/>
    <w:rsid w:val="005632CE"/>
    <w:rsid w:val="00563DF0"/>
    <w:rsid w:val="00563E9F"/>
    <w:rsid w:val="005647C9"/>
    <w:rsid w:val="005665BA"/>
    <w:rsid w:val="005666BD"/>
    <w:rsid w:val="005707A7"/>
    <w:rsid w:val="00570BBE"/>
    <w:rsid w:val="00571076"/>
    <w:rsid w:val="00571C5D"/>
    <w:rsid w:val="00571ECE"/>
    <w:rsid w:val="005721D5"/>
    <w:rsid w:val="005729F9"/>
    <w:rsid w:val="0057321A"/>
    <w:rsid w:val="00574CB5"/>
    <w:rsid w:val="005751F5"/>
    <w:rsid w:val="00575FD6"/>
    <w:rsid w:val="00576DE4"/>
    <w:rsid w:val="0057734B"/>
    <w:rsid w:val="00577BCF"/>
    <w:rsid w:val="00577DEA"/>
    <w:rsid w:val="00580B64"/>
    <w:rsid w:val="00581868"/>
    <w:rsid w:val="005820AD"/>
    <w:rsid w:val="0058284B"/>
    <w:rsid w:val="00584423"/>
    <w:rsid w:val="005852F4"/>
    <w:rsid w:val="00585A4F"/>
    <w:rsid w:val="00586080"/>
    <w:rsid w:val="00586AE4"/>
    <w:rsid w:val="00586B3E"/>
    <w:rsid w:val="00587094"/>
    <w:rsid w:val="00587FCD"/>
    <w:rsid w:val="005906A2"/>
    <w:rsid w:val="00590CBE"/>
    <w:rsid w:val="005910D3"/>
    <w:rsid w:val="005929B8"/>
    <w:rsid w:val="00593D54"/>
    <w:rsid w:val="0059419A"/>
    <w:rsid w:val="00594F7A"/>
    <w:rsid w:val="00597C54"/>
    <w:rsid w:val="005A1253"/>
    <w:rsid w:val="005A189B"/>
    <w:rsid w:val="005A203A"/>
    <w:rsid w:val="005A3FB1"/>
    <w:rsid w:val="005A428F"/>
    <w:rsid w:val="005A436A"/>
    <w:rsid w:val="005A4632"/>
    <w:rsid w:val="005A4D58"/>
    <w:rsid w:val="005A6434"/>
    <w:rsid w:val="005A78EF"/>
    <w:rsid w:val="005A7AC8"/>
    <w:rsid w:val="005B03A3"/>
    <w:rsid w:val="005B06C7"/>
    <w:rsid w:val="005B0AE9"/>
    <w:rsid w:val="005B0BF7"/>
    <w:rsid w:val="005B1BC3"/>
    <w:rsid w:val="005B1C2D"/>
    <w:rsid w:val="005B20A3"/>
    <w:rsid w:val="005B223F"/>
    <w:rsid w:val="005B2F2F"/>
    <w:rsid w:val="005B3934"/>
    <w:rsid w:val="005B3D9E"/>
    <w:rsid w:val="005B446E"/>
    <w:rsid w:val="005B47D9"/>
    <w:rsid w:val="005B4C41"/>
    <w:rsid w:val="005B4E90"/>
    <w:rsid w:val="005B4E9D"/>
    <w:rsid w:val="005B50E6"/>
    <w:rsid w:val="005B63FA"/>
    <w:rsid w:val="005B668B"/>
    <w:rsid w:val="005B73F9"/>
    <w:rsid w:val="005C1730"/>
    <w:rsid w:val="005C3D92"/>
    <w:rsid w:val="005C4DCC"/>
    <w:rsid w:val="005C562F"/>
    <w:rsid w:val="005C6E88"/>
    <w:rsid w:val="005D117D"/>
    <w:rsid w:val="005D191E"/>
    <w:rsid w:val="005D2831"/>
    <w:rsid w:val="005D2E04"/>
    <w:rsid w:val="005D3252"/>
    <w:rsid w:val="005D33FF"/>
    <w:rsid w:val="005D3C9B"/>
    <w:rsid w:val="005D4088"/>
    <w:rsid w:val="005D4873"/>
    <w:rsid w:val="005D529F"/>
    <w:rsid w:val="005D52D1"/>
    <w:rsid w:val="005D5947"/>
    <w:rsid w:val="005D6588"/>
    <w:rsid w:val="005D6686"/>
    <w:rsid w:val="005D6D84"/>
    <w:rsid w:val="005D6EE4"/>
    <w:rsid w:val="005D7784"/>
    <w:rsid w:val="005D7986"/>
    <w:rsid w:val="005E00A6"/>
    <w:rsid w:val="005E05B8"/>
    <w:rsid w:val="005E0777"/>
    <w:rsid w:val="005E1654"/>
    <w:rsid w:val="005E241D"/>
    <w:rsid w:val="005E4A79"/>
    <w:rsid w:val="005E5047"/>
    <w:rsid w:val="005E5267"/>
    <w:rsid w:val="005E61EB"/>
    <w:rsid w:val="005E7DCA"/>
    <w:rsid w:val="005F1973"/>
    <w:rsid w:val="005F3681"/>
    <w:rsid w:val="005F3979"/>
    <w:rsid w:val="005F3B5E"/>
    <w:rsid w:val="005F5C7E"/>
    <w:rsid w:val="005F6D7C"/>
    <w:rsid w:val="005F75D4"/>
    <w:rsid w:val="006023B7"/>
    <w:rsid w:val="00602F0C"/>
    <w:rsid w:val="0060378D"/>
    <w:rsid w:val="00605CDC"/>
    <w:rsid w:val="006077CD"/>
    <w:rsid w:val="00607A6B"/>
    <w:rsid w:val="006113CF"/>
    <w:rsid w:val="006114B2"/>
    <w:rsid w:val="00612A66"/>
    <w:rsid w:val="0061330D"/>
    <w:rsid w:val="00613926"/>
    <w:rsid w:val="00614C7E"/>
    <w:rsid w:val="006150B5"/>
    <w:rsid w:val="0061767C"/>
    <w:rsid w:val="00617D49"/>
    <w:rsid w:val="00620D61"/>
    <w:rsid w:val="00621378"/>
    <w:rsid w:val="006214DB"/>
    <w:rsid w:val="006218CC"/>
    <w:rsid w:val="00622744"/>
    <w:rsid w:val="006245D0"/>
    <w:rsid w:val="0062549C"/>
    <w:rsid w:val="00625EA3"/>
    <w:rsid w:val="00626427"/>
    <w:rsid w:val="0062661D"/>
    <w:rsid w:val="00626C0B"/>
    <w:rsid w:val="00630052"/>
    <w:rsid w:val="0063064A"/>
    <w:rsid w:val="00630922"/>
    <w:rsid w:val="006309AA"/>
    <w:rsid w:val="006309E2"/>
    <w:rsid w:val="00631D4B"/>
    <w:rsid w:val="006325C5"/>
    <w:rsid w:val="00632E24"/>
    <w:rsid w:val="00633BD6"/>
    <w:rsid w:val="0063607B"/>
    <w:rsid w:val="0063736D"/>
    <w:rsid w:val="006375AB"/>
    <w:rsid w:val="00641030"/>
    <w:rsid w:val="00641D73"/>
    <w:rsid w:val="00642BB6"/>
    <w:rsid w:val="00643A09"/>
    <w:rsid w:val="00644011"/>
    <w:rsid w:val="00644756"/>
    <w:rsid w:val="006447CF"/>
    <w:rsid w:val="00644856"/>
    <w:rsid w:val="00644BC0"/>
    <w:rsid w:val="0064668C"/>
    <w:rsid w:val="00647180"/>
    <w:rsid w:val="00647DE0"/>
    <w:rsid w:val="00647FF0"/>
    <w:rsid w:val="0065021F"/>
    <w:rsid w:val="006519C1"/>
    <w:rsid w:val="00652EC8"/>
    <w:rsid w:val="0065355A"/>
    <w:rsid w:val="006535DB"/>
    <w:rsid w:val="00653D43"/>
    <w:rsid w:val="0065496E"/>
    <w:rsid w:val="00655D6E"/>
    <w:rsid w:val="006562B2"/>
    <w:rsid w:val="00656DFF"/>
    <w:rsid w:val="00656E6B"/>
    <w:rsid w:val="0065729D"/>
    <w:rsid w:val="006578F4"/>
    <w:rsid w:val="00657ADC"/>
    <w:rsid w:val="00657BAB"/>
    <w:rsid w:val="00657BE4"/>
    <w:rsid w:val="006602B6"/>
    <w:rsid w:val="00661177"/>
    <w:rsid w:val="00661259"/>
    <w:rsid w:val="00661300"/>
    <w:rsid w:val="00661EE7"/>
    <w:rsid w:val="00662B19"/>
    <w:rsid w:val="006631D6"/>
    <w:rsid w:val="006648BF"/>
    <w:rsid w:val="00666929"/>
    <w:rsid w:val="00666C19"/>
    <w:rsid w:val="00666C3D"/>
    <w:rsid w:val="0066775E"/>
    <w:rsid w:val="006679C8"/>
    <w:rsid w:val="00667F59"/>
    <w:rsid w:val="006711A9"/>
    <w:rsid w:val="0067143A"/>
    <w:rsid w:val="00672B29"/>
    <w:rsid w:val="0067427F"/>
    <w:rsid w:val="00674559"/>
    <w:rsid w:val="006801E8"/>
    <w:rsid w:val="00680E51"/>
    <w:rsid w:val="006810C2"/>
    <w:rsid w:val="00681A0B"/>
    <w:rsid w:val="00683768"/>
    <w:rsid w:val="00684672"/>
    <w:rsid w:val="006860F3"/>
    <w:rsid w:val="00686351"/>
    <w:rsid w:val="006867D8"/>
    <w:rsid w:val="006868D1"/>
    <w:rsid w:val="00687051"/>
    <w:rsid w:val="0068722E"/>
    <w:rsid w:val="00687AA2"/>
    <w:rsid w:val="00687AA6"/>
    <w:rsid w:val="00687B84"/>
    <w:rsid w:val="00690151"/>
    <w:rsid w:val="0069051D"/>
    <w:rsid w:val="00691DD7"/>
    <w:rsid w:val="006922BF"/>
    <w:rsid w:val="00692B6B"/>
    <w:rsid w:val="00694BA2"/>
    <w:rsid w:val="00695C4D"/>
    <w:rsid w:val="00697089"/>
    <w:rsid w:val="00697501"/>
    <w:rsid w:val="00697C1E"/>
    <w:rsid w:val="00697E56"/>
    <w:rsid w:val="00697EAA"/>
    <w:rsid w:val="006A028A"/>
    <w:rsid w:val="006A02DC"/>
    <w:rsid w:val="006A0491"/>
    <w:rsid w:val="006A2F8B"/>
    <w:rsid w:val="006A2FDF"/>
    <w:rsid w:val="006A31FF"/>
    <w:rsid w:val="006A32AE"/>
    <w:rsid w:val="006A3D1A"/>
    <w:rsid w:val="006A3F0E"/>
    <w:rsid w:val="006A3FA2"/>
    <w:rsid w:val="006A4F61"/>
    <w:rsid w:val="006A50CF"/>
    <w:rsid w:val="006A5607"/>
    <w:rsid w:val="006A61E5"/>
    <w:rsid w:val="006A63ED"/>
    <w:rsid w:val="006A665F"/>
    <w:rsid w:val="006A792E"/>
    <w:rsid w:val="006A7E02"/>
    <w:rsid w:val="006B0767"/>
    <w:rsid w:val="006B2304"/>
    <w:rsid w:val="006B2B23"/>
    <w:rsid w:val="006B3830"/>
    <w:rsid w:val="006B3CDF"/>
    <w:rsid w:val="006B40F4"/>
    <w:rsid w:val="006B5DA4"/>
    <w:rsid w:val="006B5E8C"/>
    <w:rsid w:val="006B6184"/>
    <w:rsid w:val="006B6B53"/>
    <w:rsid w:val="006B7191"/>
    <w:rsid w:val="006C0BF7"/>
    <w:rsid w:val="006C13F9"/>
    <w:rsid w:val="006C1901"/>
    <w:rsid w:val="006C27E7"/>
    <w:rsid w:val="006C281D"/>
    <w:rsid w:val="006C3B76"/>
    <w:rsid w:val="006C3C48"/>
    <w:rsid w:val="006C4AB0"/>
    <w:rsid w:val="006C521E"/>
    <w:rsid w:val="006C5D08"/>
    <w:rsid w:val="006C63EF"/>
    <w:rsid w:val="006C66C2"/>
    <w:rsid w:val="006C6F48"/>
    <w:rsid w:val="006C6FA6"/>
    <w:rsid w:val="006D0931"/>
    <w:rsid w:val="006D1A87"/>
    <w:rsid w:val="006D1D81"/>
    <w:rsid w:val="006D2317"/>
    <w:rsid w:val="006D32E8"/>
    <w:rsid w:val="006D3500"/>
    <w:rsid w:val="006D398B"/>
    <w:rsid w:val="006D3E1A"/>
    <w:rsid w:val="006D64F8"/>
    <w:rsid w:val="006E12DC"/>
    <w:rsid w:val="006E2CF5"/>
    <w:rsid w:val="006E3731"/>
    <w:rsid w:val="006E51FC"/>
    <w:rsid w:val="006E52EF"/>
    <w:rsid w:val="006E5582"/>
    <w:rsid w:val="006E5673"/>
    <w:rsid w:val="006E6164"/>
    <w:rsid w:val="006E6A15"/>
    <w:rsid w:val="006E6F48"/>
    <w:rsid w:val="006F0357"/>
    <w:rsid w:val="006F2421"/>
    <w:rsid w:val="006F2F75"/>
    <w:rsid w:val="006F478B"/>
    <w:rsid w:val="006F6CA8"/>
    <w:rsid w:val="006F7731"/>
    <w:rsid w:val="006F78D2"/>
    <w:rsid w:val="00700F2A"/>
    <w:rsid w:val="00702FC3"/>
    <w:rsid w:val="0070392D"/>
    <w:rsid w:val="00703D45"/>
    <w:rsid w:val="007047BD"/>
    <w:rsid w:val="007049B9"/>
    <w:rsid w:val="00705BCB"/>
    <w:rsid w:val="00705D95"/>
    <w:rsid w:val="0070671A"/>
    <w:rsid w:val="00706D6F"/>
    <w:rsid w:val="00707358"/>
    <w:rsid w:val="00707775"/>
    <w:rsid w:val="007077C4"/>
    <w:rsid w:val="00707F9C"/>
    <w:rsid w:val="007104CE"/>
    <w:rsid w:val="0071058C"/>
    <w:rsid w:val="00710A31"/>
    <w:rsid w:val="00710B16"/>
    <w:rsid w:val="00710F24"/>
    <w:rsid w:val="0071121C"/>
    <w:rsid w:val="00711F37"/>
    <w:rsid w:val="00712592"/>
    <w:rsid w:val="007148C1"/>
    <w:rsid w:val="00714E92"/>
    <w:rsid w:val="0071541E"/>
    <w:rsid w:val="00715683"/>
    <w:rsid w:val="00715D39"/>
    <w:rsid w:val="00715FCE"/>
    <w:rsid w:val="0071782B"/>
    <w:rsid w:val="00717A97"/>
    <w:rsid w:val="00721E2A"/>
    <w:rsid w:val="00722294"/>
    <w:rsid w:val="00722BB2"/>
    <w:rsid w:val="007239C0"/>
    <w:rsid w:val="00725B4E"/>
    <w:rsid w:val="00725DF2"/>
    <w:rsid w:val="00726E46"/>
    <w:rsid w:val="007279ED"/>
    <w:rsid w:val="00727BE7"/>
    <w:rsid w:val="0073018F"/>
    <w:rsid w:val="007304B2"/>
    <w:rsid w:val="0073151F"/>
    <w:rsid w:val="0073172F"/>
    <w:rsid w:val="007322B3"/>
    <w:rsid w:val="00733BE5"/>
    <w:rsid w:val="00734118"/>
    <w:rsid w:val="0073487E"/>
    <w:rsid w:val="0073495F"/>
    <w:rsid w:val="00735CB4"/>
    <w:rsid w:val="007369A8"/>
    <w:rsid w:val="007400A5"/>
    <w:rsid w:val="0074080F"/>
    <w:rsid w:val="0074293D"/>
    <w:rsid w:val="00744D6E"/>
    <w:rsid w:val="007459BB"/>
    <w:rsid w:val="007469A6"/>
    <w:rsid w:val="00747F15"/>
    <w:rsid w:val="00750DBB"/>
    <w:rsid w:val="007511E6"/>
    <w:rsid w:val="007513AA"/>
    <w:rsid w:val="00752944"/>
    <w:rsid w:val="00754C02"/>
    <w:rsid w:val="00754EA8"/>
    <w:rsid w:val="00754F09"/>
    <w:rsid w:val="00755057"/>
    <w:rsid w:val="0075760D"/>
    <w:rsid w:val="007576A5"/>
    <w:rsid w:val="00757964"/>
    <w:rsid w:val="00760A7E"/>
    <w:rsid w:val="00760BE6"/>
    <w:rsid w:val="00760CE1"/>
    <w:rsid w:val="00761C5A"/>
    <w:rsid w:val="00762794"/>
    <w:rsid w:val="00762CA8"/>
    <w:rsid w:val="00762ED8"/>
    <w:rsid w:val="0076374C"/>
    <w:rsid w:val="007638F1"/>
    <w:rsid w:val="00763F9D"/>
    <w:rsid w:val="00764430"/>
    <w:rsid w:val="00765A95"/>
    <w:rsid w:val="007661CC"/>
    <w:rsid w:val="00766CD3"/>
    <w:rsid w:val="007700E6"/>
    <w:rsid w:val="00771D0E"/>
    <w:rsid w:val="00772030"/>
    <w:rsid w:val="007728E5"/>
    <w:rsid w:val="00773D82"/>
    <w:rsid w:val="00773FE6"/>
    <w:rsid w:val="0077479E"/>
    <w:rsid w:val="0077550F"/>
    <w:rsid w:val="00776730"/>
    <w:rsid w:val="00780052"/>
    <w:rsid w:val="00780329"/>
    <w:rsid w:val="0078095D"/>
    <w:rsid w:val="00780D3B"/>
    <w:rsid w:val="00780F9B"/>
    <w:rsid w:val="00782240"/>
    <w:rsid w:val="00782C1E"/>
    <w:rsid w:val="0078362C"/>
    <w:rsid w:val="00784785"/>
    <w:rsid w:val="00784BF9"/>
    <w:rsid w:val="00785674"/>
    <w:rsid w:val="007859D3"/>
    <w:rsid w:val="00786846"/>
    <w:rsid w:val="00786948"/>
    <w:rsid w:val="007905DE"/>
    <w:rsid w:val="00790CAF"/>
    <w:rsid w:val="00791341"/>
    <w:rsid w:val="00791C61"/>
    <w:rsid w:val="0079226A"/>
    <w:rsid w:val="00792AC2"/>
    <w:rsid w:val="0079300E"/>
    <w:rsid w:val="0079401C"/>
    <w:rsid w:val="007951A6"/>
    <w:rsid w:val="00795708"/>
    <w:rsid w:val="0079613E"/>
    <w:rsid w:val="00796DBD"/>
    <w:rsid w:val="007975A2"/>
    <w:rsid w:val="00797EA6"/>
    <w:rsid w:val="007A0129"/>
    <w:rsid w:val="007A0A8D"/>
    <w:rsid w:val="007A10FF"/>
    <w:rsid w:val="007A2B9E"/>
    <w:rsid w:val="007A2F57"/>
    <w:rsid w:val="007A30C9"/>
    <w:rsid w:val="007A3A23"/>
    <w:rsid w:val="007A4F08"/>
    <w:rsid w:val="007A4FB8"/>
    <w:rsid w:val="007A53F5"/>
    <w:rsid w:val="007A571E"/>
    <w:rsid w:val="007A641B"/>
    <w:rsid w:val="007B0B90"/>
    <w:rsid w:val="007B1074"/>
    <w:rsid w:val="007B1306"/>
    <w:rsid w:val="007B13CD"/>
    <w:rsid w:val="007B2603"/>
    <w:rsid w:val="007B2A3B"/>
    <w:rsid w:val="007B339A"/>
    <w:rsid w:val="007B46F5"/>
    <w:rsid w:val="007B6831"/>
    <w:rsid w:val="007B6D64"/>
    <w:rsid w:val="007B6E2B"/>
    <w:rsid w:val="007C220A"/>
    <w:rsid w:val="007C2F50"/>
    <w:rsid w:val="007C3098"/>
    <w:rsid w:val="007C3787"/>
    <w:rsid w:val="007C4E94"/>
    <w:rsid w:val="007C4ED1"/>
    <w:rsid w:val="007C5E0C"/>
    <w:rsid w:val="007C6D97"/>
    <w:rsid w:val="007C6F5C"/>
    <w:rsid w:val="007C76F0"/>
    <w:rsid w:val="007C7769"/>
    <w:rsid w:val="007D135F"/>
    <w:rsid w:val="007D1CCD"/>
    <w:rsid w:val="007D2936"/>
    <w:rsid w:val="007D3014"/>
    <w:rsid w:val="007D3833"/>
    <w:rsid w:val="007D42E9"/>
    <w:rsid w:val="007D4C89"/>
    <w:rsid w:val="007D4F04"/>
    <w:rsid w:val="007D52A2"/>
    <w:rsid w:val="007D588F"/>
    <w:rsid w:val="007D58BA"/>
    <w:rsid w:val="007D6521"/>
    <w:rsid w:val="007E0157"/>
    <w:rsid w:val="007E0256"/>
    <w:rsid w:val="007E151F"/>
    <w:rsid w:val="007E2649"/>
    <w:rsid w:val="007E2E51"/>
    <w:rsid w:val="007E3A7C"/>
    <w:rsid w:val="007E4847"/>
    <w:rsid w:val="007E4C0A"/>
    <w:rsid w:val="007E5A42"/>
    <w:rsid w:val="007E5AC5"/>
    <w:rsid w:val="007E6533"/>
    <w:rsid w:val="007E667C"/>
    <w:rsid w:val="007E7F56"/>
    <w:rsid w:val="007F0EAC"/>
    <w:rsid w:val="007F10D5"/>
    <w:rsid w:val="007F1690"/>
    <w:rsid w:val="007F2195"/>
    <w:rsid w:val="007F23DE"/>
    <w:rsid w:val="007F2906"/>
    <w:rsid w:val="007F2A1F"/>
    <w:rsid w:val="007F308E"/>
    <w:rsid w:val="007F3C27"/>
    <w:rsid w:val="007F47FD"/>
    <w:rsid w:val="007F56E6"/>
    <w:rsid w:val="007F5C7A"/>
    <w:rsid w:val="007F6A9B"/>
    <w:rsid w:val="007F6F63"/>
    <w:rsid w:val="007F7AE4"/>
    <w:rsid w:val="007F7C19"/>
    <w:rsid w:val="008005DC"/>
    <w:rsid w:val="00800D17"/>
    <w:rsid w:val="008014AE"/>
    <w:rsid w:val="0080179A"/>
    <w:rsid w:val="00801E5E"/>
    <w:rsid w:val="00802806"/>
    <w:rsid w:val="008035B3"/>
    <w:rsid w:val="00803C2F"/>
    <w:rsid w:val="008040E9"/>
    <w:rsid w:val="00806F85"/>
    <w:rsid w:val="0080709F"/>
    <w:rsid w:val="0080723D"/>
    <w:rsid w:val="008107DA"/>
    <w:rsid w:val="00811339"/>
    <w:rsid w:val="008113A9"/>
    <w:rsid w:val="00814476"/>
    <w:rsid w:val="0081590E"/>
    <w:rsid w:val="00815BFE"/>
    <w:rsid w:val="00815F07"/>
    <w:rsid w:val="00816B73"/>
    <w:rsid w:val="00817D3E"/>
    <w:rsid w:val="00821438"/>
    <w:rsid w:val="00821DAE"/>
    <w:rsid w:val="0082226D"/>
    <w:rsid w:val="00822F7C"/>
    <w:rsid w:val="00822FE7"/>
    <w:rsid w:val="00823462"/>
    <w:rsid w:val="008234C5"/>
    <w:rsid w:val="008234EF"/>
    <w:rsid w:val="0082392F"/>
    <w:rsid w:val="008250F6"/>
    <w:rsid w:val="0082537D"/>
    <w:rsid w:val="00826531"/>
    <w:rsid w:val="00826C45"/>
    <w:rsid w:val="00826C5F"/>
    <w:rsid w:val="00826FC1"/>
    <w:rsid w:val="00827871"/>
    <w:rsid w:val="00830294"/>
    <w:rsid w:val="008304BC"/>
    <w:rsid w:val="008306E4"/>
    <w:rsid w:val="0083080E"/>
    <w:rsid w:val="00830A85"/>
    <w:rsid w:val="00831B9D"/>
    <w:rsid w:val="008322CA"/>
    <w:rsid w:val="00832B14"/>
    <w:rsid w:val="00832BAC"/>
    <w:rsid w:val="008348F9"/>
    <w:rsid w:val="00834C84"/>
    <w:rsid w:val="00835041"/>
    <w:rsid w:val="008358BB"/>
    <w:rsid w:val="00836094"/>
    <w:rsid w:val="00836425"/>
    <w:rsid w:val="00836929"/>
    <w:rsid w:val="00836E7F"/>
    <w:rsid w:val="00836E81"/>
    <w:rsid w:val="00837B88"/>
    <w:rsid w:val="00840275"/>
    <w:rsid w:val="008411F9"/>
    <w:rsid w:val="00842626"/>
    <w:rsid w:val="00842F59"/>
    <w:rsid w:val="00845245"/>
    <w:rsid w:val="00845390"/>
    <w:rsid w:val="008458CC"/>
    <w:rsid w:val="00845AAE"/>
    <w:rsid w:val="00847E3D"/>
    <w:rsid w:val="00850428"/>
    <w:rsid w:val="00850E32"/>
    <w:rsid w:val="008522F8"/>
    <w:rsid w:val="00852587"/>
    <w:rsid w:val="00852BB3"/>
    <w:rsid w:val="008548E2"/>
    <w:rsid w:val="00855145"/>
    <w:rsid w:val="00855215"/>
    <w:rsid w:val="008569D6"/>
    <w:rsid w:val="008579C4"/>
    <w:rsid w:val="00857C97"/>
    <w:rsid w:val="00860AF0"/>
    <w:rsid w:val="00861369"/>
    <w:rsid w:val="00861C05"/>
    <w:rsid w:val="0086234F"/>
    <w:rsid w:val="00862C37"/>
    <w:rsid w:val="0086365E"/>
    <w:rsid w:val="00863B2C"/>
    <w:rsid w:val="008647BF"/>
    <w:rsid w:val="0086499A"/>
    <w:rsid w:val="008649F3"/>
    <w:rsid w:val="00864ADD"/>
    <w:rsid w:val="0086550B"/>
    <w:rsid w:val="00865FFB"/>
    <w:rsid w:val="00866198"/>
    <w:rsid w:val="00866751"/>
    <w:rsid w:val="00867606"/>
    <w:rsid w:val="00871184"/>
    <w:rsid w:val="00871F8A"/>
    <w:rsid w:val="008722D3"/>
    <w:rsid w:val="00872A7A"/>
    <w:rsid w:val="00874D26"/>
    <w:rsid w:val="00875FBB"/>
    <w:rsid w:val="00876038"/>
    <w:rsid w:val="00877853"/>
    <w:rsid w:val="00877BD4"/>
    <w:rsid w:val="008801D9"/>
    <w:rsid w:val="00880284"/>
    <w:rsid w:val="008804EB"/>
    <w:rsid w:val="0088090D"/>
    <w:rsid w:val="008810F0"/>
    <w:rsid w:val="00882182"/>
    <w:rsid w:val="008834CD"/>
    <w:rsid w:val="0088532B"/>
    <w:rsid w:val="00885554"/>
    <w:rsid w:val="00885AC5"/>
    <w:rsid w:val="00885C9F"/>
    <w:rsid w:val="008860B8"/>
    <w:rsid w:val="00887681"/>
    <w:rsid w:val="00887BEF"/>
    <w:rsid w:val="00887CDA"/>
    <w:rsid w:val="00890686"/>
    <w:rsid w:val="00890C89"/>
    <w:rsid w:val="00891C41"/>
    <w:rsid w:val="00891C8B"/>
    <w:rsid w:val="00892105"/>
    <w:rsid w:val="0089250E"/>
    <w:rsid w:val="0089461B"/>
    <w:rsid w:val="00894BCC"/>
    <w:rsid w:val="008950AB"/>
    <w:rsid w:val="00895945"/>
    <w:rsid w:val="00896DC9"/>
    <w:rsid w:val="00896E81"/>
    <w:rsid w:val="008A058F"/>
    <w:rsid w:val="008A0BEB"/>
    <w:rsid w:val="008A1882"/>
    <w:rsid w:val="008A1F17"/>
    <w:rsid w:val="008A1FC7"/>
    <w:rsid w:val="008A2000"/>
    <w:rsid w:val="008A2029"/>
    <w:rsid w:val="008A236D"/>
    <w:rsid w:val="008A40C0"/>
    <w:rsid w:val="008A4242"/>
    <w:rsid w:val="008A4626"/>
    <w:rsid w:val="008A49A5"/>
    <w:rsid w:val="008A5C91"/>
    <w:rsid w:val="008A5EFC"/>
    <w:rsid w:val="008A6BEE"/>
    <w:rsid w:val="008A78E4"/>
    <w:rsid w:val="008B08F8"/>
    <w:rsid w:val="008B0BD7"/>
    <w:rsid w:val="008B0BEC"/>
    <w:rsid w:val="008B13EA"/>
    <w:rsid w:val="008B1D71"/>
    <w:rsid w:val="008B2453"/>
    <w:rsid w:val="008B27B8"/>
    <w:rsid w:val="008B2FFA"/>
    <w:rsid w:val="008B47C4"/>
    <w:rsid w:val="008B4C15"/>
    <w:rsid w:val="008B4F01"/>
    <w:rsid w:val="008B5895"/>
    <w:rsid w:val="008B66D2"/>
    <w:rsid w:val="008B6B39"/>
    <w:rsid w:val="008B7A11"/>
    <w:rsid w:val="008C0455"/>
    <w:rsid w:val="008C150B"/>
    <w:rsid w:val="008C2337"/>
    <w:rsid w:val="008C248E"/>
    <w:rsid w:val="008C2590"/>
    <w:rsid w:val="008C3E94"/>
    <w:rsid w:val="008C448F"/>
    <w:rsid w:val="008C4987"/>
    <w:rsid w:val="008C5039"/>
    <w:rsid w:val="008C5495"/>
    <w:rsid w:val="008C68D8"/>
    <w:rsid w:val="008C6C4E"/>
    <w:rsid w:val="008C70C5"/>
    <w:rsid w:val="008D014A"/>
    <w:rsid w:val="008D0DD5"/>
    <w:rsid w:val="008D0EB4"/>
    <w:rsid w:val="008D192C"/>
    <w:rsid w:val="008D1B15"/>
    <w:rsid w:val="008D2409"/>
    <w:rsid w:val="008D2ABE"/>
    <w:rsid w:val="008D305F"/>
    <w:rsid w:val="008D31CC"/>
    <w:rsid w:val="008D32FC"/>
    <w:rsid w:val="008D40B8"/>
    <w:rsid w:val="008D4C61"/>
    <w:rsid w:val="008D57C7"/>
    <w:rsid w:val="008D5EC6"/>
    <w:rsid w:val="008D6E8E"/>
    <w:rsid w:val="008D6F2E"/>
    <w:rsid w:val="008D7311"/>
    <w:rsid w:val="008D7941"/>
    <w:rsid w:val="008D7AD3"/>
    <w:rsid w:val="008E0D3E"/>
    <w:rsid w:val="008E10A8"/>
    <w:rsid w:val="008E366F"/>
    <w:rsid w:val="008E48B1"/>
    <w:rsid w:val="008E4EFD"/>
    <w:rsid w:val="008E7426"/>
    <w:rsid w:val="008F04A1"/>
    <w:rsid w:val="008F12BA"/>
    <w:rsid w:val="008F245B"/>
    <w:rsid w:val="008F298B"/>
    <w:rsid w:val="008F2D15"/>
    <w:rsid w:val="008F4306"/>
    <w:rsid w:val="008F4377"/>
    <w:rsid w:val="008F44B6"/>
    <w:rsid w:val="008F5A6F"/>
    <w:rsid w:val="008F6A79"/>
    <w:rsid w:val="008F7E3A"/>
    <w:rsid w:val="00901470"/>
    <w:rsid w:val="00901827"/>
    <w:rsid w:val="00901E8A"/>
    <w:rsid w:val="00902A13"/>
    <w:rsid w:val="009036F9"/>
    <w:rsid w:val="009059E6"/>
    <w:rsid w:val="00906627"/>
    <w:rsid w:val="00906721"/>
    <w:rsid w:val="00906A8B"/>
    <w:rsid w:val="00906D58"/>
    <w:rsid w:val="00907B45"/>
    <w:rsid w:val="00911727"/>
    <w:rsid w:val="00911787"/>
    <w:rsid w:val="00912DDE"/>
    <w:rsid w:val="0091331E"/>
    <w:rsid w:val="009136DF"/>
    <w:rsid w:val="00913D93"/>
    <w:rsid w:val="009149B0"/>
    <w:rsid w:val="00914B2B"/>
    <w:rsid w:val="00915007"/>
    <w:rsid w:val="0091536E"/>
    <w:rsid w:val="009173CF"/>
    <w:rsid w:val="0091740C"/>
    <w:rsid w:val="0092015F"/>
    <w:rsid w:val="009204BA"/>
    <w:rsid w:val="00920E29"/>
    <w:rsid w:val="0092220A"/>
    <w:rsid w:val="0092383D"/>
    <w:rsid w:val="00923E8A"/>
    <w:rsid w:val="00924242"/>
    <w:rsid w:val="00924B24"/>
    <w:rsid w:val="009250E2"/>
    <w:rsid w:val="009256BC"/>
    <w:rsid w:val="00925C9E"/>
    <w:rsid w:val="00925F51"/>
    <w:rsid w:val="009263F0"/>
    <w:rsid w:val="009267BB"/>
    <w:rsid w:val="0092682A"/>
    <w:rsid w:val="00927236"/>
    <w:rsid w:val="00927592"/>
    <w:rsid w:val="00927593"/>
    <w:rsid w:val="00932E6E"/>
    <w:rsid w:val="00933453"/>
    <w:rsid w:val="009336DF"/>
    <w:rsid w:val="009340C0"/>
    <w:rsid w:val="00934364"/>
    <w:rsid w:val="00935B57"/>
    <w:rsid w:val="009370B1"/>
    <w:rsid w:val="00937AFD"/>
    <w:rsid w:val="00937E16"/>
    <w:rsid w:val="00941EC0"/>
    <w:rsid w:val="00942410"/>
    <w:rsid w:val="00943971"/>
    <w:rsid w:val="00943B1E"/>
    <w:rsid w:val="0094420E"/>
    <w:rsid w:val="0094565B"/>
    <w:rsid w:val="009460AA"/>
    <w:rsid w:val="00947D41"/>
    <w:rsid w:val="009506BD"/>
    <w:rsid w:val="00950DD0"/>
    <w:rsid w:val="00951AA8"/>
    <w:rsid w:val="00952424"/>
    <w:rsid w:val="0095428E"/>
    <w:rsid w:val="00954CD9"/>
    <w:rsid w:val="009560E5"/>
    <w:rsid w:val="00956433"/>
    <w:rsid w:val="009574F6"/>
    <w:rsid w:val="00957654"/>
    <w:rsid w:val="00957A72"/>
    <w:rsid w:val="0096061B"/>
    <w:rsid w:val="00961083"/>
    <w:rsid w:val="0096152A"/>
    <w:rsid w:val="0096192E"/>
    <w:rsid w:val="009626D8"/>
    <w:rsid w:val="0096316E"/>
    <w:rsid w:val="00963960"/>
    <w:rsid w:val="00964350"/>
    <w:rsid w:val="009645A2"/>
    <w:rsid w:val="009652E0"/>
    <w:rsid w:val="009652F9"/>
    <w:rsid w:val="00965EA9"/>
    <w:rsid w:val="00966267"/>
    <w:rsid w:val="00967080"/>
    <w:rsid w:val="00967F2B"/>
    <w:rsid w:val="009711A6"/>
    <w:rsid w:val="009722E0"/>
    <w:rsid w:val="00972445"/>
    <w:rsid w:val="009725B3"/>
    <w:rsid w:val="009726C9"/>
    <w:rsid w:val="00972A0F"/>
    <w:rsid w:val="00972D11"/>
    <w:rsid w:val="009740A5"/>
    <w:rsid w:val="00974690"/>
    <w:rsid w:val="00974C7B"/>
    <w:rsid w:val="00975816"/>
    <w:rsid w:val="00977FCE"/>
    <w:rsid w:val="00980269"/>
    <w:rsid w:val="00980DAA"/>
    <w:rsid w:val="009813BE"/>
    <w:rsid w:val="00981F1C"/>
    <w:rsid w:val="00982A95"/>
    <w:rsid w:val="00983038"/>
    <w:rsid w:val="00984BC8"/>
    <w:rsid w:val="00985DB7"/>
    <w:rsid w:val="009864D8"/>
    <w:rsid w:val="00987891"/>
    <w:rsid w:val="00990CA3"/>
    <w:rsid w:val="0099176F"/>
    <w:rsid w:val="00992857"/>
    <w:rsid w:val="00992FD6"/>
    <w:rsid w:val="009956CA"/>
    <w:rsid w:val="009958DB"/>
    <w:rsid w:val="00997F5F"/>
    <w:rsid w:val="009A0053"/>
    <w:rsid w:val="009A01EE"/>
    <w:rsid w:val="009A0B62"/>
    <w:rsid w:val="009A0E33"/>
    <w:rsid w:val="009A1B4A"/>
    <w:rsid w:val="009A5031"/>
    <w:rsid w:val="009A593A"/>
    <w:rsid w:val="009A6EDB"/>
    <w:rsid w:val="009B00A9"/>
    <w:rsid w:val="009B065A"/>
    <w:rsid w:val="009B0D13"/>
    <w:rsid w:val="009B21B8"/>
    <w:rsid w:val="009B2DC5"/>
    <w:rsid w:val="009B3891"/>
    <w:rsid w:val="009B3DC5"/>
    <w:rsid w:val="009B40E6"/>
    <w:rsid w:val="009B57AB"/>
    <w:rsid w:val="009B58E0"/>
    <w:rsid w:val="009B6279"/>
    <w:rsid w:val="009B670A"/>
    <w:rsid w:val="009B759A"/>
    <w:rsid w:val="009B78BF"/>
    <w:rsid w:val="009B7B82"/>
    <w:rsid w:val="009B7F40"/>
    <w:rsid w:val="009C038C"/>
    <w:rsid w:val="009C0B1A"/>
    <w:rsid w:val="009C0EC7"/>
    <w:rsid w:val="009C0FDC"/>
    <w:rsid w:val="009C134F"/>
    <w:rsid w:val="009C15D8"/>
    <w:rsid w:val="009C4D73"/>
    <w:rsid w:val="009C5020"/>
    <w:rsid w:val="009C513B"/>
    <w:rsid w:val="009C529F"/>
    <w:rsid w:val="009C5C5B"/>
    <w:rsid w:val="009C5E92"/>
    <w:rsid w:val="009C6792"/>
    <w:rsid w:val="009C77D3"/>
    <w:rsid w:val="009C7A86"/>
    <w:rsid w:val="009C7E8F"/>
    <w:rsid w:val="009D527C"/>
    <w:rsid w:val="009D7051"/>
    <w:rsid w:val="009E135C"/>
    <w:rsid w:val="009E1FCB"/>
    <w:rsid w:val="009E2CA4"/>
    <w:rsid w:val="009E5486"/>
    <w:rsid w:val="009E5A05"/>
    <w:rsid w:val="009E6200"/>
    <w:rsid w:val="009E63F0"/>
    <w:rsid w:val="009E6758"/>
    <w:rsid w:val="009F0016"/>
    <w:rsid w:val="009F0832"/>
    <w:rsid w:val="009F0E03"/>
    <w:rsid w:val="009F44A2"/>
    <w:rsid w:val="009F5271"/>
    <w:rsid w:val="009F5386"/>
    <w:rsid w:val="009F5C14"/>
    <w:rsid w:val="009F69EE"/>
    <w:rsid w:val="009F7BC4"/>
    <w:rsid w:val="009F7BE5"/>
    <w:rsid w:val="009F7CBD"/>
    <w:rsid w:val="00A02958"/>
    <w:rsid w:val="00A04389"/>
    <w:rsid w:val="00A047C9"/>
    <w:rsid w:val="00A05ABC"/>
    <w:rsid w:val="00A05E19"/>
    <w:rsid w:val="00A06B3D"/>
    <w:rsid w:val="00A07987"/>
    <w:rsid w:val="00A07EFA"/>
    <w:rsid w:val="00A07FCA"/>
    <w:rsid w:val="00A11119"/>
    <w:rsid w:val="00A13478"/>
    <w:rsid w:val="00A1381C"/>
    <w:rsid w:val="00A13C34"/>
    <w:rsid w:val="00A145A3"/>
    <w:rsid w:val="00A14A36"/>
    <w:rsid w:val="00A153E0"/>
    <w:rsid w:val="00A164B5"/>
    <w:rsid w:val="00A164F2"/>
    <w:rsid w:val="00A167EB"/>
    <w:rsid w:val="00A16F08"/>
    <w:rsid w:val="00A179C3"/>
    <w:rsid w:val="00A20D86"/>
    <w:rsid w:val="00A213DC"/>
    <w:rsid w:val="00A21C42"/>
    <w:rsid w:val="00A24AE1"/>
    <w:rsid w:val="00A273F0"/>
    <w:rsid w:val="00A30934"/>
    <w:rsid w:val="00A3300B"/>
    <w:rsid w:val="00A3306B"/>
    <w:rsid w:val="00A332CD"/>
    <w:rsid w:val="00A333EA"/>
    <w:rsid w:val="00A339DF"/>
    <w:rsid w:val="00A3402B"/>
    <w:rsid w:val="00A35516"/>
    <w:rsid w:val="00A35C18"/>
    <w:rsid w:val="00A36FBE"/>
    <w:rsid w:val="00A37522"/>
    <w:rsid w:val="00A377AF"/>
    <w:rsid w:val="00A37DFD"/>
    <w:rsid w:val="00A37E3E"/>
    <w:rsid w:val="00A4012F"/>
    <w:rsid w:val="00A42483"/>
    <w:rsid w:val="00A42517"/>
    <w:rsid w:val="00A440FB"/>
    <w:rsid w:val="00A45296"/>
    <w:rsid w:val="00A458F5"/>
    <w:rsid w:val="00A463A5"/>
    <w:rsid w:val="00A4647C"/>
    <w:rsid w:val="00A503D4"/>
    <w:rsid w:val="00A5045A"/>
    <w:rsid w:val="00A514C5"/>
    <w:rsid w:val="00A51F05"/>
    <w:rsid w:val="00A51FFC"/>
    <w:rsid w:val="00A53D6C"/>
    <w:rsid w:val="00A53F40"/>
    <w:rsid w:val="00A54339"/>
    <w:rsid w:val="00A554DD"/>
    <w:rsid w:val="00A558DC"/>
    <w:rsid w:val="00A55CB8"/>
    <w:rsid w:val="00A560EE"/>
    <w:rsid w:val="00A575AB"/>
    <w:rsid w:val="00A57A5A"/>
    <w:rsid w:val="00A61735"/>
    <w:rsid w:val="00A61ED1"/>
    <w:rsid w:val="00A61F51"/>
    <w:rsid w:val="00A62184"/>
    <w:rsid w:val="00A62253"/>
    <w:rsid w:val="00A630BD"/>
    <w:rsid w:val="00A630EC"/>
    <w:rsid w:val="00A63D3A"/>
    <w:rsid w:val="00A646C1"/>
    <w:rsid w:val="00A67239"/>
    <w:rsid w:val="00A70B28"/>
    <w:rsid w:val="00A72205"/>
    <w:rsid w:val="00A73643"/>
    <w:rsid w:val="00A73D3F"/>
    <w:rsid w:val="00A74D0F"/>
    <w:rsid w:val="00A75204"/>
    <w:rsid w:val="00A75777"/>
    <w:rsid w:val="00A75B14"/>
    <w:rsid w:val="00A75FCD"/>
    <w:rsid w:val="00A76822"/>
    <w:rsid w:val="00A80273"/>
    <w:rsid w:val="00A80295"/>
    <w:rsid w:val="00A80C13"/>
    <w:rsid w:val="00A81444"/>
    <w:rsid w:val="00A815B2"/>
    <w:rsid w:val="00A8192B"/>
    <w:rsid w:val="00A8222A"/>
    <w:rsid w:val="00A8289E"/>
    <w:rsid w:val="00A82F75"/>
    <w:rsid w:val="00A83117"/>
    <w:rsid w:val="00A83565"/>
    <w:rsid w:val="00A83C5A"/>
    <w:rsid w:val="00A84340"/>
    <w:rsid w:val="00A84382"/>
    <w:rsid w:val="00A86422"/>
    <w:rsid w:val="00A86547"/>
    <w:rsid w:val="00A8775D"/>
    <w:rsid w:val="00A90374"/>
    <w:rsid w:val="00A91689"/>
    <w:rsid w:val="00A91D4A"/>
    <w:rsid w:val="00A927A5"/>
    <w:rsid w:val="00A932FB"/>
    <w:rsid w:val="00A9373E"/>
    <w:rsid w:val="00A939B6"/>
    <w:rsid w:val="00A939CE"/>
    <w:rsid w:val="00A93BFA"/>
    <w:rsid w:val="00A94B5D"/>
    <w:rsid w:val="00A96557"/>
    <w:rsid w:val="00A9665A"/>
    <w:rsid w:val="00A972D0"/>
    <w:rsid w:val="00A97767"/>
    <w:rsid w:val="00AA079C"/>
    <w:rsid w:val="00AA0F5F"/>
    <w:rsid w:val="00AA0F94"/>
    <w:rsid w:val="00AA1D6F"/>
    <w:rsid w:val="00AA2802"/>
    <w:rsid w:val="00AA2E4B"/>
    <w:rsid w:val="00AA36D8"/>
    <w:rsid w:val="00AA38D1"/>
    <w:rsid w:val="00AA4C48"/>
    <w:rsid w:val="00AA60DD"/>
    <w:rsid w:val="00AA63D8"/>
    <w:rsid w:val="00AA641C"/>
    <w:rsid w:val="00AA6628"/>
    <w:rsid w:val="00AA6972"/>
    <w:rsid w:val="00AA6D7A"/>
    <w:rsid w:val="00AA6DFF"/>
    <w:rsid w:val="00AB00A9"/>
    <w:rsid w:val="00AB03C5"/>
    <w:rsid w:val="00AB17A0"/>
    <w:rsid w:val="00AB210B"/>
    <w:rsid w:val="00AB6DE2"/>
    <w:rsid w:val="00AB7C8C"/>
    <w:rsid w:val="00AB7D7E"/>
    <w:rsid w:val="00AC0996"/>
    <w:rsid w:val="00AC0CEB"/>
    <w:rsid w:val="00AC0F5E"/>
    <w:rsid w:val="00AC1047"/>
    <w:rsid w:val="00AC1159"/>
    <w:rsid w:val="00AC20C1"/>
    <w:rsid w:val="00AC277F"/>
    <w:rsid w:val="00AC27AB"/>
    <w:rsid w:val="00AC2969"/>
    <w:rsid w:val="00AC2C8B"/>
    <w:rsid w:val="00AC4632"/>
    <w:rsid w:val="00AC4E9A"/>
    <w:rsid w:val="00AC69CD"/>
    <w:rsid w:val="00AC6CAC"/>
    <w:rsid w:val="00AC7DF6"/>
    <w:rsid w:val="00AD0022"/>
    <w:rsid w:val="00AD5666"/>
    <w:rsid w:val="00AD6798"/>
    <w:rsid w:val="00AD69CE"/>
    <w:rsid w:val="00AD6C56"/>
    <w:rsid w:val="00AD721A"/>
    <w:rsid w:val="00AD7A36"/>
    <w:rsid w:val="00AE00F8"/>
    <w:rsid w:val="00AE0DEB"/>
    <w:rsid w:val="00AE1F74"/>
    <w:rsid w:val="00AE25CA"/>
    <w:rsid w:val="00AE26D0"/>
    <w:rsid w:val="00AE2ADA"/>
    <w:rsid w:val="00AE36E9"/>
    <w:rsid w:val="00AE4136"/>
    <w:rsid w:val="00AE4A26"/>
    <w:rsid w:val="00AE50CC"/>
    <w:rsid w:val="00AE61D1"/>
    <w:rsid w:val="00AE6F3E"/>
    <w:rsid w:val="00AE75D2"/>
    <w:rsid w:val="00AE7E75"/>
    <w:rsid w:val="00AF00DD"/>
    <w:rsid w:val="00AF05E8"/>
    <w:rsid w:val="00AF1479"/>
    <w:rsid w:val="00AF166E"/>
    <w:rsid w:val="00AF1C09"/>
    <w:rsid w:val="00AF269C"/>
    <w:rsid w:val="00AF31BE"/>
    <w:rsid w:val="00AF46D2"/>
    <w:rsid w:val="00AF5860"/>
    <w:rsid w:val="00AF5AA0"/>
    <w:rsid w:val="00AF79C1"/>
    <w:rsid w:val="00B005D9"/>
    <w:rsid w:val="00B006F8"/>
    <w:rsid w:val="00B00B62"/>
    <w:rsid w:val="00B02A63"/>
    <w:rsid w:val="00B03DAD"/>
    <w:rsid w:val="00B04255"/>
    <w:rsid w:val="00B0480B"/>
    <w:rsid w:val="00B04D37"/>
    <w:rsid w:val="00B0570F"/>
    <w:rsid w:val="00B05AF2"/>
    <w:rsid w:val="00B0710C"/>
    <w:rsid w:val="00B10CDA"/>
    <w:rsid w:val="00B1113F"/>
    <w:rsid w:val="00B1127C"/>
    <w:rsid w:val="00B1200B"/>
    <w:rsid w:val="00B15A53"/>
    <w:rsid w:val="00B15E4F"/>
    <w:rsid w:val="00B20875"/>
    <w:rsid w:val="00B21427"/>
    <w:rsid w:val="00B217D7"/>
    <w:rsid w:val="00B21889"/>
    <w:rsid w:val="00B22E32"/>
    <w:rsid w:val="00B22F2D"/>
    <w:rsid w:val="00B23350"/>
    <w:rsid w:val="00B23976"/>
    <w:rsid w:val="00B2459B"/>
    <w:rsid w:val="00B247BF"/>
    <w:rsid w:val="00B258F3"/>
    <w:rsid w:val="00B30382"/>
    <w:rsid w:val="00B30EB8"/>
    <w:rsid w:val="00B3175F"/>
    <w:rsid w:val="00B32DE4"/>
    <w:rsid w:val="00B33BFB"/>
    <w:rsid w:val="00B340F3"/>
    <w:rsid w:val="00B35D52"/>
    <w:rsid w:val="00B36107"/>
    <w:rsid w:val="00B366E7"/>
    <w:rsid w:val="00B36C7E"/>
    <w:rsid w:val="00B41AE2"/>
    <w:rsid w:val="00B422FB"/>
    <w:rsid w:val="00B4449A"/>
    <w:rsid w:val="00B455E6"/>
    <w:rsid w:val="00B4618B"/>
    <w:rsid w:val="00B46492"/>
    <w:rsid w:val="00B47616"/>
    <w:rsid w:val="00B47A63"/>
    <w:rsid w:val="00B47BF4"/>
    <w:rsid w:val="00B50FF4"/>
    <w:rsid w:val="00B51E6F"/>
    <w:rsid w:val="00B51F94"/>
    <w:rsid w:val="00B5220D"/>
    <w:rsid w:val="00B53048"/>
    <w:rsid w:val="00B5362C"/>
    <w:rsid w:val="00B53660"/>
    <w:rsid w:val="00B53CC8"/>
    <w:rsid w:val="00B5481A"/>
    <w:rsid w:val="00B57692"/>
    <w:rsid w:val="00B57A9D"/>
    <w:rsid w:val="00B57E73"/>
    <w:rsid w:val="00B603A6"/>
    <w:rsid w:val="00B60574"/>
    <w:rsid w:val="00B60724"/>
    <w:rsid w:val="00B616C9"/>
    <w:rsid w:val="00B62411"/>
    <w:rsid w:val="00B6366D"/>
    <w:rsid w:val="00B63CA0"/>
    <w:rsid w:val="00B6411F"/>
    <w:rsid w:val="00B65D0E"/>
    <w:rsid w:val="00B664C3"/>
    <w:rsid w:val="00B668F0"/>
    <w:rsid w:val="00B67309"/>
    <w:rsid w:val="00B70536"/>
    <w:rsid w:val="00B705D6"/>
    <w:rsid w:val="00B71030"/>
    <w:rsid w:val="00B7118E"/>
    <w:rsid w:val="00B72BC2"/>
    <w:rsid w:val="00B73C0D"/>
    <w:rsid w:val="00B74333"/>
    <w:rsid w:val="00B74BF1"/>
    <w:rsid w:val="00B74C19"/>
    <w:rsid w:val="00B75C3E"/>
    <w:rsid w:val="00B76DF9"/>
    <w:rsid w:val="00B76FFA"/>
    <w:rsid w:val="00B802F8"/>
    <w:rsid w:val="00B803CE"/>
    <w:rsid w:val="00B81339"/>
    <w:rsid w:val="00B826F8"/>
    <w:rsid w:val="00B83679"/>
    <w:rsid w:val="00B851EA"/>
    <w:rsid w:val="00B87EB9"/>
    <w:rsid w:val="00B90227"/>
    <w:rsid w:val="00B90844"/>
    <w:rsid w:val="00B90BD4"/>
    <w:rsid w:val="00B90E01"/>
    <w:rsid w:val="00B93759"/>
    <w:rsid w:val="00B955F1"/>
    <w:rsid w:val="00B9649E"/>
    <w:rsid w:val="00B97157"/>
    <w:rsid w:val="00BA02FE"/>
    <w:rsid w:val="00BA1EA5"/>
    <w:rsid w:val="00BA3D53"/>
    <w:rsid w:val="00BA47B8"/>
    <w:rsid w:val="00BA6785"/>
    <w:rsid w:val="00BA73A9"/>
    <w:rsid w:val="00BA77BD"/>
    <w:rsid w:val="00BB0446"/>
    <w:rsid w:val="00BB0A17"/>
    <w:rsid w:val="00BB1C9D"/>
    <w:rsid w:val="00BB2043"/>
    <w:rsid w:val="00BB2828"/>
    <w:rsid w:val="00BB3A26"/>
    <w:rsid w:val="00BB3BE4"/>
    <w:rsid w:val="00BB4830"/>
    <w:rsid w:val="00BB4E39"/>
    <w:rsid w:val="00BB56A8"/>
    <w:rsid w:val="00BB5EB9"/>
    <w:rsid w:val="00BB6320"/>
    <w:rsid w:val="00BB6763"/>
    <w:rsid w:val="00BB69B5"/>
    <w:rsid w:val="00BC1E35"/>
    <w:rsid w:val="00BC2A36"/>
    <w:rsid w:val="00BC2BE5"/>
    <w:rsid w:val="00BC35BA"/>
    <w:rsid w:val="00BC4CFC"/>
    <w:rsid w:val="00BC5251"/>
    <w:rsid w:val="00BC5C8F"/>
    <w:rsid w:val="00BC6056"/>
    <w:rsid w:val="00BC6572"/>
    <w:rsid w:val="00BC6CBD"/>
    <w:rsid w:val="00BC7D47"/>
    <w:rsid w:val="00BD3481"/>
    <w:rsid w:val="00BD473F"/>
    <w:rsid w:val="00BD49B7"/>
    <w:rsid w:val="00BD5369"/>
    <w:rsid w:val="00BD5920"/>
    <w:rsid w:val="00BD5EFD"/>
    <w:rsid w:val="00BD64B7"/>
    <w:rsid w:val="00BD7775"/>
    <w:rsid w:val="00BE02FD"/>
    <w:rsid w:val="00BE1FFF"/>
    <w:rsid w:val="00BE24ED"/>
    <w:rsid w:val="00BE2B03"/>
    <w:rsid w:val="00BE437A"/>
    <w:rsid w:val="00BE50DF"/>
    <w:rsid w:val="00BE521E"/>
    <w:rsid w:val="00BE5954"/>
    <w:rsid w:val="00BE5D50"/>
    <w:rsid w:val="00BE5F37"/>
    <w:rsid w:val="00BE7256"/>
    <w:rsid w:val="00BE7650"/>
    <w:rsid w:val="00BE78AB"/>
    <w:rsid w:val="00BE7E99"/>
    <w:rsid w:val="00BE7EF1"/>
    <w:rsid w:val="00BF0BDC"/>
    <w:rsid w:val="00BF264F"/>
    <w:rsid w:val="00BF291F"/>
    <w:rsid w:val="00BF32D5"/>
    <w:rsid w:val="00BF4669"/>
    <w:rsid w:val="00BF4876"/>
    <w:rsid w:val="00BF54B0"/>
    <w:rsid w:val="00BF56DC"/>
    <w:rsid w:val="00BF5902"/>
    <w:rsid w:val="00BF6276"/>
    <w:rsid w:val="00BF6704"/>
    <w:rsid w:val="00BF683C"/>
    <w:rsid w:val="00BF7525"/>
    <w:rsid w:val="00BF7F1F"/>
    <w:rsid w:val="00C003FC"/>
    <w:rsid w:val="00C004BF"/>
    <w:rsid w:val="00C02231"/>
    <w:rsid w:val="00C03BC2"/>
    <w:rsid w:val="00C043F2"/>
    <w:rsid w:val="00C0468B"/>
    <w:rsid w:val="00C05251"/>
    <w:rsid w:val="00C07AC4"/>
    <w:rsid w:val="00C1271A"/>
    <w:rsid w:val="00C1369C"/>
    <w:rsid w:val="00C13DA6"/>
    <w:rsid w:val="00C1532C"/>
    <w:rsid w:val="00C15BD7"/>
    <w:rsid w:val="00C16ACC"/>
    <w:rsid w:val="00C20048"/>
    <w:rsid w:val="00C2006E"/>
    <w:rsid w:val="00C20EB8"/>
    <w:rsid w:val="00C22A18"/>
    <w:rsid w:val="00C23AFE"/>
    <w:rsid w:val="00C24138"/>
    <w:rsid w:val="00C2452A"/>
    <w:rsid w:val="00C25232"/>
    <w:rsid w:val="00C25780"/>
    <w:rsid w:val="00C26418"/>
    <w:rsid w:val="00C26820"/>
    <w:rsid w:val="00C30085"/>
    <w:rsid w:val="00C32972"/>
    <w:rsid w:val="00C32B58"/>
    <w:rsid w:val="00C3305D"/>
    <w:rsid w:val="00C334DC"/>
    <w:rsid w:val="00C33D6F"/>
    <w:rsid w:val="00C34F90"/>
    <w:rsid w:val="00C354ED"/>
    <w:rsid w:val="00C356D0"/>
    <w:rsid w:val="00C356D7"/>
    <w:rsid w:val="00C359B0"/>
    <w:rsid w:val="00C36014"/>
    <w:rsid w:val="00C3629C"/>
    <w:rsid w:val="00C3728B"/>
    <w:rsid w:val="00C40B9D"/>
    <w:rsid w:val="00C41E91"/>
    <w:rsid w:val="00C42341"/>
    <w:rsid w:val="00C44ACF"/>
    <w:rsid w:val="00C45698"/>
    <w:rsid w:val="00C4592B"/>
    <w:rsid w:val="00C4602B"/>
    <w:rsid w:val="00C474A3"/>
    <w:rsid w:val="00C47593"/>
    <w:rsid w:val="00C512AE"/>
    <w:rsid w:val="00C5206F"/>
    <w:rsid w:val="00C5259A"/>
    <w:rsid w:val="00C531F4"/>
    <w:rsid w:val="00C5544D"/>
    <w:rsid w:val="00C557DF"/>
    <w:rsid w:val="00C5625C"/>
    <w:rsid w:val="00C56941"/>
    <w:rsid w:val="00C610E5"/>
    <w:rsid w:val="00C61367"/>
    <w:rsid w:val="00C624F7"/>
    <w:rsid w:val="00C628AD"/>
    <w:rsid w:val="00C63074"/>
    <w:rsid w:val="00C63234"/>
    <w:rsid w:val="00C63311"/>
    <w:rsid w:val="00C634CA"/>
    <w:rsid w:val="00C63F97"/>
    <w:rsid w:val="00C65BA0"/>
    <w:rsid w:val="00C65F5D"/>
    <w:rsid w:val="00C70B8D"/>
    <w:rsid w:val="00C710D8"/>
    <w:rsid w:val="00C710E7"/>
    <w:rsid w:val="00C719E6"/>
    <w:rsid w:val="00C731B2"/>
    <w:rsid w:val="00C73D02"/>
    <w:rsid w:val="00C778FF"/>
    <w:rsid w:val="00C77934"/>
    <w:rsid w:val="00C779C4"/>
    <w:rsid w:val="00C77ACB"/>
    <w:rsid w:val="00C77C05"/>
    <w:rsid w:val="00C77E84"/>
    <w:rsid w:val="00C80DF4"/>
    <w:rsid w:val="00C81FBF"/>
    <w:rsid w:val="00C82500"/>
    <w:rsid w:val="00C85A21"/>
    <w:rsid w:val="00C86529"/>
    <w:rsid w:val="00C865D4"/>
    <w:rsid w:val="00C876CD"/>
    <w:rsid w:val="00C90CE3"/>
    <w:rsid w:val="00C91A3A"/>
    <w:rsid w:val="00C91E70"/>
    <w:rsid w:val="00C92304"/>
    <w:rsid w:val="00C929AF"/>
    <w:rsid w:val="00C92B30"/>
    <w:rsid w:val="00C92BFF"/>
    <w:rsid w:val="00C92E0E"/>
    <w:rsid w:val="00C9310A"/>
    <w:rsid w:val="00C9320D"/>
    <w:rsid w:val="00C9469C"/>
    <w:rsid w:val="00C94741"/>
    <w:rsid w:val="00C95C6A"/>
    <w:rsid w:val="00C97823"/>
    <w:rsid w:val="00C97EA6"/>
    <w:rsid w:val="00CA050F"/>
    <w:rsid w:val="00CA1595"/>
    <w:rsid w:val="00CA1EE7"/>
    <w:rsid w:val="00CA2A7E"/>
    <w:rsid w:val="00CA3155"/>
    <w:rsid w:val="00CA3844"/>
    <w:rsid w:val="00CA664D"/>
    <w:rsid w:val="00CB2F8B"/>
    <w:rsid w:val="00CB3F58"/>
    <w:rsid w:val="00CB5433"/>
    <w:rsid w:val="00CB567F"/>
    <w:rsid w:val="00CB5D0C"/>
    <w:rsid w:val="00CB5EAC"/>
    <w:rsid w:val="00CB5F0F"/>
    <w:rsid w:val="00CB6CB0"/>
    <w:rsid w:val="00CB7609"/>
    <w:rsid w:val="00CC06C3"/>
    <w:rsid w:val="00CC0863"/>
    <w:rsid w:val="00CC1D38"/>
    <w:rsid w:val="00CC2D53"/>
    <w:rsid w:val="00CC30F7"/>
    <w:rsid w:val="00CC5160"/>
    <w:rsid w:val="00CC556B"/>
    <w:rsid w:val="00CC642D"/>
    <w:rsid w:val="00CC6651"/>
    <w:rsid w:val="00CC6DCF"/>
    <w:rsid w:val="00CC798C"/>
    <w:rsid w:val="00CC7BD8"/>
    <w:rsid w:val="00CD06A8"/>
    <w:rsid w:val="00CD13E3"/>
    <w:rsid w:val="00CD15FE"/>
    <w:rsid w:val="00CD1CB7"/>
    <w:rsid w:val="00CD21EC"/>
    <w:rsid w:val="00CD225A"/>
    <w:rsid w:val="00CD242C"/>
    <w:rsid w:val="00CD2E85"/>
    <w:rsid w:val="00CD3D56"/>
    <w:rsid w:val="00CD3EF8"/>
    <w:rsid w:val="00CD5923"/>
    <w:rsid w:val="00CD5A81"/>
    <w:rsid w:val="00CD5B0C"/>
    <w:rsid w:val="00CD5F74"/>
    <w:rsid w:val="00CD7FBE"/>
    <w:rsid w:val="00CE0123"/>
    <w:rsid w:val="00CE1797"/>
    <w:rsid w:val="00CE17F0"/>
    <w:rsid w:val="00CE27B9"/>
    <w:rsid w:val="00CE3CC0"/>
    <w:rsid w:val="00CE3DA5"/>
    <w:rsid w:val="00CE5792"/>
    <w:rsid w:val="00CE5BC9"/>
    <w:rsid w:val="00CE5D2D"/>
    <w:rsid w:val="00CE6142"/>
    <w:rsid w:val="00CE649E"/>
    <w:rsid w:val="00CE66A6"/>
    <w:rsid w:val="00CF038A"/>
    <w:rsid w:val="00CF05D1"/>
    <w:rsid w:val="00CF1959"/>
    <w:rsid w:val="00CF2388"/>
    <w:rsid w:val="00CF242D"/>
    <w:rsid w:val="00CF2906"/>
    <w:rsid w:val="00CF2D14"/>
    <w:rsid w:val="00CF3D94"/>
    <w:rsid w:val="00CF45C0"/>
    <w:rsid w:val="00CF51C4"/>
    <w:rsid w:val="00CF53E1"/>
    <w:rsid w:val="00CF56F0"/>
    <w:rsid w:val="00CF62A8"/>
    <w:rsid w:val="00CF7642"/>
    <w:rsid w:val="00CF7981"/>
    <w:rsid w:val="00D00593"/>
    <w:rsid w:val="00D00E8A"/>
    <w:rsid w:val="00D011E8"/>
    <w:rsid w:val="00D01C9D"/>
    <w:rsid w:val="00D02D1B"/>
    <w:rsid w:val="00D034C0"/>
    <w:rsid w:val="00D038FA"/>
    <w:rsid w:val="00D04395"/>
    <w:rsid w:val="00D05C64"/>
    <w:rsid w:val="00D068BC"/>
    <w:rsid w:val="00D07B33"/>
    <w:rsid w:val="00D07EAF"/>
    <w:rsid w:val="00D10B0F"/>
    <w:rsid w:val="00D11499"/>
    <w:rsid w:val="00D116C8"/>
    <w:rsid w:val="00D1172A"/>
    <w:rsid w:val="00D1205D"/>
    <w:rsid w:val="00D1219C"/>
    <w:rsid w:val="00D1317E"/>
    <w:rsid w:val="00D14A04"/>
    <w:rsid w:val="00D20B7C"/>
    <w:rsid w:val="00D21119"/>
    <w:rsid w:val="00D22019"/>
    <w:rsid w:val="00D22145"/>
    <w:rsid w:val="00D2225F"/>
    <w:rsid w:val="00D22B14"/>
    <w:rsid w:val="00D22D62"/>
    <w:rsid w:val="00D2460D"/>
    <w:rsid w:val="00D25292"/>
    <w:rsid w:val="00D25646"/>
    <w:rsid w:val="00D256A1"/>
    <w:rsid w:val="00D259D8"/>
    <w:rsid w:val="00D26ABB"/>
    <w:rsid w:val="00D27313"/>
    <w:rsid w:val="00D2750F"/>
    <w:rsid w:val="00D30268"/>
    <w:rsid w:val="00D3031C"/>
    <w:rsid w:val="00D30BF0"/>
    <w:rsid w:val="00D311CF"/>
    <w:rsid w:val="00D31F06"/>
    <w:rsid w:val="00D32D5F"/>
    <w:rsid w:val="00D34ED2"/>
    <w:rsid w:val="00D3565A"/>
    <w:rsid w:val="00D35B5F"/>
    <w:rsid w:val="00D35FFD"/>
    <w:rsid w:val="00D36483"/>
    <w:rsid w:val="00D4218D"/>
    <w:rsid w:val="00D42368"/>
    <w:rsid w:val="00D423CF"/>
    <w:rsid w:val="00D44C71"/>
    <w:rsid w:val="00D454CA"/>
    <w:rsid w:val="00D463E4"/>
    <w:rsid w:val="00D46F5F"/>
    <w:rsid w:val="00D476EE"/>
    <w:rsid w:val="00D51335"/>
    <w:rsid w:val="00D51595"/>
    <w:rsid w:val="00D515A7"/>
    <w:rsid w:val="00D532C8"/>
    <w:rsid w:val="00D53E3E"/>
    <w:rsid w:val="00D5457F"/>
    <w:rsid w:val="00D551F2"/>
    <w:rsid w:val="00D55EEC"/>
    <w:rsid w:val="00D562E9"/>
    <w:rsid w:val="00D56E06"/>
    <w:rsid w:val="00D61034"/>
    <w:rsid w:val="00D61B83"/>
    <w:rsid w:val="00D63F3A"/>
    <w:rsid w:val="00D64176"/>
    <w:rsid w:val="00D64B64"/>
    <w:rsid w:val="00D64D1A"/>
    <w:rsid w:val="00D64FF6"/>
    <w:rsid w:val="00D65E45"/>
    <w:rsid w:val="00D6674C"/>
    <w:rsid w:val="00D66D65"/>
    <w:rsid w:val="00D67E39"/>
    <w:rsid w:val="00D67E93"/>
    <w:rsid w:val="00D70DCC"/>
    <w:rsid w:val="00D7316C"/>
    <w:rsid w:val="00D745BD"/>
    <w:rsid w:val="00D751B0"/>
    <w:rsid w:val="00D75409"/>
    <w:rsid w:val="00D75608"/>
    <w:rsid w:val="00D75AEC"/>
    <w:rsid w:val="00D776FD"/>
    <w:rsid w:val="00D777AA"/>
    <w:rsid w:val="00D77A70"/>
    <w:rsid w:val="00D804C2"/>
    <w:rsid w:val="00D80F10"/>
    <w:rsid w:val="00D8245D"/>
    <w:rsid w:val="00D84F5D"/>
    <w:rsid w:val="00D8557F"/>
    <w:rsid w:val="00D85FFB"/>
    <w:rsid w:val="00D861B3"/>
    <w:rsid w:val="00D862F5"/>
    <w:rsid w:val="00D86933"/>
    <w:rsid w:val="00D90D29"/>
    <w:rsid w:val="00D91493"/>
    <w:rsid w:val="00D920F3"/>
    <w:rsid w:val="00D93069"/>
    <w:rsid w:val="00D93BA5"/>
    <w:rsid w:val="00D945DE"/>
    <w:rsid w:val="00D95203"/>
    <w:rsid w:val="00D9596F"/>
    <w:rsid w:val="00D96AA9"/>
    <w:rsid w:val="00D971B2"/>
    <w:rsid w:val="00D973F7"/>
    <w:rsid w:val="00DA1731"/>
    <w:rsid w:val="00DA24D0"/>
    <w:rsid w:val="00DA2A26"/>
    <w:rsid w:val="00DA2B56"/>
    <w:rsid w:val="00DA2F1F"/>
    <w:rsid w:val="00DA3224"/>
    <w:rsid w:val="00DA3654"/>
    <w:rsid w:val="00DA3BC2"/>
    <w:rsid w:val="00DA43D4"/>
    <w:rsid w:val="00DA6257"/>
    <w:rsid w:val="00DA6444"/>
    <w:rsid w:val="00DA7731"/>
    <w:rsid w:val="00DB16D2"/>
    <w:rsid w:val="00DB1DAC"/>
    <w:rsid w:val="00DB22BF"/>
    <w:rsid w:val="00DB34A9"/>
    <w:rsid w:val="00DB3EB5"/>
    <w:rsid w:val="00DB589B"/>
    <w:rsid w:val="00DB5EF0"/>
    <w:rsid w:val="00DB6AEF"/>
    <w:rsid w:val="00DB6E73"/>
    <w:rsid w:val="00DB746B"/>
    <w:rsid w:val="00DB750A"/>
    <w:rsid w:val="00DB7B5E"/>
    <w:rsid w:val="00DB7D48"/>
    <w:rsid w:val="00DC0A58"/>
    <w:rsid w:val="00DC1434"/>
    <w:rsid w:val="00DC1A94"/>
    <w:rsid w:val="00DC3166"/>
    <w:rsid w:val="00DC3666"/>
    <w:rsid w:val="00DC5CB1"/>
    <w:rsid w:val="00DC60FE"/>
    <w:rsid w:val="00DC6106"/>
    <w:rsid w:val="00DC656A"/>
    <w:rsid w:val="00DC7C8C"/>
    <w:rsid w:val="00DD269F"/>
    <w:rsid w:val="00DD26A3"/>
    <w:rsid w:val="00DD31C4"/>
    <w:rsid w:val="00DD369A"/>
    <w:rsid w:val="00DD3D06"/>
    <w:rsid w:val="00DD5175"/>
    <w:rsid w:val="00DD5F57"/>
    <w:rsid w:val="00DD6BD0"/>
    <w:rsid w:val="00DE00A5"/>
    <w:rsid w:val="00DE01ED"/>
    <w:rsid w:val="00DE0BDA"/>
    <w:rsid w:val="00DE19BC"/>
    <w:rsid w:val="00DE4BC6"/>
    <w:rsid w:val="00DE4BE6"/>
    <w:rsid w:val="00DE538B"/>
    <w:rsid w:val="00DE5D9E"/>
    <w:rsid w:val="00DE632F"/>
    <w:rsid w:val="00DE6BC0"/>
    <w:rsid w:val="00DE6C2E"/>
    <w:rsid w:val="00DE6D15"/>
    <w:rsid w:val="00DE71CA"/>
    <w:rsid w:val="00DE7539"/>
    <w:rsid w:val="00DE7A9A"/>
    <w:rsid w:val="00DF0303"/>
    <w:rsid w:val="00DF29DE"/>
    <w:rsid w:val="00DF325A"/>
    <w:rsid w:val="00DF3418"/>
    <w:rsid w:val="00DF3F74"/>
    <w:rsid w:val="00DF4748"/>
    <w:rsid w:val="00DF53A6"/>
    <w:rsid w:val="00DF69F9"/>
    <w:rsid w:val="00DF6F6A"/>
    <w:rsid w:val="00DF713D"/>
    <w:rsid w:val="00DF715F"/>
    <w:rsid w:val="00DF78FE"/>
    <w:rsid w:val="00E00FE7"/>
    <w:rsid w:val="00E0109A"/>
    <w:rsid w:val="00E01593"/>
    <w:rsid w:val="00E016F0"/>
    <w:rsid w:val="00E035F5"/>
    <w:rsid w:val="00E041D3"/>
    <w:rsid w:val="00E05A5D"/>
    <w:rsid w:val="00E05E5D"/>
    <w:rsid w:val="00E06D9E"/>
    <w:rsid w:val="00E07FA2"/>
    <w:rsid w:val="00E10270"/>
    <w:rsid w:val="00E11B2A"/>
    <w:rsid w:val="00E11C0A"/>
    <w:rsid w:val="00E11CEF"/>
    <w:rsid w:val="00E11EC9"/>
    <w:rsid w:val="00E12B83"/>
    <w:rsid w:val="00E13203"/>
    <w:rsid w:val="00E132A3"/>
    <w:rsid w:val="00E1360F"/>
    <w:rsid w:val="00E14385"/>
    <w:rsid w:val="00E14B75"/>
    <w:rsid w:val="00E15B6C"/>
    <w:rsid w:val="00E1612F"/>
    <w:rsid w:val="00E1670C"/>
    <w:rsid w:val="00E17D7D"/>
    <w:rsid w:val="00E17DE8"/>
    <w:rsid w:val="00E20431"/>
    <w:rsid w:val="00E21015"/>
    <w:rsid w:val="00E210A7"/>
    <w:rsid w:val="00E22200"/>
    <w:rsid w:val="00E225D6"/>
    <w:rsid w:val="00E22CC1"/>
    <w:rsid w:val="00E23AF6"/>
    <w:rsid w:val="00E245C4"/>
    <w:rsid w:val="00E24A13"/>
    <w:rsid w:val="00E24D5E"/>
    <w:rsid w:val="00E24DE2"/>
    <w:rsid w:val="00E254D0"/>
    <w:rsid w:val="00E25CC8"/>
    <w:rsid w:val="00E26006"/>
    <w:rsid w:val="00E267B0"/>
    <w:rsid w:val="00E279B5"/>
    <w:rsid w:val="00E27DD9"/>
    <w:rsid w:val="00E302BD"/>
    <w:rsid w:val="00E305C0"/>
    <w:rsid w:val="00E309FC"/>
    <w:rsid w:val="00E30E8E"/>
    <w:rsid w:val="00E31527"/>
    <w:rsid w:val="00E3235B"/>
    <w:rsid w:val="00E334BD"/>
    <w:rsid w:val="00E34082"/>
    <w:rsid w:val="00E346AB"/>
    <w:rsid w:val="00E3496B"/>
    <w:rsid w:val="00E356FE"/>
    <w:rsid w:val="00E35A2D"/>
    <w:rsid w:val="00E35AE6"/>
    <w:rsid w:val="00E35DB0"/>
    <w:rsid w:val="00E35F80"/>
    <w:rsid w:val="00E36209"/>
    <w:rsid w:val="00E379B4"/>
    <w:rsid w:val="00E37F89"/>
    <w:rsid w:val="00E40276"/>
    <w:rsid w:val="00E40324"/>
    <w:rsid w:val="00E4084A"/>
    <w:rsid w:val="00E4094D"/>
    <w:rsid w:val="00E41753"/>
    <w:rsid w:val="00E4175B"/>
    <w:rsid w:val="00E42732"/>
    <w:rsid w:val="00E42B6D"/>
    <w:rsid w:val="00E441D7"/>
    <w:rsid w:val="00E44E94"/>
    <w:rsid w:val="00E4588A"/>
    <w:rsid w:val="00E459AB"/>
    <w:rsid w:val="00E46176"/>
    <w:rsid w:val="00E46768"/>
    <w:rsid w:val="00E46E38"/>
    <w:rsid w:val="00E471FF"/>
    <w:rsid w:val="00E47A2B"/>
    <w:rsid w:val="00E5048F"/>
    <w:rsid w:val="00E5080C"/>
    <w:rsid w:val="00E50D2C"/>
    <w:rsid w:val="00E52068"/>
    <w:rsid w:val="00E52C21"/>
    <w:rsid w:val="00E5338D"/>
    <w:rsid w:val="00E535DE"/>
    <w:rsid w:val="00E556CD"/>
    <w:rsid w:val="00E557D5"/>
    <w:rsid w:val="00E558A0"/>
    <w:rsid w:val="00E55950"/>
    <w:rsid w:val="00E55988"/>
    <w:rsid w:val="00E56273"/>
    <w:rsid w:val="00E56791"/>
    <w:rsid w:val="00E569A4"/>
    <w:rsid w:val="00E5721F"/>
    <w:rsid w:val="00E60321"/>
    <w:rsid w:val="00E60B22"/>
    <w:rsid w:val="00E61295"/>
    <w:rsid w:val="00E62308"/>
    <w:rsid w:val="00E627D5"/>
    <w:rsid w:val="00E62E06"/>
    <w:rsid w:val="00E633DD"/>
    <w:rsid w:val="00E64295"/>
    <w:rsid w:val="00E64608"/>
    <w:rsid w:val="00E64836"/>
    <w:rsid w:val="00E64CF3"/>
    <w:rsid w:val="00E670AF"/>
    <w:rsid w:val="00E67C02"/>
    <w:rsid w:val="00E67EB7"/>
    <w:rsid w:val="00E67EC2"/>
    <w:rsid w:val="00E7149B"/>
    <w:rsid w:val="00E71914"/>
    <w:rsid w:val="00E71A6D"/>
    <w:rsid w:val="00E71B06"/>
    <w:rsid w:val="00E72253"/>
    <w:rsid w:val="00E72B88"/>
    <w:rsid w:val="00E72E68"/>
    <w:rsid w:val="00E72FB1"/>
    <w:rsid w:val="00E73450"/>
    <w:rsid w:val="00E74943"/>
    <w:rsid w:val="00E75419"/>
    <w:rsid w:val="00E767EF"/>
    <w:rsid w:val="00E774A3"/>
    <w:rsid w:val="00E812C9"/>
    <w:rsid w:val="00E81391"/>
    <w:rsid w:val="00E817E8"/>
    <w:rsid w:val="00E82B2B"/>
    <w:rsid w:val="00E82B92"/>
    <w:rsid w:val="00E83421"/>
    <w:rsid w:val="00E8396C"/>
    <w:rsid w:val="00E8689A"/>
    <w:rsid w:val="00E86CC0"/>
    <w:rsid w:val="00E873A9"/>
    <w:rsid w:val="00E87AD3"/>
    <w:rsid w:val="00E87E39"/>
    <w:rsid w:val="00E90EA1"/>
    <w:rsid w:val="00E92AA7"/>
    <w:rsid w:val="00E93AA9"/>
    <w:rsid w:val="00E941B9"/>
    <w:rsid w:val="00E95493"/>
    <w:rsid w:val="00E957CD"/>
    <w:rsid w:val="00E966BB"/>
    <w:rsid w:val="00E97090"/>
    <w:rsid w:val="00EA013A"/>
    <w:rsid w:val="00EA027B"/>
    <w:rsid w:val="00EA2384"/>
    <w:rsid w:val="00EA2535"/>
    <w:rsid w:val="00EA2611"/>
    <w:rsid w:val="00EA2E71"/>
    <w:rsid w:val="00EA3288"/>
    <w:rsid w:val="00EA32BD"/>
    <w:rsid w:val="00EA35E2"/>
    <w:rsid w:val="00EA3CAA"/>
    <w:rsid w:val="00EA4B09"/>
    <w:rsid w:val="00EA4DC5"/>
    <w:rsid w:val="00EA5871"/>
    <w:rsid w:val="00EA5B1B"/>
    <w:rsid w:val="00EA5DF2"/>
    <w:rsid w:val="00EA75B2"/>
    <w:rsid w:val="00EB0093"/>
    <w:rsid w:val="00EB2516"/>
    <w:rsid w:val="00EB25D9"/>
    <w:rsid w:val="00EB2DEA"/>
    <w:rsid w:val="00EB33A9"/>
    <w:rsid w:val="00EB3476"/>
    <w:rsid w:val="00EB4958"/>
    <w:rsid w:val="00EB609E"/>
    <w:rsid w:val="00EB65CD"/>
    <w:rsid w:val="00EB6969"/>
    <w:rsid w:val="00EC01DD"/>
    <w:rsid w:val="00EC08C5"/>
    <w:rsid w:val="00EC200A"/>
    <w:rsid w:val="00EC33D7"/>
    <w:rsid w:val="00EC33FA"/>
    <w:rsid w:val="00EC3B25"/>
    <w:rsid w:val="00EC44E3"/>
    <w:rsid w:val="00ED08F7"/>
    <w:rsid w:val="00ED1F0D"/>
    <w:rsid w:val="00ED2D3B"/>
    <w:rsid w:val="00ED2DCA"/>
    <w:rsid w:val="00ED31C0"/>
    <w:rsid w:val="00ED332C"/>
    <w:rsid w:val="00ED34AF"/>
    <w:rsid w:val="00ED4A95"/>
    <w:rsid w:val="00ED52E5"/>
    <w:rsid w:val="00ED5458"/>
    <w:rsid w:val="00ED61BD"/>
    <w:rsid w:val="00ED6DDE"/>
    <w:rsid w:val="00ED7B98"/>
    <w:rsid w:val="00ED7C9B"/>
    <w:rsid w:val="00EE238D"/>
    <w:rsid w:val="00EE303D"/>
    <w:rsid w:val="00EE373E"/>
    <w:rsid w:val="00EE3A96"/>
    <w:rsid w:val="00EE3D99"/>
    <w:rsid w:val="00EE3DFF"/>
    <w:rsid w:val="00EE4EA7"/>
    <w:rsid w:val="00EE5BA7"/>
    <w:rsid w:val="00EE5C77"/>
    <w:rsid w:val="00EE66EE"/>
    <w:rsid w:val="00EE6A55"/>
    <w:rsid w:val="00EE6DA7"/>
    <w:rsid w:val="00EE720E"/>
    <w:rsid w:val="00EF06A8"/>
    <w:rsid w:val="00EF0948"/>
    <w:rsid w:val="00EF1394"/>
    <w:rsid w:val="00EF1ADB"/>
    <w:rsid w:val="00EF1C91"/>
    <w:rsid w:val="00EF25E9"/>
    <w:rsid w:val="00EF6027"/>
    <w:rsid w:val="00EF6126"/>
    <w:rsid w:val="00F01684"/>
    <w:rsid w:val="00F020A8"/>
    <w:rsid w:val="00F0213B"/>
    <w:rsid w:val="00F024B3"/>
    <w:rsid w:val="00F026A8"/>
    <w:rsid w:val="00F03448"/>
    <w:rsid w:val="00F03719"/>
    <w:rsid w:val="00F03AA8"/>
    <w:rsid w:val="00F0734D"/>
    <w:rsid w:val="00F0740F"/>
    <w:rsid w:val="00F075DC"/>
    <w:rsid w:val="00F10B7F"/>
    <w:rsid w:val="00F12CA0"/>
    <w:rsid w:val="00F13443"/>
    <w:rsid w:val="00F141ED"/>
    <w:rsid w:val="00F145E1"/>
    <w:rsid w:val="00F16BBD"/>
    <w:rsid w:val="00F16DF5"/>
    <w:rsid w:val="00F17083"/>
    <w:rsid w:val="00F174FE"/>
    <w:rsid w:val="00F203E1"/>
    <w:rsid w:val="00F20549"/>
    <w:rsid w:val="00F20D79"/>
    <w:rsid w:val="00F2340C"/>
    <w:rsid w:val="00F2353A"/>
    <w:rsid w:val="00F238E8"/>
    <w:rsid w:val="00F23EA6"/>
    <w:rsid w:val="00F243A9"/>
    <w:rsid w:val="00F24BBF"/>
    <w:rsid w:val="00F24F32"/>
    <w:rsid w:val="00F254D6"/>
    <w:rsid w:val="00F26497"/>
    <w:rsid w:val="00F26583"/>
    <w:rsid w:val="00F2710B"/>
    <w:rsid w:val="00F27A27"/>
    <w:rsid w:val="00F31249"/>
    <w:rsid w:val="00F327BC"/>
    <w:rsid w:val="00F32BEE"/>
    <w:rsid w:val="00F34CBC"/>
    <w:rsid w:val="00F352F0"/>
    <w:rsid w:val="00F35DFE"/>
    <w:rsid w:val="00F3737E"/>
    <w:rsid w:val="00F37422"/>
    <w:rsid w:val="00F37463"/>
    <w:rsid w:val="00F40EA4"/>
    <w:rsid w:val="00F41726"/>
    <w:rsid w:val="00F42BF1"/>
    <w:rsid w:val="00F43AA3"/>
    <w:rsid w:val="00F45635"/>
    <w:rsid w:val="00F45EE7"/>
    <w:rsid w:val="00F45F7B"/>
    <w:rsid w:val="00F468E9"/>
    <w:rsid w:val="00F46B68"/>
    <w:rsid w:val="00F46BB8"/>
    <w:rsid w:val="00F47F06"/>
    <w:rsid w:val="00F5001D"/>
    <w:rsid w:val="00F50B20"/>
    <w:rsid w:val="00F50D7C"/>
    <w:rsid w:val="00F51A36"/>
    <w:rsid w:val="00F5251A"/>
    <w:rsid w:val="00F5256A"/>
    <w:rsid w:val="00F55CB9"/>
    <w:rsid w:val="00F563C9"/>
    <w:rsid w:val="00F56B27"/>
    <w:rsid w:val="00F56B4F"/>
    <w:rsid w:val="00F56C28"/>
    <w:rsid w:val="00F57F71"/>
    <w:rsid w:val="00F608D1"/>
    <w:rsid w:val="00F60EC5"/>
    <w:rsid w:val="00F62C2D"/>
    <w:rsid w:val="00F63600"/>
    <w:rsid w:val="00F63978"/>
    <w:rsid w:val="00F64071"/>
    <w:rsid w:val="00F6468A"/>
    <w:rsid w:val="00F64AB3"/>
    <w:rsid w:val="00F6522A"/>
    <w:rsid w:val="00F65664"/>
    <w:rsid w:val="00F65888"/>
    <w:rsid w:val="00F66557"/>
    <w:rsid w:val="00F665A5"/>
    <w:rsid w:val="00F669AA"/>
    <w:rsid w:val="00F66F3D"/>
    <w:rsid w:val="00F6772B"/>
    <w:rsid w:val="00F678C0"/>
    <w:rsid w:val="00F67C64"/>
    <w:rsid w:val="00F701B6"/>
    <w:rsid w:val="00F70329"/>
    <w:rsid w:val="00F713BD"/>
    <w:rsid w:val="00F73068"/>
    <w:rsid w:val="00F734C2"/>
    <w:rsid w:val="00F73D77"/>
    <w:rsid w:val="00F75D0F"/>
    <w:rsid w:val="00F75D4F"/>
    <w:rsid w:val="00F76235"/>
    <w:rsid w:val="00F77306"/>
    <w:rsid w:val="00F773E3"/>
    <w:rsid w:val="00F77AE9"/>
    <w:rsid w:val="00F80CAB"/>
    <w:rsid w:val="00F80E69"/>
    <w:rsid w:val="00F831FA"/>
    <w:rsid w:val="00F848C7"/>
    <w:rsid w:val="00F906B6"/>
    <w:rsid w:val="00F90EB0"/>
    <w:rsid w:val="00F91059"/>
    <w:rsid w:val="00F910DD"/>
    <w:rsid w:val="00F91511"/>
    <w:rsid w:val="00F91E49"/>
    <w:rsid w:val="00F929BE"/>
    <w:rsid w:val="00F9393B"/>
    <w:rsid w:val="00F93CD5"/>
    <w:rsid w:val="00F95BA5"/>
    <w:rsid w:val="00F9627A"/>
    <w:rsid w:val="00F96512"/>
    <w:rsid w:val="00F96B8D"/>
    <w:rsid w:val="00F96D81"/>
    <w:rsid w:val="00F97F09"/>
    <w:rsid w:val="00FA0294"/>
    <w:rsid w:val="00FA113F"/>
    <w:rsid w:val="00FA1F69"/>
    <w:rsid w:val="00FA1FB3"/>
    <w:rsid w:val="00FA38F3"/>
    <w:rsid w:val="00FA435D"/>
    <w:rsid w:val="00FA670D"/>
    <w:rsid w:val="00FA6AD8"/>
    <w:rsid w:val="00FB0375"/>
    <w:rsid w:val="00FB24B2"/>
    <w:rsid w:val="00FB2A76"/>
    <w:rsid w:val="00FB3930"/>
    <w:rsid w:val="00FB4293"/>
    <w:rsid w:val="00FB5B02"/>
    <w:rsid w:val="00FB5D41"/>
    <w:rsid w:val="00FB5D71"/>
    <w:rsid w:val="00FB62FA"/>
    <w:rsid w:val="00FB6AF8"/>
    <w:rsid w:val="00FB6FE4"/>
    <w:rsid w:val="00FC0098"/>
    <w:rsid w:val="00FC08AE"/>
    <w:rsid w:val="00FC0B23"/>
    <w:rsid w:val="00FC0D25"/>
    <w:rsid w:val="00FC0ED8"/>
    <w:rsid w:val="00FC268B"/>
    <w:rsid w:val="00FC396E"/>
    <w:rsid w:val="00FC3B22"/>
    <w:rsid w:val="00FC3CE5"/>
    <w:rsid w:val="00FC413F"/>
    <w:rsid w:val="00FC45A6"/>
    <w:rsid w:val="00FC4AB7"/>
    <w:rsid w:val="00FC551A"/>
    <w:rsid w:val="00FC6338"/>
    <w:rsid w:val="00FD1639"/>
    <w:rsid w:val="00FD22E9"/>
    <w:rsid w:val="00FD230D"/>
    <w:rsid w:val="00FD2B0A"/>
    <w:rsid w:val="00FD2BD8"/>
    <w:rsid w:val="00FD375A"/>
    <w:rsid w:val="00FD414F"/>
    <w:rsid w:val="00FD6180"/>
    <w:rsid w:val="00FD6D81"/>
    <w:rsid w:val="00FD6E29"/>
    <w:rsid w:val="00FD725A"/>
    <w:rsid w:val="00FD7F93"/>
    <w:rsid w:val="00FE05D3"/>
    <w:rsid w:val="00FE0D13"/>
    <w:rsid w:val="00FE0D25"/>
    <w:rsid w:val="00FE1055"/>
    <w:rsid w:val="00FE28C0"/>
    <w:rsid w:val="00FE2B7D"/>
    <w:rsid w:val="00FE2C60"/>
    <w:rsid w:val="00FE3584"/>
    <w:rsid w:val="00FE473B"/>
    <w:rsid w:val="00FE5A55"/>
    <w:rsid w:val="00FE64CE"/>
    <w:rsid w:val="00FE6B25"/>
    <w:rsid w:val="00FF0043"/>
    <w:rsid w:val="00FF02E3"/>
    <w:rsid w:val="00FF2276"/>
    <w:rsid w:val="00FF2D94"/>
    <w:rsid w:val="00FF3B54"/>
    <w:rsid w:val="00FF3ED2"/>
    <w:rsid w:val="00FF42EB"/>
    <w:rsid w:val="00FF55F7"/>
    <w:rsid w:val="00FF60FA"/>
    <w:rsid w:val="00FF77C0"/>
    <w:rsid w:val="00FF7DE8"/>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6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588"/>
    <w:rPr>
      <w:rFonts w:ascii="Times New Roman" w:hAnsi="Times New Roman"/>
      <w:sz w:val="24"/>
    </w:rPr>
  </w:style>
  <w:style w:type="paragraph" w:styleId="Heading1">
    <w:name w:val="heading 1"/>
    <w:basedOn w:val="SDText"/>
    <w:next w:val="Heading2"/>
    <w:link w:val="Heading1Char"/>
    <w:uiPriority w:val="9"/>
    <w:qFormat/>
    <w:rsid w:val="0082226D"/>
    <w:pPr>
      <w:keepNext/>
      <w:keepLines/>
      <w:numPr>
        <w:numId w:val="1"/>
      </w:numPr>
      <w:spacing w:before="120" w:after="240" w:line="360" w:lineRule="auto"/>
      <w:outlineLvl w:val="0"/>
    </w:pPr>
    <w:rPr>
      <w:rFonts w:eastAsiaTheme="majorEastAsia" w:cstheme="majorBidi"/>
      <w:b/>
      <w:color w:val="000000" w:themeColor="text1"/>
      <w:sz w:val="32"/>
      <w:szCs w:val="32"/>
    </w:rPr>
  </w:style>
  <w:style w:type="paragraph" w:styleId="Heading2">
    <w:name w:val="heading 2"/>
    <w:aliases w:val="Heading 2 Char1,Heading 2 Char Char,Heading 2 Char1 Char,Heading 2 Char Char Char,Heading 2 Char Char1,Heading 2 Char1 Char1 Char,Heading 2 Char Char Char1 Char,Heading 2 Char1 Char1 Char Char Char,Heading 2 Char Char Char1 Char Char Char"/>
    <w:basedOn w:val="SDText"/>
    <w:next w:val="SDText"/>
    <w:link w:val="Heading2Char"/>
    <w:autoRedefine/>
    <w:uiPriority w:val="9"/>
    <w:unhideWhenUsed/>
    <w:qFormat/>
    <w:rsid w:val="00BB6320"/>
    <w:pPr>
      <w:keepNext/>
      <w:keepLines/>
      <w:numPr>
        <w:ilvl w:val="1"/>
        <w:numId w:val="1"/>
      </w:numPr>
      <w:jc w:val="both"/>
      <w:outlineLvl w:val="1"/>
    </w:pPr>
    <w:rPr>
      <w:rFonts w:eastAsiaTheme="majorEastAsia" w:cstheme="majorBidi"/>
      <w:b/>
      <w:color w:val="000000" w:themeColor="text1"/>
      <w:szCs w:val="24"/>
      <w:lang w:eastAsia="ru-RU"/>
    </w:rPr>
  </w:style>
  <w:style w:type="paragraph" w:styleId="Heading3">
    <w:name w:val="heading 3"/>
    <w:aliases w:val="Heading 3 Char1,Heading 3 Char Char,Heading 3 Char1 Char Char,Heading 3 Char Char Char Char,Heading 3 Char1 Char Char Char Char,Heading 3 Char Char Char Char Char Char,Heading 3 Char1 Char1 Char,Heading 3 Char Char Char1 Char"/>
    <w:basedOn w:val="SDText"/>
    <w:next w:val="SDText"/>
    <w:link w:val="Heading3Char"/>
    <w:uiPriority w:val="9"/>
    <w:unhideWhenUsed/>
    <w:qFormat/>
    <w:rsid w:val="00641D73"/>
    <w:pPr>
      <w:keepNext/>
      <w:keepLines/>
      <w:numPr>
        <w:ilvl w:val="2"/>
        <w:numId w:val="1"/>
      </w:numPr>
      <w:spacing w:before="120" w:after="120" w:line="360" w:lineRule="auto"/>
      <w:outlineLvl w:val="2"/>
    </w:pPr>
    <w:rPr>
      <w:rFonts w:eastAsiaTheme="majorEastAsia" w:cstheme="majorBidi"/>
      <w:b/>
      <w:color w:val="000000" w:themeColor="text1"/>
      <w:sz w:val="28"/>
      <w:szCs w:val="24"/>
      <w:lang w:eastAsia="ru-RU"/>
    </w:rPr>
  </w:style>
  <w:style w:type="paragraph" w:styleId="Heading4">
    <w:name w:val="heading 4"/>
    <w:basedOn w:val="Normal"/>
    <w:next w:val="Normal"/>
    <w:link w:val="Heading4Char"/>
    <w:uiPriority w:val="9"/>
    <w:unhideWhenUsed/>
    <w:qFormat/>
    <w:rsid w:val="00641D73"/>
    <w:pPr>
      <w:keepNext/>
      <w:keepLines/>
      <w:numPr>
        <w:ilvl w:val="3"/>
        <w:numId w:val="1"/>
      </w:numPr>
      <w:spacing w:before="120" w:after="120"/>
      <w:outlineLvl w:val="3"/>
    </w:pPr>
    <w:rPr>
      <w:rFonts w:eastAsiaTheme="majorEastAsia" w:cstheme="majorBidi"/>
      <w:b/>
      <w:i/>
      <w:iCs/>
      <w:color w:val="000000" w:themeColor="text1"/>
      <w:szCs w:val="24"/>
      <w:lang w:eastAsia="ru-RU"/>
    </w:rPr>
  </w:style>
  <w:style w:type="paragraph" w:styleId="Heading5">
    <w:name w:val="heading 5"/>
    <w:basedOn w:val="SDText"/>
    <w:next w:val="SDText"/>
    <w:link w:val="Heading5Char"/>
    <w:uiPriority w:val="9"/>
    <w:unhideWhenUsed/>
    <w:qFormat/>
    <w:rsid w:val="008D7311"/>
    <w:pPr>
      <w:keepNext/>
      <w:keepLines/>
      <w:numPr>
        <w:ilvl w:val="4"/>
        <w:numId w:val="1"/>
      </w:numPr>
      <w:spacing w:before="60" w:after="60"/>
      <w:outlineLvl w:val="4"/>
    </w:pPr>
    <w:rPr>
      <w:rFonts w:eastAsiaTheme="majorEastAsia" w:cstheme="majorBidi"/>
      <w:i/>
      <w:color w:val="000000" w:themeColor="text1"/>
    </w:rPr>
  </w:style>
  <w:style w:type="paragraph" w:styleId="Heading6">
    <w:name w:val="heading 6"/>
    <w:basedOn w:val="Normal"/>
    <w:next w:val="Normal"/>
    <w:link w:val="Heading6Char"/>
    <w:uiPriority w:val="9"/>
    <w:unhideWhenUsed/>
    <w:qFormat/>
    <w:rsid w:val="008D7311"/>
    <w:pPr>
      <w:keepNext/>
      <w:keepLines/>
      <w:numPr>
        <w:ilvl w:val="5"/>
        <w:numId w:val="1"/>
      </w:numPr>
      <w:spacing w:before="60" w:after="60"/>
      <w:outlineLvl w:val="5"/>
    </w:pPr>
    <w:rPr>
      <w:rFonts w:eastAsiaTheme="majorEastAsia" w:cstheme="majorBidi"/>
      <w:i/>
      <w:color w:val="000000" w:themeColor="text1"/>
      <w:u w:val="single"/>
    </w:rPr>
  </w:style>
  <w:style w:type="paragraph" w:styleId="Heading7">
    <w:name w:val="heading 7"/>
    <w:basedOn w:val="Normal"/>
    <w:next w:val="Normal"/>
    <w:link w:val="Heading7Char"/>
    <w:unhideWhenUsed/>
    <w:qFormat/>
    <w:rsid w:val="008647B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8647B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647B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26D"/>
    <w:rPr>
      <w:rFonts w:ascii="Times New Roman" w:eastAsiaTheme="majorEastAsia" w:hAnsi="Times New Roman" w:cstheme="majorBidi"/>
      <w:b/>
      <w:color w:val="000000" w:themeColor="text1"/>
      <w:sz w:val="32"/>
      <w:szCs w:val="32"/>
    </w:rPr>
  </w:style>
  <w:style w:type="character" w:customStyle="1" w:styleId="Heading2Char">
    <w:name w:val="Heading 2 Char"/>
    <w:aliases w:val="Heading 2 Char1 Char1,Heading 2 Char Char Char1,Heading 2 Char1 Char Char,Heading 2 Char Char Char Char,Heading 2 Char Char1 Char,Heading 2 Char1 Char1 Char Char,Heading 2 Char Char Char1 Char Char"/>
    <w:basedOn w:val="DefaultParagraphFont"/>
    <w:link w:val="Heading2"/>
    <w:uiPriority w:val="9"/>
    <w:rsid w:val="00BB6320"/>
    <w:rPr>
      <w:rFonts w:ascii="Times New Roman" w:eastAsiaTheme="majorEastAsia" w:hAnsi="Times New Roman" w:cstheme="majorBidi"/>
      <w:b/>
      <w:color w:val="000000" w:themeColor="text1"/>
      <w:sz w:val="24"/>
      <w:szCs w:val="24"/>
      <w:lang w:eastAsia="ru-RU"/>
    </w:rPr>
  </w:style>
  <w:style w:type="paragraph" w:customStyle="1" w:styleId="SDText">
    <w:name w:val="SD_Text"/>
    <w:basedOn w:val="Normal"/>
    <w:link w:val="SDText0"/>
    <w:qFormat/>
    <w:rsid w:val="00066F7B"/>
  </w:style>
  <w:style w:type="character" w:customStyle="1" w:styleId="Heading3Char">
    <w:name w:val="Heading 3 Char"/>
    <w:aliases w:val="Heading 3 Char1 Char,Heading 3 Char Char Char,Heading 3 Char1 Char Char Char,Heading 3 Char Char Char Char Char,Heading 3 Char1 Char Char Char Char Char,Heading 3 Char Char Char Char Char Char Char,Heading 3 Char1 Char1 Char Char"/>
    <w:basedOn w:val="DefaultParagraphFont"/>
    <w:link w:val="Heading3"/>
    <w:uiPriority w:val="9"/>
    <w:rsid w:val="00641D73"/>
    <w:rPr>
      <w:rFonts w:ascii="Times New Roman" w:eastAsiaTheme="majorEastAsia" w:hAnsi="Times New Roman" w:cstheme="majorBidi"/>
      <w:b/>
      <w:color w:val="000000" w:themeColor="text1"/>
      <w:sz w:val="28"/>
      <w:szCs w:val="24"/>
      <w:lang w:eastAsia="ru-RU"/>
    </w:rPr>
  </w:style>
  <w:style w:type="character" w:customStyle="1" w:styleId="SDText0">
    <w:name w:val="SD_Text Знак"/>
    <w:basedOn w:val="Heading1Char"/>
    <w:link w:val="SDText"/>
    <w:rsid w:val="00066F7B"/>
    <w:rPr>
      <w:rFonts w:ascii="Times New Roman" w:eastAsiaTheme="majorEastAsia" w:hAnsi="Times New Roman" w:cstheme="majorBidi"/>
      <w:b w:val="0"/>
      <w:color w:val="000000" w:themeColor="text1"/>
      <w:sz w:val="24"/>
      <w:szCs w:val="32"/>
    </w:rPr>
  </w:style>
  <w:style w:type="character" w:customStyle="1" w:styleId="Heading4Char">
    <w:name w:val="Heading 4 Char"/>
    <w:basedOn w:val="DefaultParagraphFont"/>
    <w:link w:val="Heading4"/>
    <w:uiPriority w:val="9"/>
    <w:rsid w:val="00641D73"/>
    <w:rPr>
      <w:rFonts w:ascii="Times New Roman" w:eastAsiaTheme="majorEastAsia" w:hAnsi="Times New Roman" w:cstheme="majorBidi"/>
      <w:b/>
      <w:i/>
      <w:iCs/>
      <w:color w:val="000000" w:themeColor="text1"/>
      <w:sz w:val="24"/>
      <w:szCs w:val="24"/>
      <w:lang w:eastAsia="ru-RU"/>
    </w:rPr>
  </w:style>
  <w:style w:type="character" w:customStyle="1" w:styleId="Heading5Char">
    <w:name w:val="Heading 5 Char"/>
    <w:basedOn w:val="DefaultParagraphFont"/>
    <w:link w:val="Heading5"/>
    <w:uiPriority w:val="9"/>
    <w:rsid w:val="008D7311"/>
    <w:rPr>
      <w:rFonts w:ascii="Times New Roman" w:eastAsiaTheme="majorEastAsia" w:hAnsi="Times New Roman" w:cstheme="majorBidi"/>
      <w:i/>
      <w:color w:val="000000" w:themeColor="text1"/>
      <w:sz w:val="24"/>
    </w:rPr>
  </w:style>
  <w:style w:type="character" w:customStyle="1" w:styleId="Heading6Char">
    <w:name w:val="Heading 6 Char"/>
    <w:basedOn w:val="DefaultParagraphFont"/>
    <w:link w:val="Heading6"/>
    <w:uiPriority w:val="9"/>
    <w:rsid w:val="008D7311"/>
    <w:rPr>
      <w:rFonts w:ascii="Times New Roman" w:eastAsiaTheme="majorEastAsia" w:hAnsi="Times New Roman" w:cstheme="majorBidi"/>
      <w:i/>
      <w:color w:val="000000" w:themeColor="text1"/>
      <w:sz w:val="24"/>
      <w:u w:val="single"/>
    </w:rPr>
  </w:style>
  <w:style w:type="character" w:customStyle="1" w:styleId="Heading7Char">
    <w:name w:val="Heading 7 Char"/>
    <w:basedOn w:val="DefaultParagraphFont"/>
    <w:link w:val="Heading7"/>
    <w:rsid w:val="008647BF"/>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rsid w:val="008647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8647BF"/>
    <w:rPr>
      <w:rFonts w:asciiTheme="majorHAnsi" w:eastAsiaTheme="majorEastAsia" w:hAnsiTheme="majorHAnsi" w:cstheme="majorBidi"/>
      <w:i/>
      <w:iCs/>
      <w:color w:val="272727" w:themeColor="text1" w:themeTint="D8"/>
      <w:sz w:val="21"/>
      <w:szCs w:val="21"/>
    </w:rPr>
  </w:style>
  <w:style w:type="paragraph" w:customStyle="1" w:styleId="SDpicture">
    <w:name w:val="SD_picture"/>
    <w:basedOn w:val="SDText"/>
    <w:qFormat/>
    <w:rsid w:val="00FC413F"/>
    <w:pPr>
      <w:jc w:val="center"/>
    </w:pPr>
    <w:rPr>
      <w:i/>
    </w:rPr>
  </w:style>
  <w:style w:type="paragraph" w:styleId="Caption">
    <w:name w:val="caption"/>
    <w:basedOn w:val="Normal"/>
    <w:next w:val="Normal"/>
    <w:uiPriority w:val="35"/>
    <w:unhideWhenUsed/>
    <w:qFormat/>
    <w:rsid w:val="00066F7B"/>
    <w:pPr>
      <w:keepNext/>
      <w:keepLines/>
      <w:suppressAutoHyphens/>
      <w:spacing w:after="200"/>
      <w:jc w:val="center"/>
    </w:pPr>
    <w:rPr>
      <w:b/>
      <w:iCs/>
      <w:sz w:val="20"/>
      <w:szCs w:val="18"/>
    </w:rPr>
  </w:style>
  <w:style w:type="table" w:styleId="TableGrid">
    <w:name w:val="Table Grid"/>
    <w:basedOn w:val="TableNormal"/>
    <w:uiPriority w:val="59"/>
    <w:rsid w:val="007D5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232890"/>
    <w:rPr>
      <w:sz w:val="20"/>
      <w:szCs w:val="20"/>
    </w:rPr>
  </w:style>
  <w:style w:type="character" w:customStyle="1" w:styleId="FootnoteTextChar">
    <w:name w:val="Footnote Text Char"/>
    <w:basedOn w:val="DefaultParagraphFont"/>
    <w:link w:val="FootnoteText"/>
    <w:uiPriority w:val="99"/>
    <w:semiHidden/>
    <w:rsid w:val="00232890"/>
    <w:rPr>
      <w:rFonts w:ascii="Times New Roman" w:hAnsi="Times New Roman"/>
      <w:sz w:val="20"/>
      <w:szCs w:val="20"/>
    </w:rPr>
  </w:style>
  <w:style w:type="character" w:styleId="FootnoteReference">
    <w:name w:val="footnote reference"/>
    <w:basedOn w:val="DefaultParagraphFont"/>
    <w:uiPriority w:val="99"/>
    <w:semiHidden/>
    <w:unhideWhenUsed/>
    <w:rsid w:val="00232890"/>
    <w:rPr>
      <w:vertAlign w:val="superscript"/>
    </w:rPr>
  </w:style>
  <w:style w:type="paragraph" w:styleId="TOCHeading">
    <w:name w:val="TOC Heading"/>
    <w:basedOn w:val="Heading1"/>
    <w:next w:val="Normal"/>
    <w:uiPriority w:val="39"/>
    <w:unhideWhenUsed/>
    <w:qFormat/>
    <w:rsid w:val="00975816"/>
    <w:pPr>
      <w:numPr>
        <w:numId w:val="0"/>
      </w:numPr>
      <w:spacing w:line="259" w:lineRule="auto"/>
      <w:outlineLvl w:val="9"/>
    </w:pPr>
    <w:rPr>
      <w:rFonts w:cs="Times New Roman"/>
      <w:lang w:eastAsia="ru-RU"/>
    </w:rPr>
  </w:style>
  <w:style w:type="paragraph" w:styleId="TOC1">
    <w:name w:val="toc 1"/>
    <w:basedOn w:val="Normal"/>
    <w:next w:val="Normal"/>
    <w:autoRedefine/>
    <w:uiPriority w:val="39"/>
    <w:unhideWhenUsed/>
    <w:rsid w:val="00C32972"/>
    <w:pPr>
      <w:tabs>
        <w:tab w:val="left" w:pos="480"/>
        <w:tab w:val="right" w:leader="dot" w:pos="9345"/>
      </w:tabs>
    </w:pPr>
    <w:rPr>
      <w:b/>
      <w:bCs/>
      <w:szCs w:val="24"/>
    </w:rPr>
  </w:style>
  <w:style w:type="paragraph" w:styleId="TOC2">
    <w:name w:val="toc 2"/>
    <w:basedOn w:val="Normal"/>
    <w:next w:val="Normal"/>
    <w:autoRedefine/>
    <w:uiPriority w:val="39"/>
    <w:unhideWhenUsed/>
    <w:rsid w:val="001D1A4D"/>
    <w:pPr>
      <w:tabs>
        <w:tab w:val="left" w:pos="960"/>
        <w:tab w:val="right" w:leader="dot" w:pos="9345"/>
      </w:tabs>
      <w:ind w:left="240"/>
    </w:pPr>
    <w:rPr>
      <w:b/>
      <w:bCs/>
      <w:sz w:val="22"/>
    </w:rPr>
  </w:style>
  <w:style w:type="paragraph" w:styleId="TOC3">
    <w:name w:val="toc 3"/>
    <w:basedOn w:val="Normal"/>
    <w:next w:val="Normal"/>
    <w:autoRedefine/>
    <w:uiPriority w:val="39"/>
    <w:unhideWhenUsed/>
    <w:rsid w:val="001D1A4D"/>
    <w:pPr>
      <w:ind w:left="480"/>
    </w:pPr>
    <w:rPr>
      <w:sz w:val="22"/>
    </w:rPr>
  </w:style>
  <w:style w:type="character" w:styleId="Hyperlink">
    <w:name w:val="Hyperlink"/>
    <w:basedOn w:val="DefaultParagraphFont"/>
    <w:uiPriority w:val="99"/>
    <w:unhideWhenUsed/>
    <w:rsid w:val="009A0B62"/>
    <w:rPr>
      <w:color w:val="0563C1" w:themeColor="hyperlink"/>
      <w:u w:val="single"/>
    </w:rPr>
  </w:style>
  <w:style w:type="paragraph" w:styleId="TableofFigures">
    <w:name w:val="table of figures"/>
    <w:basedOn w:val="Normal"/>
    <w:next w:val="Normal"/>
    <w:uiPriority w:val="99"/>
    <w:unhideWhenUsed/>
    <w:rsid w:val="009B3DC5"/>
    <w:rPr>
      <w:sz w:val="20"/>
    </w:rPr>
  </w:style>
  <w:style w:type="paragraph" w:styleId="Bibliography">
    <w:name w:val="Bibliography"/>
    <w:basedOn w:val="Normal"/>
    <w:next w:val="Normal"/>
    <w:uiPriority w:val="37"/>
    <w:unhideWhenUsed/>
    <w:rsid w:val="00F243A9"/>
    <w:pPr>
      <w:tabs>
        <w:tab w:val="left" w:pos="264"/>
      </w:tabs>
      <w:ind w:left="264" w:hanging="264"/>
    </w:pPr>
  </w:style>
  <w:style w:type="paragraph" w:styleId="Header">
    <w:name w:val="header"/>
    <w:basedOn w:val="Normal"/>
    <w:link w:val="HeaderChar"/>
    <w:uiPriority w:val="99"/>
    <w:unhideWhenUsed/>
    <w:rsid w:val="0050728B"/>
    <w:pPr>
      <w:tabs>
        <w:tab w:val="center" w:pos="4677"/>
        <w:tab w:val="right" w:pos="9355"/>
      </w:tabs>
    </w:pPr>
  </w:style>
  <w:style w:type="character" w:customStyle="1" w:styleId="HeaderChar">
    <w:name w:val="Header Char"/>
    <w:basedOn w:val="DefaultParagraphFont"/>
    <w:link w:val="Header"/>
    <w:uiPriority w:val="99"/>
    <w:rsid w:val="0050728B"/>
    <w:rPr>
      <w:rFonts w:ascii="Times New Roman" w:hAnsi="Times New Roman"/>
      <w:sz w:val="24"/>
    </w:rPr>
  </w:style>
  <w:style w:type="paragraph" w:styleId="Footer">
    <w:name w:val="footer"/>
    <w:basedOn w:val="Normal"/>
    <w:link w:val="FooterChar"/>
    <w:uiPriority w:val="99"/>
    <w:unhideWhenUsed/>
    <w:rsid w:val="0050728B"/>
    <w:pPr>
      <w:tabs>
        <w:tab w:val="center" w:pos="4677"/>
        <w:tab w:val="right" w:pos="9355"/>
      </w:tabs>
    </w:pPr>
  </w:style>
  <w:style w:type="character" w:customStyle="1" w:styleId="FooterChar">
    <w:name w:val="Footer Char"/>
    <w:basedOn w:val="DefaultParagraphFont"/>
    <w:link w:val="Footer"/>
    <w:uiPriority w:val="99"/>
    <w:rsid w:val="0050728B"/>
    <w:rPr>
      <w:rFonts w:ascii="Times New Roman" w:hAnsi="Times New Roman"/>
      <w:sz w:val="24"/>
    </w:rPr>
  </w:style>
  <w:style w:type="character" w:styleId="CommentReference">
    <w:name w:val="annotation reference"/>
    <w:basedOn w:val="DefaultParagraphFont"/>
    <w:unhideWhenUsed/>
    <w:rsid w:val="005B0BF7"/>
    <w:rPr>
      <w:sz w:val="16"/>
      <w:szCs w:val="16"/>
    </w:rPr>
  </w:style>
  <w:style w:type="paragraph" w:styleId="CommentText">
    <w:name w:val="annotation text"/>
    <w:basedOn w:val="Normal"/>
    <w:link w:val="CommentTextChar"/>
    <w:unhideWhenUsed/>
    <w:rsid w:val="005B0BF7"/>
    <w:rPr>
      <w:sz w:val="20"/>
      <w:szCs w:val="20"/>
    </w:rPr>
  </w:style>
  <w:style w:type="character" w:customStyle="1" w:styleId="CommentTextChar">
    <w:name w:val="Comment Text Char"/>
    <w:basedOn w:val="DefaultParagraphFont"/>
    <w:link w:val="CommentText"/>
    <w:rsid w:val="005B0BF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B0BF7"/>
    <w:rPr>
      <w:b/>
      <w:bCs/>
    </w:rPr>
  </w:style>
  <w:style w:type="character" w:customStyle="1" w:styleId="CommentSubjectChar">
    <w:name w:val="Comment Subject Char"/>
    <w:basedOn w:val="CommentTextChar"/>
    <w:link w:val="CommentSubject"/>
    <w:uiPriority w:val="99"/>
    <w:semiHidden/>
    <w:rsid w:val="005B0BF7"/>
    <w:rPr>
      <w:rFonts w:ascii="Times New Roman" w:hAnsi="Times New Roman"/>
      <w:b/>
      <w:bCs/>
      <w:sz w:val="20"/>
      <w:szCs w:val="20"/>
    </w:rPr>
  </w:style>
  <w:style w:type="paragraph" w:styleId="BalloonText">
    <w:name w:val="Balloon Text"/>
    <w:basedOn w:val="Normal"/>
    <w:link w:val="BalloonTextChar"/>
    <w:uiPriority w:val="99"/>
    <w:semiHidden/>
    <w:unhideWhenUsed/>
    <w:rsid w:val="005B0B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0BF7"/>
    <w:rPr>
      <w:rFonts w:ascii="Segoe UI" w:hAnsi="Segoe UI" w:cs="Segoe UI"/>
      <w:sz w:val="18"/>
      <w:szCs w:val="18"/>
    </w:rPr>
  </w:style>
  <w:style w:type="character" w:styleId="SubtleEmphasis">
    <w:name w:val="Subtle Emphasis"/>
    <w:basedOn w:val="DefaultParagraphFont"/>
    <w:uiPriority w:val="19"/>
    <w:qFormat/>
    <w:rsid w:val="00066F7B"/>
    <w:rPr>
      <w:i/>
      <w:iCs/>
      <w:color w:val="404040" w:themeColor="text1" w:themeTint="BF"/>
    </w:rPr>
  </w:style>
  <w:style w:type="paragraph" w:customStyle="1" w:styleId="SDcomments">
    <w:name w:val="SD_comments"/>
    <w:basedOn w:val="SDText"/>
    <w:qFormat/>
    <w:rsid w:val="00031769"/>
    <w:rPr>
      <w:sz w:val="20"/>
      <w:szCs w:val="20"/>
    </w:rPr>
  </w:style>
  <w:style w:type="paragraph" w:styleId="DocumentMap">
    <w:name w:val="Document Map"/>
    <w:basedOn w:val="Normal"/>
    <w:link w:val="DocumentMapChar"/>
    <w:uiPriority w:val="99"/>
    <w:semiHidden/>
    <w:unhideWhenUsed/>
    <w:rsid w:val="0082226D"/>
    <w:rPr>
      <w:rFonts w:cs="Times New Roman"/>
      <w:szCs w:val="24"/>
    </w:rPr>
  </w:style>
  <w:style w:type="character" w:customStyle="1" w:styleId="DocumentMapChar">
    <w:name w:val="Document Map Char"/>
    <w:basedOn w:val="DefaultParagraphFont"/>
    <w:link w:val="DocumentMap"/>
    <w:uiPriority w:val="99"/>
    <w:semiHidden/>
    <w:rsid w:val="0082226D"/>
    <w:rPr>
      <w:rFonts w:ascii="Times New Roman" w:hAnsi="Times New Roman" w:cs="Times New Roman"/>
      <w:sz w:val="24"/>
      <w:szCs w:val="24"/>
    </w:rPr>
  </w:style>
  <w:style w:type="paragraph" w:customStyle="1" w:styleId="SDTable">
    <w:name w:val="SD_Table"/>
    <w:basedOn w:val="Caption"/>
    <w:qFormat/>
    <w:rsid w:val="00975816"/>
    <w:pPr>
      <w:jc w:val="right"/>
    </w:pPr>
  </w:style>
  <w:style w:type="paragraph" w:styleId="TOC4">
    <w:name w:val="toc 4"/>
    <w:basedOn w:val="Normal"/>
    <w:next w:val="Normal"/>
    <w:autoRedefine/>
    <w:uiPriority w:val="39"/>
    <w:unhideWhenUsed/>
    <w:rsid w:val="001D1A4D"/>
    <w:pPr>
      <w:ind w:left="720"/>
    </w:pPr>
    <w:rPr>
      <w:sz w:val="20"/>
      <w:szCs w:val="20"/>
    </w:rPr>
  </w:style>
  <w:style w:type="paragraph" w:styleId="TOC5">
    <w:name w:val="toc 5"/>
    <w:basedOn w:val="Normal"/>
    <w:next w:val="Normal"/>
    <w:autoRedefine/>
    <w:uiPriority w:val="39"/>
    <w:unhideWhenUsed/>
    <w:rsid w:val="001D1A4D"/>
    <w:pPr>
      <w:ind w:left="960"/>
    </w:pPr>
    <w:rPr>
      <w:sz w:val="20"/>
      <w:szCs w:val="20"/>
    </w:rPr>
  </w:style>
  <w:style w:type="paragraph" w:styleId="TOC6">
    <w:name w:val="toc 6"/>
    <w:basedOn w:val="Normal"/>
    <w:next w:val="Normal"/>
    <w:autoRedefine/>
    <w:uiPriority w:val="39"/>
    <w:unhideWhenUsed/>
    <w:rsid w:val="001D1A4D"/>
    <w:pPr>
      <w:ind w:left="1200"/>
    </w:pPr>
    <w:rPr>
      <w:sz w:val="20"/>
      <w:szCs w:val="20"/>
    </w:rPr>
  </w:style>
  <w:style w:type="paragraph" w:styleId="TOC7">
    <w:name w:val="toc 7"/>
    <w:basedOn w:val="Normal"/>
    <w:next w:val="Normal"/>
    <w:autoRedefine/>
    <w:uiPriority w:val="39"/>
    <w:unhideWhenUsed/>
    <w:rsid w:val="001D1A4D"/>
    <w:pPr>
      <w:ind w:left="1440"/>
    </w:pPr>
    <w:rPr>
      <w:sz w:val="20"/>
      <w:szCs w:val="20"/>
    </w:rPr>
  </w:style>
  <w:style w:type="paragraph" w:styleId="TOC8">
    <w:name w:val="toc 8"/>
    <w:basedOn w:val="Normal"/>
    <w:next w:val="Normal"/>
    <w:autoRedefine/>
    <w:uiPriority w:val="39"/>
    <w:unhideWhenUsed/>
    <w:rsid w:val="001D1A4D"/>
    <w:pPr>
      <w:ind w:left="1680"/>
    </w:pPr>
    <w:rPr>
      <w:sz w:val="20"/>
      <w:szCs w:val="20"/>
    </w:rPr>
  </w:style>
  <w:style w:type="paragraph" w:styleId="TOC9">
    <w:name w:val="toc 9"/>
    <w:basedOn w:val="Normal"/>
    <w:next w:val="Normal"/>
    <w:autoRedefine/>
    <w:uiPriority w:val="39"/>
    <w:unhideWhenUsed/>
    <w:rsid w:val="001D1A4D"/>
    <w:pPr>
      <w:ind w:left="1920"/>
    </w:pPr>
    <w:rPr>
      <w:sz w:val="20"/>
      <w:szCs w:val="20"/>
    </w:rPr>
  </w:style>
  <w:style w:type="paragraph" w:styleId="Revision">
    <w:name w:val="Revision"/>
    <w:hidden/>
    <w:uiPriority w:val="99"/>
    <w:semiHidden/>
    <w:rsid w:val="009F69EE"/>
    <w:rPr>
      <w:rFonts w:ascii="Times New Roman" w:hAnsi="Times New Roman"/>
      <w:sz w:val="24"/>
    </w:rPr>
  </w:style>
  <w:style w:type="table" w:customStyle="1" w:styleId="10">
    <w:name w:val="Сетка таблицы1"/>
    <w:basedOn w:val="TableNormal"/>
    <w:next w:val="TableGrid"/>
    <w:uiPriority w:val="39"/>
    <w:rsid w:val="00DA36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
    <w:name w:val="Нет списка1"/>
    <w:next w:val="NoList"/>
    <w:uiPriority w:val="99"/>
    <w:semiHidden/>
    <w:unhideWhenUsed/>
    <w:rsid w:val="00EF25E9"/>
  </w:style>
  <w:style w:type="paragraph" w:customStyle="1" w:styleId="Standard">
    <w:name w:val="Standard"/>
    <w:rsid w:val="00EF25E9"/>
    <w:pPr>
      <w:suppressAutoHyphens/>
      <w:autoSpaceDN w:val="0"/>
      <w:jc w:val="both"/>
      <w:textAlignment w:val="baseline"/>
    </w:pPr>
    <w:rPr>
      <w:rFonts w:ascii="Arial" w:eastAsia="Calibri" w:hAnsi="Arial" w:cs="Times New Roman"/>
      <w:kern w:val="3"/>
      <w:szCs w:val="20"/>
      <w:lang w:val="en-US"/>
    </w:rPr>
  </w:style>
  <w:style w:type="paragraph" w:styleId="ListParagraph">
    <w:name w:val="List Paragraph"/>
    <w:basedOn w:val="Standard"/>
    <w:link w:val="ListParagraphChar"/>
    <w:uiPriority w:val="34"/>
    <w:qFormat/>
    <w:rsid w:val="00EF25E9"/>
    <w:pPr>
      <w:spacing w:line="276" w:lineRule="auto"/>
    </w:pPr>
    <w:rPr>
      <w:rFonts w:ascii="Times New Roman" w:hAnsi="Times New Roman"/>
      <w:sz w:val="24"/>
    </w:rPr>
  </w:style>
  <w:style w:type="paragraph" w:customStyle="1" w:styleId="Head">
    <w:name w:val="Head"/>
    <w:basedOn w:val="Normal"/>
    <w:rsid w:val="00EF25E9"/>
    <w:pPr>
      <w:autoSpaceDN w:val="0"/>
      <w:spacing w:before="240" w:after="240"/>
      <w:outlineLvl w:val="3"/>
    </w:pPr>
    <w:rPr>
      <w:rFonts w:eastAsia="Times New Roman" w:cs="Times New Roman"/>
      <w:sz w:val="32"/>
      <w:szCs w:val="20"/>
      <w:lang w:eastAsia="ru-RU"/>
    </w:rPr>
  </w:style>
  <w:style w:type="character" w:styleId="PlaceholderText">
    <w:name w:val="Placeholder Text"/>
    <w:basedOn w:val="DefaultParagraphFont"/>
    <w:uiPriority w:val="99"/>
    <w:semiHidden/>
    <w:rsid w:val="00EF25E9"/>
    <w:rPr>
      <w:color w:val="808080"/>
    </w:rPr>
  </w:style>
  <w:style w:type="character" w:customStyle="1" w:styleId="shorttext">
    <w:name w:val="short_text"/>
    <w:basedOn w:val="DefaultParagraphFont"/>
    <w:rsid w:val="00EF25E9"/>
  </w:style>
  <w:style w:type="paragraph" w:styleId="ListBullet">
    <w:name w:val="List Bullet"/>
    <w:uiPriority w:val="2"/>
    <w:rsid w:val="00EF25E9"/>
    <w:pPr>
      <w:numPr>
        <w:numId w:val="2"/>
      </w:numPr>
      <w:spacing w:before="200" w:after="200" w:line="288" w:lineRule="auto"/>
      <w:contextualSpacing/>
      <w:jc w:val="both"/>
    </w:pPr>
    <w:rPr>
      <w:rFonts w:ascii="Times New Roman" w:hAnsi="Times New Roman"/>
      <w:sz w:val="24"/>
      <w:szCs w:val="24"/>
      <w:lang w:eastAsia="ru-RU"/>
    </w:rPr>
  </w:style>
  <w:style w:type="paragraph" w:customStyle="1" w:styleId="12">
    <w:name w:val="Обычный1"/>
    <w:rsid w:val="00EF25E9"/>
    <w:pPr>
      <w:widowControl w:val="0"/>
    </w:pPr>
    <w:rPr>
      <w:rFonts w:ascii="Times New Roman" w:eastAsia="Times New Roman" w:hAnsi="Times New Roman" w:cs="Times New Roman"/>
      <w:snapToGrid w:val="0"/>
      <w:sz w:val="20"/>
      <w:szCs w:val="20"/>
      <w:lang w:eastAsia="ru-RU"/>
    </w:rPr>
  </w:style>
  <w:style w:type="character" w:customStyle="1" w:styleId="a">
    <w:name w:val="Основной текст + Полужирный"/>
    <w:aliases w:val="Курсив10"/>
    <w:uiPriority w:val="99"/>
    <w:rsid w:val="00EF25E9"/>
    <w:rPr>
      <w:rFonts w:ascii="Times New Roman" w:hAnsi="Times New Roman" w:cs="Times New Roman"/>
      <w:b/>
      <w:bCs/>
      <w:i/>
      <w:iCs/>
      <w:sz w:val="26"/>
      <w:szCs w:val="26"/>
    </w:rPr>
  </w:style>
  <w:style w:type="character" w:customStyle="1" w:styleId="a0">
    <w:name w:val="Основной текст + Курсив"/>
    <w:uiPriority w:val="99"/>
    <w:rsid w:val="00EF25E9"/>
    <w:rPr>
      <w:rFonts w:ascii="Times New Roman" w:hAnsi="Times New Roman" w:cs="Times New Roman"/>
      <w:i/>
      <w:iCs/>
      <w:sz w:val="26"/>
      <w:szCs w:val="26"/>
    </w:rPr>
  </w:style>
  <w:style w:type="paragraph" w:customStyle="1" w:styleId="style13243705380000000560msonormal">
    <w:name w:val="style_13243705380000000560msonormal"/>
    <w:basedOn w:val="Normal"/>
    <w:rsid w:val="00EF25E9"/>
    <w:pPr>
      <w:spacing w:before="100" w:beforeAutospacing="1" w:after="100" w:afterAutospacing="1"/>
    </w:pPr>
    <w:rPr>
      <w:rFonts w:eastAsia="Times New Roman" w:cs="Times New Roman"/>
      <w:szCs w:val="24"/>
      <w:lang w:eastAsia="ru-RU"/>
    </w:rPr>
  </w:style>
  <w:style w:type="paragraph" w:styleId="BodyText">
    <w:name w:val="Body Text"/>
    <w:basedOn w:val="Normal"/>
    <w:link w:val="BodyTextChar"/>
    <w:rsid w:val="00EF25E9"/>
    <w:rPr>
      <w:rFonts w:eastAsia="Times New Roman" w:cs="Times New Roman"/>
      <w:sz w:val="28"/>
      <w:szCs w:val="20"/>
      <w:lang w:eastAsia="ru-RU"/>
    </w:rPr>
  </w:style>
  <w:style w:type="character" w:customStyle="1" w:styleId="BodyTextChar">
    <w:name w:val="Body Text Char"/>
    <w:basedOn w:val="DefaultParagraphFont"/>
    <w:link w:val="BodyText"/>
    <w:rsid w:val="00EF25E9"/>
    <w:rPr>
      <w:rFonts w:ascii="Times New Roman" w:eastAsia="Times New Roman" w:hAnsi="Times New Roman" w:cs="Times New Roman"/>
      <w:sz w:val="28"/>
      <w:szCs w:val="20"/>
      <w:lang w:eastAsia="ru-RU"/>
    </w:rPr>
  </w:style>
  <w:style w:type="character" w:customStyle="1" w:styleId="2">
    <w:name w:val="Основной текст (2)"/>
    <w:link w:val="21"/>
    <w:uiPriority w:val="99"/>
    <w:locked/>
    <w:rsid w:val="00EF25E9"/>
    <w:rPr>
      <w:rFonts w:ascii="Times New Roman" w:hAnsi="Times New Roman" w:cs="Times New Roman"/>
      <w:sz w:val="26"/>
      <w:szCs w:val="26"/>
      <w:shd w:val="clear" w:color="auto" w:fill="FFFFFF"/>
    </w:rPr>
  </w:style>
  <w:style w:type="paragraph" w:customStyle="1" w:styleId="21">
    <w:name w:val="Основной текст (2)1"/>
    <w:basedOn w:val="Normal"/>
    <w:link w:val="2"/>
    <w:uiPriority w:val="99"/>
    <w:rsid w:val="00EF25E9"/>
    <w:pPr>
      <w:shd w:val="clear" w:color="auto" w:fill="FFFFFF"/>
      <w:spacing w:after="2460" w:line="240" w:lineRule="atLeast"/>
    </w:pPr>
    <w:rPr>
      <w:rFonts w:cs="Times New Roman"/>
      <w:sz w:val="26"/>
      <w:szCs w:val="26"/>
    </w:rPr>
  </w:style>
  <w:style w:type="character" w:customStyle="1" w:styleId="14">
    <w:name w:val="Основной текст (14)"/>
    <w:link w:val="141"/>
    <w:uiPriority w:val="99"/>
    <w:rsid w:val="00EF25E9"/>
    <w:rPr>
      <w:rFonts w:ascii="Times New Roman" w:hAnsi="Times New Roman" w:cs="Times New Roman"/>
      <w:sz w:val="26"/>
      <w:szCs w:val="26"/>
      <w:shd w:val="clear" w:color="auto" w:fill="FFFFFF"/>
    </w:rPr>
  </w:style>
  <w:style w:type="paragraph" w:customStyle="1" w:styleId="141">
    <w:name w:val="Основной текст (14)1"/>
    <w:basedOn w:val="Normal"/>
    <w:link w:val="14"/>
    <w:uiPriority w:val="99"/>
    <w:rsid w:val="00EF25E9"/>
    <w:pPr>
      <w:shd w:val="clear" w:color="auto" w:fill="FFFFFF"/>
      <w:spacing w:line="299" w:lineRule="exact"/>
    </w:pPr>
    <w:rPr>
      <w:rFonts w:cs="Times New Roman"/>
      <w:sz w:val="26"/>
      <w:szCs w:val="26"/>
    </w:rPr>
  </w:style>
  <w:style w:type="paragraph" w:styleId="BodyTextIndent">
    <w:name w:val="Body Text Indent"/>
    <w:basedOn w:val="Normal"/>
    <w:link w:val="BodyTextIndentChar"/>
    <w:uiPriority w:val="99"/>
    <w:semiHidden/>
    <w:unhideWhenUsed/>
    <w:rsid w:val="00EF25E9"/>
    <w:pPr>
      <w:spacing w:after="120"/>
      <w:ind w:left="283"/>
    </w:pPr>
    <w:rPr>
      <w:rFonts w:cs="Times New Roman"/>
      <w:szCs w:val="24"/>
      <w:lang w:eastAsia="ru-RU"/>
    </w:rPr>
  </w:style>
  <w:style w:type="character" w:customStyle="1" w:styleId="BodyTextIndentChar">
    <w:name w:val="Body Text Indent Char"/>
    <w:basedOn w:val="DefaultParagraphFont"/>
    <w:link w:val="BodyTextIndent"/>
    <w:uiPriority w:val="99"/>
    <w:semiHidden/>
    <w:rsid w:val="00EF25E9"/>
    <w:rPr>
      <w:rFonts w:ascii="Times New Roman" w:hAnsi="Times New Roman" w:cs="Times New Roman"/>
      <w:sz w:val="24"/>
      <w:szCs w:val="24"/>
      <w:lang w:eastAsia="ru-RU"/>
    </w:rPr>
  </w:style>
  <w:style w:type="paragraph" w:customStyle="1" w:styleId="102">
    <w:name w:val="Стиль Стиль1 + разреженный на  02 пт"/>
    <w:basedOn w:val="Normal"/>
    <w:rsid w:val="00EF25E9"/>
    <w:pPr>
      <w:suppressAutoHyphens/>
      <w:spacing w:line="360" w:lineRule="auto"/>
      <w:ind w:firstLine="709"/>
    </w:pPr>
    <w:rPr>
      <w:rFonts w:eastAsia="Times New Roman" w:cs="Times New Roman"/>
      <w:spacing w:val="4"/>
      <w:sz w:val="28"/>
      <w:szCs w:val="24"/>
      <w:lang w:eastAsia="ru-RU"/>
    </w:rPr>
  </w:style>
  <w:style w:type="paragraph" w:styleId="Subtitle">
    <w:name w:val="Subtitle"/>
    <w:basedOn w:val="Normal"/>
    <w:next w:val="Normal"/>
    <w:link w:val="SubtitleChar"/>
    <w:uiPriority w:val="11"/>
    <w:qFormat/>
    <w:rsid w:val="00D04395"/>
    <w:pPr>
      <w:numPr>
        <w:ilvl w:val="1"/>
      </w:numPr>
    </w:pPr>
    <w:rPr>
      <w:b/>
      <w:color w:val="000000" w:themeColor="text1"/>
    </w:rPr>
  </w:style>
  <w:style w:type="character" w:customStyle="1" w:styleId="SubtitleChar">
    <w:name w:val="Subtitle Char"/>
    <w:basedOn w:val="DefaultParagraphFont"/>
    <w:link w:val="Subtitle"/>
    <w:uiPriority w:val="11"/>
    <w:rsid w:val="00D04395"/>
    <w:rPr>
      <w:rFonts w:ascii="Times New Roman" w:eastAsiaTheme="minorEastAsia" w:hAnsi="Times New Roman"/>
      <w:b/>
      <w:color w:val="000000" w:themeColor="text1"/>
      <w:sz w:val="24"/>
    </w:rPr>
  </w:style>
  <w:style w:type="paragraph" w:customStyle="1" w:styleId="13">
    <w:name w:val="Список литературы1"/>
    <w:basedOn w:val="Normal"/>
    <w:rsid w:val="005D6D84"/>
    <w:pPr>
      <w:tabs>
        <w:tab w:val="left" w:pos="260"/>
      </w:tabs>
      <w:ind w:left="264" w:hanging="264"/>
    </w:pPr>
    <w:rPr>
      <w:rFonts w:cs="Times New Roman"/>
      <w:szCs w:val="24"/>
      <w:lang w:eastAsia="ru-RU"/>
    </w:rPr>
  </w:style>
  <w:style w:type="table" w:customStyle="1" w:styleId="20">
    <w:name w:val="Сетка таблицы2"/>
    <w:basedOn w:val="TableNormal"/>
    <w:next w:val="TableGrid"/>
    <w:uiPriority w:val="39"/>
    <w:rsid w:val="00F93CD5"/>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Таблица-сетка 1 светлая1"/>
    <w:basedOn w:val="TableNormal"/>
    <w:uiPriority w:val="46"/>
    <w:rsid w:val="008D731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925C9E"/>
    <w:pPr>
      <w:spacing w:before="100" w:beforeAutospacing="1" w:after="100" w:afterAutospacing="1"/>
    </w:pPr>
    <w:rPr>
      <w:rFonts w:cs="Times New Roman"/>
      <w:szCs w:val="24"/>
      <w:lang w:eastAsia="ru-RU"/>
    </w:rPr>
  </w:style>
  <w:style w:type="character" w:styleId="BookTitle">
    <w:name w:val="Book Title"/>
    <w:basedOn w:val="DefaultParagraphFont"/>
    <w:uiPriority w:val="33"/>
    <w:qFormat/>
    <w:rsid w:val="00836E81"/>
    <w:rPr>
      <w:b/>
      <w:bCs/>
      <w:i/>
      <w:iCs/>
      <w:spacing w:val="5"/>
    </w:rPr>
  </w:style>
  <w:style w:type="paragraph" w:customStyle="1" w:styleId="Style4">
    <w:name w:val="Style4"/>
    <w:basedOn w:val="Normal"/>
    <w:uiPriority w:val="99"/>
    <w:rsid w:val="00850E32"/>
    <w:pPr>
      <w:widowControl w:val="0"/>
      <w:autoSpaceDE w:val="0"/>
      <w:autoSpaceDN w:val="0"/>
      <w:adjustRightInd w:val="0"/>
      <w:spacing w:line="264" w:lineRule="exact"/>
    </w:pPr>
    <w:rPr>
      <w:rFonts w:eastAsia="Times New Roman" w:cs="Times New Roman"/>
      <w:szCs w:val="24"/>
      <w:lang w:eastAsia="ru-RU"/>
    </w:rPr>
  </w:style>
  <w:style w:type="paragraph" w:customStyle="1" w:styleId="Style7">
    <w:name w:val="Style7"/>
    <w:basedOn w:val="Normal"/>
    <w:rsid w:val="00850E32"/>
    <w:pPr>
      <w:widowControl w:val="0"/>
      <w:autoSpaceDE w:val="0"/>
      <w:autoSpaceDN w:val="0"/>
      <w:adjustRightInd w:val="0"/>
      <w:jc w:val="center"/>
    </w:pPr>
    <w:rPr>
      <w:rFonts w:eastAsia="Times New Roman" w:cs="Times New Roman"/>
      <w:szCs w:val="24"/>
      <w:lang w:eastAsia="ru-RU"/>
    </w:rPr>
  </w:style>
  <w:style w:type="character" w:customStyle="1" w:styleId="FontStyle74">
    <w:name w:val="Font Style74"/>
    <w:rsid w:val="00850E32"/>
    <w:rPr>
      <w:rFonts w:ascii="Times New Roman" w:hAnsi="Times New Roman" w:cs="Times New Roman"/>
      <w:sz w:val="20"/>
      <w:szCs w:val="20"/>
    </w:rPr>
  </w:style>
  <w:style w:type="paragraph" w:customStyle="1" w:styleId="Style12">
    <w:name w:val="Style12"/>
    <w:basedOn w:val="Normal"/>
    <w:rsid w:val="00850E32"/>
    <w:pPr>
      <w:widowControl w:val="0"/>
      <w:autoSpaceDE w:val="0"/>
      <w:autoSpaceDN w:val="0"/>
      <w:adjustRightInd w:val="0"/>
      <w:spacing w:line="264" w:lineRule="exact"/>
    </w:pPr>
    <w:rPr>
      <w:rFonts w:eastAsia="Times New Roman" w:cs="Times New Roman"/>
      <w:szCs w:val="24"/>
      <w:lang w:eastAsia="ru-RU"/>
    </w:rPr>
  </w:style>
  <w:style w:type="character" w:customStyle="1" w:styleId="FontStyle79">
    <w:name w:val="Font Style79"/>
    <w:rsid w:val="00850E32"/>
    <w:rPr>
      <w:rFonts w:ascii="Times New Roman" w:hAnsi="Times New Roman" w:cs="Times New Roman"/>
      <w:sz w:val="18"/>
      <w:szCs w:val="18"/>
    </w:rPr>
  </w:style>
  <w:style w:type="paragraph" w:styleId="EndnoteText">
    <w:name w:val="endnote text"/>
    <w:basedOn w:val="Normal"/>
    <w:link w:val="EndnoteTextChar"/>
    <w:uiPriority w:val="99"/>
    <w:semiHidden/>
    <w:unhideWhenUsed/>
    <w:rsid w:val="00C85A21"/>
    <w:rPr>
      <w:sz w:val="20"/>
      <w:szCs w:val="20"/>
    </w:rPr>
  </w:style>
  <w:style w:type="character" w:customStyle="1" w:styleId="EndnoteTextChar">
    <w:name w:val="Endnote Text Char"/>
    <w:basedOn w:val="DefaultParagraphFont"/>
    <w:link w:val="EndnoteText"/>
    <w:uiPriority w:val="99"/>
    <w:semiHidden/>
    <w:rsid w:val="00C85A21"/>
    <w:rPr>
      <w:rFonts w:ascii="Times New Roman" w:hAnsi="Times New Roman"/>
      <w:sz w:val="20"/>
      <w:szCs w:val="20"/>
    </w:rPr>
  </w:style>
  <w:style w:type="character" w:styleId="EndnoteReference">
    <w:name w:val="endnote reference"/>
    <w:basedOn w:val="DefaultParagraphFont"/>
    <w:uiPriority w:val="99"/>
    <w:semiHidden/>
    <w:unhideWhenUsed/>
    <w:rsid w:val="00C85A21"/>
    <w:rPr>
      <w:vertAlign w:val="superscript"/>
    </w:rPr>
  </w:style>
  <w:style w:type="table" w:customStyle="1" w:styleId="3">
    <w:name w:val="Сетка таблицы3"/>
    <w:basedOn w:val="TableNormal"/>
    <w:next w:val="TableGrid"/>
    <w:uiPriority w:val="59"/>
    <w:rsid w:val="005F6D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D6D81"/>
    <w:rPr>
      <w:color w:val="954F72" w:themeColor="followedHyperlink"/>
      <w:u w:val="single"/>
    </w:rPr>
  </w:style>
  <w:style w:type="character" w:customStyle="1" w:styleId="15">
    <w:name w:val="Неразрешенное упоминание1"/>
    <w:basedOn w:val="DefaultParagraphFont"/>
    <w:uiPriority w:val="99"/>
    <w:semiHidden/>
    <w:unhideWhenUsed/>
    <w:rsid w:val="006D3E1A"/>
    <w:rPr>
      <w:color w:val="808080"/>
      <w:shd w:val="clear" w:color="auto" w:fill="E6E6E6"/>
    </w:rPr>
  </w:style>
  <w:style w:type="character" w:customStyle="1" w:styleId="st">
    <w:name w:val="st"/>
    <w:basedOn w:val="DefaultParagraphFont"/>
    <w:rsid w:val="00791C61"/>
  </w:style>
  <w:style w:type="character" w:customStyle="1" w:styleId="22">
    <w:name w:val="Неразрешенное упоминание2"/>
    <w:basedOn w:val="DefaultParagraphFont"/>
    <w:uiPriority w:val="99"/>
    <w:semiHidden/>
    <w:unhideWhenUsed/>
    <w:rsid w:val="00F024B3"/>
    <w:rPr>
      <w:color w:val="605E5C"/>
      <w:shd w:val="clear" w:color="auto" w:fill="E1DFDD"/>
    </w:rPr>
  </w:style>
  <w:style w:type="paragraph" w:customStyle="1" w:styleId="ProtID">
    <w:name w:val="ProtID"/>
    <w:basedOn w:val="SDText"/>
    <w:link w:val="ProtID0"/>
    <w:qFormat/>
    <w:rsid w:val="00317FD1"/>
    <w:rPr>
      <w:rFonts w:eastAsiaTheme="majorEastAsia" w:cs="Times New Roman"/>
      <w:color w:val="000000" w:themeColor="text1"/>
      <w:szCs w:val="32"/>
      <w:lang w:val="en-US"/>
    </w:rPr>
  </w:style>
  <w:style w:type="paragraph" w:customStyle="1" w:styleId="ProtVers">
    <w:name w:val="ProtVers"/>
    <w:basedOn w:val="SDText"/>
    <w:link w:val="ProtVers0"/>
    <w:qFormat/>
    <w:rsid w:val="00317FD1"/>
    <w:rPr>
      <w:rFonts w:eastAsiaTheme="majorEastAsia" w:cs="Times New Roman"/>
      <w:color w:val="000000" w:themeColor="text1"/>
      <w:szCs w:val="32"/>
      <w:lang w:val="en-US" w:eastAsia="ru-RU"/>
    </w:rPr>
  </w:style>
  <w:style w:type="character" w:customStyle="1" w:styleId="ProtID0">
    <w:name w:val="ProtID Знак"/>
    <w:basedOn w:val="SDText0"/>
    <w:link w:val="ProtID"/>
    <w:rsid w:val="00317FD1"/>
    <w:rPr>
      <w:rFonts w:ascii="Times New Roman" w:eastAsiaTheme="majorEastAsia" w:hAnsi="Times New Roman" w:cs="Times New Roman"/>
      <w:b w:val="0"/>
      <w:color w:val="000000" w:themeColor="text1"/>
      <w:sz w:val="24"/>
      <w:szCs w:val="32"/>
      <w:lang w:val="en-US"/>
    </w:rPr>
  </w:style>
  <w:style w:type="paragraph" w:customStyle="1" w:styleId="ProtVersDate">
    <w:name w:val="ProtVersDate"/>
    <w:basedOn w:val="SDText"/>
    <w:link w:val="ProtVersDate0"/>
    <w:qFormat/>
    <w:rsid w:val="00317FD1"/>
    <w:rPr>
      <w:rFonts w:eastAsiaTheme="majorEastAsia" w:cs="Times New Roman"/>
      <w:color w:val="000000" w:themeColor="text1"/>
      <w:szCs w:val="32"/>
      <w:lang w:eastAsia="ru-RU"/>
    </w:rPr>
  </w:style>
  <w:style w:type="character" w:customStyle="1" w:styleId="ProtVers0">
    <w:name w:val="ProtVers Знак"/>
    <w:basedOn w:val="SDText0"/>
    <w:link w:val="ProtVers"/>
    <w:rsid w:val="00317FD1"/>
    <w:rPr>
      <w:rFonts w:ascii="Times New Roman" w:eastAsiaTheme="majorEastAsia" w:hAnsi="Times New Roman" w:cs="Times New Roman"/>
      <w:b w:val="0"/>
      <w:color w:val="000000" w:themeColor="text1"/>
      <w:sz w:val="24"/>
      <w:szCs w:val="32"/>
      <w:lang w:val="en-US" w:eastAsia="ru-RU"/>
    </w:rPr>
  </w:style>
  <w:style w:type="paragraph" w:customStyle="1" w:styleId="IpName">
    <w:name w:val="IpName"/>
    <w:basedOn w:val="SDText"/>
    <w:link w:val="IpName0"/>
    <w:qFormat/>
    <w:rsid w:val="00317FD1"/>
    <w:rPr>
      <w:rFonts w:eastAsiaTheme="majorEastAsia" w:cs="Times New Roman"/>
      <w:color w:val="000000" w:themeColor="text1"/>
      <w:szCs w:val="32"/>
      <w:lang w:eastAsia="ru-RU"/>
    </w:rPr>
  </w:style>
  <w:style w:type="character" w:customStyle="1" w:styleId="ProtVersDate0">
    <w:name w:val="ProtVersDate Знак"/>
    <w:basedOn w:val="SDText0"/>
    <w:link w:val="ProtVersDate"/>
    <w:rsid w:val="00317FD1"/>
    <w:rPr>
      <w:rFonts w:ascii="Times New Roman" w:eastAsiaTheme="majorEastAsia" w:hAnsi="Times New Roman" w:cs="Times New Roman"/>
      <w:b w:val="0"/>
      <w:color w:val="000000" w:themeColor="text1"/>
      <w:sz w:val="24"/>
      <w:szCs w:val="32"/>
      <w:lang w:eastAsia="ru-RU"/>
    </w:rPr>
  </w:style>
  <w:style w:type="paragraph" w:customStyle="1" w:styleId="ProtName">
    <w:name w:val="ProtName"/>
    <w:basedOn w:val="SDText"/>
    <w:link w:val="ProtName0"/>
    <w:qFormat/>
    <w:rsid w:val="00317FD1"/>
    <w:rPr>
      <w:rFonts w:eastAsiaTheme="majorEastAsia" w:cs="Times New Roman"/>
      <w:color w:val="000000" w:themeColor="text1"/>
      <w:szCs w:val="32"/>
      <w:lang w:eastAsia="ru-RU"/>
    </w:rPr>
  </w:style>
  <w:style w:type="character" w:customStyle="1" w:styleId="IpName0">
    <w:name w:val="IpName Знак"/>
    <w:basedOn w:val="SDText0"/>
    <w:link w:val="IpName"/>
    <w:rsid w:val="00317FD1"/>
    <w:rPr>
      <w:rFonts w:ascii="Times New Roman" w:eastAsiaTheme="majorEastAsia" w:hAnsi="Times New Roman" w:cs="Times New Roman"/>
      <w:b w:val="0"/>
      <w:color w:val="000000" w:themeColor="text1"/>
      <w:sz w:val="24"/>
      <w:szCs w:val="32"/>
      <w:lang w:eastAsia="ru-RU"/>
    </w:rPr>
  </w:style>
  <w:style w:type="paragraph" w:customStyle="1" w:styleId="Sponsor">
    <w:name w:val="Sponsor"/>
    <w:basedOn w:val="SDText"/>
    <w:link w:val="Sponsor0"/>
    <w:qFormat/>
    <w:rsid w:val="00317FD1"/>
    <w:rPr>
      <w:rFonts w:eastAsiaTheme="majorEastAsia" w:cs="Times New Roman"/>
      <w:color w:val="000000" w:themeColor="text1"/>
      <w:szCs w:val="32"/>
      <w:lang w:eastAsia="ru-RU"/>
    </w:rPr>
  </w:style>
  <w:style w:type="character" w:customStyle="1" w:styleId="ProtName0">
    <w:name w:val="ProtName Знак"/>
    <w:basedOn w:val="SDText0"/>
    <w:link w:val="ProtName"/>
    <w:rsid w:val="00317FD1"/>
    <w:rPr>
      <w:rFonts w:ascii="Times New Roman" w:eastAsiaTheme="majorEastAsia" w:hAnsi="Times New Roman" w:cs="Times New Roman"/>
      <w:b w:val="0"/>
      <w:color w:val="000000" w:themeColor="text1"/>
      <w:sz w:val="24"/>
      <w:szCs w:val="32"/>
      <w:lang w:eastAsia="ru-RU"/>
    </w:rPr>
  </w:style>
  <w:style w:type="character" w:customStyle="1" w:styleId="Sponsor0">
    <w:name w:val="Sponsor Знак"/>
    <w:basedOn w:val="SDText0"/>
    <w:link w:val="Sponsor"/>
    <w:rsid w:val="00317FD1"/>
    <w:rPr>
      <w:rFonts w:ascii="Times New Roman" w:eastAsiaTheme="majorEastAsia" w:hAnsi="Times New Roman" w:cs="Times New Roman"/>
      <w:b w:val="0"/>
      <w:color w:val="000000" w:themeColor="text1"/>
      <w:sz w:val="24"/>
      <w:szCs w:val="32"/>
      <w:lang w:eastAsia="ru-RU"/>
    </w:rPr>
  </w:style>
  <w:style w:type="character" w:customStyle="1" w:styleId="ListParagraphChar">
    <w:name w:val="List Paragraph Char"/>
    <w:basedOn w:val="DefaultParagraphFont"/>
    <w:link w:val="ListParagraph"/>
    <w:uiPriority w:val="34"/>
    <w:rsid w:val="006A7E02"/>
    <w:rPr>
      <w:rFonts w:ascii="Times New Roman" w:eastAsia="Calibri" w:hAnsi="Times New Roman" w:cs="Times New Roman"/>
      <w:kern w:val="3"/>
      <w:sz w:val="24"/>
      <w:szCs w:val="20"/>
      <w:lang w:val="en-US"/>
    </w:rPr>
  </w:style>
  <w:style w:type="character" w:customStyle="1" w:styleId="30">
    <w:name w:val="Неразрешенное упоминание3"/>
    <w:basedOn w:val="DefaultParagraphFont"/>
    <w:uiPriority w:val="99"/>
    <w:semiHidden/>
    <w:unhideWhenUsed/>
    <w:rsid w:val="006B6B53"/>
    <w:rPr>
      <w:color w:val="605E5C"/>
      <w:shd w:val="clear" w:color="auto" w:fill="E1DFDD"/>
    </w:rPr>
  </w:style>
  <w:style w:type="character" w:customStyle="1" w:styleId="a1">
    <w:name w:val="СФ_Текст Знак"/>
    <w:basedOn w:val="DefaultParagraphFont"/>
    <w:link w:val="a2"/>
    <w:locked/>
    <w:rsid w:val="00256272"/>
    <w:rPr>
      <w:rFonts w:ascii="Times New Roman" w:eastAsia="Times New Roman" w:hAnsi="Times New Roman" w:cs="Times New Roman"/>
      <w:sz w:val="24"/>
      <w:szCs w:val="24"/>
      <w:lang w:eastAsia="ru-RU"/>
    </w:rPr>
  </w:style>
  <w:style w:type="paragraph" w:customStyle="1" w:styleId="a2">
    <w:name w:val="СФ_Текст"/>
    <w:link w:val="a1"/>
    <w:rsid w:val="00256272"/>
    <w:pPr>
      <w:spacing w:before="120" w:after="120" w:line="288" w:lineRule="auto"/>
      <w:jc w:val="both"/>
    </w:pPr>
    <w:rPr>
      <w:rFonts w:ascii="Times New Roman" w:eastAsia="Times New Roman" w:hAnsi="Times New Roman" w:cs="Times New Roman"/>
      <w:sz w:val="24"/>
      <w:szCs w:val="24"/>
      <w:lang w:eastAsia="ru-RU"/>
    </w:rPr>
  </w:style>
  <w:style w:type="paragraph" w:customStyle="1" w:styleId="1">
    <w:name w:val="Маркированный список1"/>
    <w:rsid w:val="00256272"/>
    <w:pPr>
      <w:numPr>
        <w:numId w:val="28"/>
      </w:numPr>
      <w:suppressAutoHyphens/>
      <w:spacing w:before="200" w:after="200" w:line="288" w:lineRule="auto"/>
      <w:jc w:val="both"/>
    </w:pPr>
    <w:rPr>
      <w:rFonts w:ascii="Times New Roman" w:eastAsia="Times New Roman" w:hAnsi="Times New Roman" w:cs="Times New Roman"/>
      <w:sz w:val="24"/>
      <w:szCs w:val="24"/>
      <w:lang w:eastAsia="ar-SA"/>
    </w:rPr>
  </w:style>
  <w:style w:type="character" w:customStyle="1" w:styleId="4">
    <w:name w:val="Неразрешенное упоминание4"/>
    <w:basedOn w:val="DefaultParagraphFont"/>
    <w:uiPriority w:val="99"/>
    <w:semiHidden/>
    <w:unhideWhenUsed/>
    <w:rsid w:val="002043B0"/>
    <w:rPr>
      <w:color w:val="605E5C"/>
      <w:shd w:val="clear" w:color="auto" w:fill="E1DFDD"/>
    </w:rPr>
  </w:style>
  <w:style w:type="paragraph" w:customStyle="1" w:styleId="a3">
    <w:name w:val="Осн. текст"/>
    <w:basedOn w:val="Normal"/>
    <w:rsid w:val="00107DD5"/>
    <w:pPr>
      <w:spacing w:after="120"/>
    </w:pPr>
    <w:rPr>
      <w:rFonts w:eastAsia="Times New Roman" w:cs="Times New Roman"/>
      <w:szCs w:val="24"/>
      <w:lang w:eastAsia="ru-RU"/>
    </w:rPr>
  </w:style>
  <w:style w:type="character" w:customStyle="1" w:styleId="5">
    <w:name w:val="Неразрешенное упоминание5"/>
    <w:basedOn w:val="DefaultParagraphFont"/>
    <w:uiPriority w:val="99"/>
    <w:semiHidden/>
    <w:unhideWhenUsed/>
    <w:rsid w:val="00AA6628"/>
    <w:rPr>
      <w:color w:val="605E5C"/>
      <w:shd w:val="clear" w:color="auto" w:fill="E1DFDD"/>
    </w:rPr>
  </w:style>
  <w:style w:type="character" w:customStyle="1" w:styleId="6">
    <w:name w:val="Неразрешенное упоминание6"/>
    <w:basedOn w:val="DefaultParagraphFont"/>
    <w:uiPriority w:val="99"/>
    <w:semiHidden/>
    <w:unhideWhenUsed/>
    <w:rsid w:val="00365234"/>
    <w:rPr>
      <w:color w:val="605E5C"/>
      <w:shd w:val="clear" w:color="auto" w:fill="E1DFDD"/>
    </w:rPr>
  </w:style>
  <w:style w:type="character" w:customStyle="1" w:styleId="7">
    <w:name w:val="Неразрешенное упоминание7"/>
    <w:basedOn w:val="DefaultParagraphFont"/>
    <w:uiPriority w:val="99"/>
    <w:semiHidden/>
    <w:unhideWhenUsed/>
    <w:rsid w:val="00DA24D0"/>
    <w:rPr>
      <w:color w:val="605E5C"/>
      <w:shd w:val="clear" w:color="auto" w:fill="E1DFDD"/>
    </w:rPr>
  </w:style>
  <w:style w:type="character" w:customStyle="1" w:styleId="8">
    <w:name w:val="Неразрешенное упоминание8"/>
    <w:basedOn w:val="DefaultParagraphFont"/>
    <w:uiPriority w:val="99"/>
    <w:semiHidden/>
    <w:unhideWhenUsed/>
    <w:rsid w:val="00D46F5F"/>
    <w:rPr>
      <w:color w:val="605E5C"/>
      <w:shd w:val="clear" w:color="auto" w:fill="E1DFDD"/>
    </w:rPr>
  </w:style>
  <w:style w:type="character" w:customStyle="1" w:styleId="9">
    <w:name w:val="Неразрешенное упоминание9"/>
    <w:basedOn w:val="DefaultParagraphFont"/>
    <w:uiPriority w:val="99"/>
    <w:semiHidden/>
    <w:unhideWhenUsed/>
    <w:rsid w:val="009250E2"/>
    <w:rPr>
      <w:color w:val="605E5C"/>
      <w:shd w:val="clear" w:color="auto" w:fill="E1DFDD"/>
    </w:rPr>
  </w:style>
  <w:style w:type="character" w:customStyle="1" w:styleId="100">
    <w:name w:val="Неразрешенное упоминание10"/>
    <w:basedOn w:val="DefaultParagraphFont"/>
    <w:uiPriority w:val="99"/>
    <w:semiHidden/>
    <w:unhideWhenUsed/>
    <w:rsid w:val="0017386D"/>
    <w:rPr>
      <w:color w:val="605E5C"/>
      <w:shd w:val="clear" w:color="auto" w:fill="E1DFDD"/>
    </w:rPr>
  </w:style>
  <w:style w:type="character" w:customStyle="1" w:styleId="110">
    <w:name w:val="Неразрешенное упоминание11"/>
    <w:basedOn w:val="DefaultParagraphFont"/>
    <w:uiPriority w:val="99"/>
    <w:semiHidden/>
    <w:unhideWhenUsed/>
    <w:rsid w:val="005D3C9B"/>
    <w:rPr>
      <w:color w:val="605E5C"/>
      <w:shd w:val="clear" w:color="auto" w:fill="E1DFDD"/>
    </w:rPr>
  </w:style>
  <w:style w:type="character" w:customStyle="1" w:styleId="120">
    <w:name w:val="Неразрешенное упоминание12"/>
    <w:basedOn w:val="DefaultParagraphFont"/>
    <w:uiPriority w:val="99"/>
    <w:semiHidden/>
    <w:unhideWhenUsed/>
    <w:rsid w:val="00E4588A"/>
    <w:rPr>
      <w:color w:val="605E5C"/>
      <w:shd w:val="clear" w:color="auto" w:fill="E1DFDD"/>
    </w:rPr>
  </w:style>
  <w:style w:type="character" w:customStyle="1" w:styleId="130">
    <w:name w:val="Неразрешенное упоминание13"/>
    <w:basedOn w:val="DefaultParagraphFont"/>
    <w:uiPriority w:val="99"/>
    <w:semiHidden/>
    <w:unhideWhenUsed/>
    <w:rsid w:val="00A57A5A"/>
    <w:rPr>
      <w:color w:val="605E5C"/>
      <w:shd w:val="clear" w:color="auto" w:fill="E1DFDD"/>
    </w:rPr>
  </w:style>
  <w:style w:type="character" w:customStyle="1" w:styleId="140">
    <w:name w:val="Неразрешенное упоминание14"/>
    <w:basedOn w:val="DefaultParagraphFont"/>
    <w:uiPriority w:val="99"/>
    <w:semiHidden/>
    <w:unhideWhenUsed/>
    <w:rsid w:val="00914B2B"/>
    <w:rPr>
      <w:color w:val="605E5C"/>
      <w:shd w:val="clear" w:color="auto" w:fill="E1DFDD"/>
    </w:rPr>
  </w:style>
  <w:style w:type="character" w:customStyle="1" w:styleId="150">
    <w:name w:val="Неразрешенное упоминание15"/>
    <w:basedOn w:val="DefaultParagraphFont"/>
    <w:uiPriority w:val="99"/>
    <w:semiHidden/>
    <w:unhideWhenUsed/>
    <w:rsid w:val="0096152A"/>
    <w:rPr>
      <w:color w:val="605E5C"/>
      <w:shd w:val="clear" w:color="auto" w:fill="E1DFDD"/>
    </w:rPr>
  </w:style>
  <w:style w:type="character" w:customStyle="1" w:styleId="16">
    <w:name w:val="Неразрешенное упоминание16"/>
    <w:basedOn w:val="DefaultParagraphFont"/>
    <w:uiPriority w:val="99"/>
    <w:semiHidden/>
    <w:unhideWhenUsed/>
    <w:rsid w:val="008322CA"/>
    <w:rPr>
      <w:color w:val="605E5C"/>
      <w:shd w:val="clear" w:color="auto" w:fill="E1DFDD"/>
    </w:rPr>
  </w:style>
  <w:style w:type="character" w:customStyle="1" w:styleId="UnresolvedMention1">
    <w:name w:val="Unresolved Mention1"/>
    <w:basedOn w:val="DefaultParagraphFont"/>
    <w:uiPriority w:val="99"/>
    <w:semiHidden/>
    <w:unhideWhenUsed/>
    <w:rsid w:val="00097BDC"/>
    <w:rPr>
      <w:color w:val="605E5C"/>
      <w:shd w:val="clear" w:color="auto" w:fill="E1DFDD"/>
    </w:rPr>
  </w:style>
  <w:style w:type="paragraph" w:customStyle="1" w:styleId="51">
    <w:name w:val="Оглавление 51"/>
    <w:basedOn w:val="Normal"/>
    <w:next w:val="Normal"/>
    <w:autoRedefine/>
    <w:uiPriority w:val="39"/>
    <w:unhideWhenUsed/>
    <w:rsid w:val="007A2F57"/>
    <w:pPr>
      <w:spacing w:after="100"/>
      <w:ind w:left="880"/>
    </w:pPr>
    <w:rPr>
      <w:rFonts w:asciiTheme="minorHAnsi" w:eastAsia="Times New Roman" w:hAnsiTheme="minorHAnsi"/>
      <w:sz w:val="22"/>
      <w:lang w:eastAsia="ru-RU"/>
    </w:rPr>
  </w:style>
  <w:style w:type="character" w:customStyle="1" w:styleId="50">
    <w:name w:val="Основной текст (5) + Не полужирный;Не курсив"/>
    <w:rsid w:val="00A86547"/>
    <w:rPr>
      <w:rFonts w:ascii="Times New Roman" w:eastAsia="Times New Roman" w:hAnsi="Times New Roman" w:cs="Times New Roman"/>
      <w:b/>
      <w:bCs/>
      <w:i/>
      <w:iCs/>
      <w:smallCaps w:val="0"/>
      <w:strike w:val="0"/>
      <w:color w:val="000000"/>
      <w:spacing w:val="0"/>
      <w:w w:val="100"/>
      <w:position w:val="0"/>
      <w:sz w:val="22"/>
      <w:szCs w:val="22"/>
      <w:u w:val="none"/>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51">
      <w:bodyDiv w:val="1"/>
      <w:marLeft w:val="0"/>
      <w:marRight w:val="0"/>
      <w:marTop w:val="0"/>
      <w:marBottom w:val="0"/>
      <w:divBdr>
        <w:top w:val="none" w:sz="0" w:space="0" w:color="auto"/>
        <w:left w:val="none" w:sz="0" w:space="0" w:color="auto"/>
        <w:bottom w:val="none" w:sz="0" w:space="0" w:color="auto"/>
        <w:right w:val="none" w:sz="0" w:space="0" w:color="auto"/>
      </w:divBdr>
    </w:div>
    <w:div w:id="3018546">
      <w:bodyDiv w:val="1"/>
      <w:marLeft w:val="0"/>
      <w:marRight w:val="0"/>
      <w:marTop w:val="0"/>
      <w:marBottom w:val="0"/>
      <w:divBdr>
        <w:top w:val="none" w:sz="0" w:space="0" w:color="auto"/>
        <w:left w:val="none" w:sz="0" w:space="0" w:color="auto"/>
        <w:bottom w:val="none" w:sz="0" w:space="0" w:color="auto"/>
        <w:right w:val="none" w:sz="0" w:space="0" w:color="auto"/>
      </w:divBdr>
    </w:div>
    <w:div w:id="3555061">
      <w:bodyDiv w:val="1"/>
      <w:marLeft w:val="0"/>
      <w:marRight w:val="0"/>
      <w:marTop w:val="0"/>
      <w:marBottom w:val="0"/>
      <w:divBdr>
        <w:top w:val="none" w:sz="0" w:space="0" w:color="auto"/>
        <w:left w:val="none" w:sz="0" w:space="0" w:color="auto"/>
        <w:bottom w:val="none" w:sz="0" w:space="0" w:color="auto"/>
        <w:right w:val="none" w:sz="0" w:space="0" w:color="auto"/>
      </w:divBdr>
    </w:div>
    <w:div w:id="6061496">
      <w:bodyDiv w:val="1"/>
      <w:marLeft w:val="0"/>
      <w:marRight w:val="0"/>
      <w:marTop w:val="0"/>
      <w:marBottom w:val="0"/>
      <w:divBdr>
        <w:top w:val="none" w:sz="0" w:space="0" w:color="auto"/>
        <w:left w:val="none" w:sz="0" w:space="0" w:color="auto"/>
        <w:bottom w:val="none" w:sz="0" w:space="0" w:color="auto"/>
        <w:right w:val="none" w:sz="0" w:space="0" w:color="auto"/>
      </w:divBdr>
    </w:div>
    <w:div w:id="6373321">
      <w:bodyDiv w:val="1"/>
      <w:marLeft w:val="0"/>
      <w:marRight w:val="0"/>
      <w:marTop w:val="0"/>
      <w:marBottom w:val="0"/>
      <w:divBdr>
        <w:top w:val="none" w:sz="0" w:space="0" w:color="auto"/>
        <w:left w:val="none" w:sz="0" w:space="0" w:color="auto"/>
        <w:bottom w:val="none" w:sz="0" w:space="0" w:color="auto"/>
        <w:right w:val="none" w:sz="0" w:space="0" w:color="auto"/>
      </w:divBdr>
    </w:div>
    <w:div w:id="9185134">
      <w:bodyDiv w:val="1"/>
      <w:marLeft w:val="0"/>
      <w:marRight w:val="0"/>
      <w:marTop w:val="0"/>
      <w:marBottom w:val="0"/>
      <w:divBdr>
        <w:top w:val="none" w:sz="0" w:space="0" w:color="auto"/>
        <w:left w:val="none" w:sz="0" w:space="0" w:color="auto"/>
        <w:bottom w:val="none" w:sz="0" w:space="0" w:color="auto"/>
        <w:right w:val="none" w:sz="0" w:space="0" w:color="auto"/>
      </w:divBdr>
    </w:div>
    <w:div w:id="10181499">
      <w:bodyDiv w:val="1"/>
      <w:marLeft w:val="0"/>
      <w:marRight w:val="0"/>
      <w:marTop w:val="0"/>
      <w:marBottom w:val="0"/>
      <w:divBdr>
        <w:top w:val="none" w:sz="0" w:space="0" w:color="auto"/>
        <w:left w:val="none" w:sz="0" w:space="0" w:color="auto"/>
        <w:bottom w:val="none" w:sz="0" w:space="0" w:color="auto"/>
        <w:right w:val="none" w:sz="0" w:space="0" w:color="auto"/>
      </w:divBdr>
    </w:div>
    <w:div w:id="10573351">
      <w:bodyDiv w:val="1"/>
      <w:marLeft w:val="0"/>
      <w:marRight w:val="0"/>
      <w:marTop w:val="0"/>
      <w:marBottom w:val="0"/>
      <w:divBdr>
        <w:top w:val="none" w:sz="0" w:space="0" w:color="auto"/>
        <w:left w:val="none" w:sz="0" w:space="0" w:color="auto"/>
        <w:bottom w:val="none" w:sz="0" w:space="0" w:color="auto"/>
        <w:right w:val="none" w:sz="0" w:space="0" w:color="auto"/>
      </w:divBdr>
    </w:div>
    <w:div w:id="13000288">
      <w:bodyDiv w:val="1"/>
      <w:marLeft w:val="0"/>
      <w:marRight w:val="0"/>
      <w:marTop w:val="0"/>
      <w:marBottom w:val="0"/>
      <w:divBdr>
        <w:top w:val="none" w:sz="0" w:space="0" w:color="auto"/>
        <w:left w:val="none" w:sz="0" w:space="0" w:color="auto"/>
        <w:bottom w:val="none" w:sz="0" w:space="0" w:color="auto"/>
        <w:right w:val="none" w:sz="0" w:space="0" w:color="auto"/>
      </w:divBdr>
    </w:div>
    <w:div w:id="13046424">
      <w:bodyDiv w:val="1"/>
      <w:marLeft w:val="0"/>
      <w:marRight w:val="0"/>
      <w:marTop w:val="0"/>
      <w:marBottom w:val="0"/>
      <w:divBdr>
        <w:top w:val="none" w:sz="0" w:space="0" w:color="auto"/>
        <w:left w:val="none" w:sz="0" w:space="0" w:color="auto"/>
        <w:bottom w:val="none" w:sz="0" w:space="0" w:color="auto"/>
        <w:right w:val="none" w:sz="0" w:space="0" w:color="auto"/>
      </w:divBdr>
    </w:div>
    <w:div w:id="13582146">
      <w:bodyDiv w:val="1"/>
      <w:marLeft w:val="0"/>
      <w:marRight w:val="0"/>
      <w:marTop w:val="0"/>
      <w:marBottom w:val="0"/>
      <w:divBdr>
        <w:top w:val="none" w:sz="0" w:space="0" w:color="auto"/>
        <w:left w:val="none" w:sz="0" w:space="0" w:color="auto"/>
        <w:bottom w:val="none" w:sz="0" w:space="0" w:color="auto"/>
        <w:right w:val="none" w:sz="0" w:space="0" w:color="auto"/>
      </w:divBdr>
    </w:div>
    <w:div w:id="14045958">
      <w:bodyDiv w:val="1"/>
      <w:marLeft w:val="0"/>
      <w:marRight w:val="0"/>
      <w:marTop w:val="0"/>
      <w:marBottom w:val="0"/>
      <w:divBdr>
        <w:top w:val="none" w:sz="0" w:space="0" w:color="auto"/>
        <w:left w:val="none" w:sz="0" w:space="0" w:color="auto"/>
        <w:bottom w:val="none" w:sz="0" w:space="0" w:color="auto"/>
        <w:right w:val="none" w:sz="0" w:space="0" w:color="auto"/>
      </w:divBdr>
    </w:div>
    <w:div w:id="14114690">
      <w:bodyDiv w:val="1"/>
      <w:marLeft w:val="0"/>
      <w:marRight w:val="0"/>
      <w:marTop w:val="0"/>
      <w:marBottom w:val="0"/>
      <w:divBdr>
        <w:top w:val="none" w:sz="0" w:space="0" w:color="auto"/>
        <w:left w:val="none" w:sz="0" w:space="0" w:color="auto"/>
        <w:bottom w:val="none" w:sz="0" w:space="0" w:color="auto"/>
        <w:right w:val="none" w:sz="0" w:space="0" w:color="auto"/>
      </w:divBdr>
    </w:div>
    <w:div w:id="14119131">
      <w:bodyDiv w:val="1"/>
      <w:marLeft w:val="0"/>
      <w:marRight w:val="0"/>
      <w:marTop w:val="0"/>
      <w:marBottom w:val="0"/>
      <w:divBdr>
        <w:top w:val="none" w:sz="0" w:space="0" w:color="auto"/>
        <w:left w:val="none" w:sz="0" w:space="0" w:color="auto"/>
        <w:bottom w:val="none" w:sz="0" w:space="0" w:color="auto"/>
        <w:right w:val="none" w:sz="0" w:space="0" w:color="auto"/>
      </w:divBdr>
    </w:div>
    <w:div w:id="14616400">
      <w:bodyDiv w:val="1"/>
      <w:marLeft w:val="0"/>
      <w:marRight w:val="0"/>
      <w:marTop w:val="0"/>
      <w:marBottom w:val="0"/>
      <w:divBdr>
        <w:top w:val="none" w:sz="0" w:space="0" w:color="auto"/>
        <w:left w:val="none" w:sz="0" w:space="0" w:color="auto"/>
        <w:bottom w:val="none" w:sz="0" w:space="0" w:color="auto"/>
        <w:right w:val="none" w:sz="0" w:space="0" w:color="auto"/>
      </w:divBdr>
    </w:div>
    <w:div w:id="14618874">
      <w:bodyDiv w:val="1"/>
      <w:marLeft w:val="0"/>
      <w:marRight w:val="0"/>
      <w:marTop w:val="0"/>
      <w:marBottom w:val="0"/>
      <w:divBdr>
        <w:top w:val="none" w:sz="0" w:space="0" w:color="auto"/>
        <w:left w:val="none" w:sz="0" w:space="0" w:color="auto"/>
        <w:bottom w:val="none" w:sz="0" w:space="0" w:color="auto"/>
        <w:right w:val="none" w:sz="0" w:space="0" w:color="auto"/>
      </w:divBdr>
    </w:div>
    <w:div w:id="18624089">
      <w:bodyDiv w:val="1"/>
      <w:marLeft w:val="0"/>
      <w:marRight w:val="0"/>
      <w:marTop w:val="0"/>
      <w:marBottom w:val="0"/>
      <w:divBdr>
        <w:top w:val="none" w:sz="0" w:space="0" w:color="auto"/>
        <w:left w:val="none" w:sz="0" w:space="0" w:color="auto"/>
        <w:bottom w:val="none" w:sz="0" w:space="0" w:color="auto"/>
        <w:right w:val="none" w:sz="0" w:space="0" w:color="auto"/>
      </w:divBdr>
    </w:div>
    <w:div w:id="19363235">
      <w:bodyDiv w:val="1"/>
      <w:marLeft w:val="0"/>
      <w:marRight w:val="0"/>
      <w:marTop w:val="0"/>
      <w:marBottom w:val="0"/>
      <w:divBdr>
        <w:top w:val="none" w:sz="0" w:space="0" w:color="auto"/>
        <w:left w:val="none" w:sz="0" w:space="0" w:color="auto"/>
        <w:bottom w:val="none" w:sz="0" w:space="0" w:color="auto"/>
        <w:right w:val="none" w:sz="0" w:space="0" w:color="auto"/>
      </w:divBdr>
    </w:div>
    <w:div w:id="20786860">
      <w:bodyDiv w:val="1"/>
      <w:marLeft w:val="0"/>
      <w:marRight w:val="0"/>
      <w:marTop w:val="0"/>
      <w:marBottom w:val="0"/>
      <w:divBdr>
        <w:top w:val="none" w:sz="0" w:space="0" w:color="auto"/>
        <w:left w:val="none" w:sz="0" w:space="0" w:color="auto"/>
        <w:bottom w:val="none" w:sz="0" w:space="0" w:color="auto"/>
        <w:right w:val="none" w:sz="0" w:space="0" w:color="auto"/>
      </w:divBdr>
    </w:div>
    <w:div w:id="20981759">
      <w:bodyDiv w:val="1"/>
      <w:marLeft w:val="0"/>
      <w:marRight w:val="0"/>
      <w:marTop w:val="0"/>
      <w:marBottom w:val="0"/>
      <w:divBdr>
        <w:top w:val="none" w:sz="0" w:space="0" w:color="auto"/>
        <w:left w:val="none" w:sz="0" w:space="0" w:color="auto"/>
        <w:bottom w:val="none" w:sz="0" w:space="0" w:color="auto"/>
        <w:right w:val="none" w:sz="0" w:space="0" w:color="auto"/>
      </w:divBdr>
    </w:div>
    <w:div w:id="22025235">
      <w:bodyDiv w:val="1"/>
      <w:marLeft w:val="0"/>
      <w:marRight w:val="0"/>
      <w:marTop w:val="0"/>
      <w:marBottom w:val="0"/>
      <w:divBdr>
        <w:top w:val="none" w:sz="0" w:space="0" w:color="auto"/>
        <w:left w:val="none" w:sz="0" w:space="0" w:color="auto"/>
        <w:bottom w:val="none" w:sz="0" w:space="0" w:color="auto"/>
        <w:right w:val="none" w:sz="0" w:space="0" w:color="auto"/>
      </w:divBdr>
    </w:div>
    <w:div w:id="23482839">
      <w:bodyDiv w:val="1"/>
      <w:marLeft w:val="0"/>
      <w:marRight w:val="0"/>
      <w:marTop w:val="0"/>
      <w:marBottom w:val="0"/>
      <w:divBdr>
        <w:top w:val="none" w:sz="0" w:space="0" w:color="auto"/>
        <w:left w:val="none" w:sz="0" w:space="0" w:color="auto"/>
        <w:bottom w:val="none" w:sz="0" w:space="0" w:color="auto"/>
        <w:right w:val="none" w:sz="0" w:space="0" w:color="auto"/>
      </w:divBdr>
    </w:div>
    <w:div w:id="28722598">
      <w:bodyDiv w:val="1"/>
      <w:marLeft w:val="0"/>
      <w:marRight w:val="0"/>
      <w:marTop w:val="0"/>
      <w:marBottom w:val="0"/>
      <w:divBdr>
        <w:top w:val="none" w:sz="0" w:space="0" w:color="auto"/>
        <w:left w:val="none" w:sz="0" w:space="0" w:color="auto"/>
        <w:bottom w:val="none" w:sz="0" w:space="0" w:color="auto"/>
        <w:right w:val="none" w:sz="0" w:space="0" w:color="auto"/>
      </w:divBdr>
    </w:div>
    <w:div w:id="29188929">
      <w:bodyDiv w:val="1"/>
      <w:marLeft w:val="0"/>
      <w:marRight w:val="0"/>
      <w:marTop w:val="0"/>
      <w:marBottom w:val="0"/>
      <w:divBdr>
        <w:top w:val="none" w:sz="0" w:space="0" w:color="auto"/>
        <w:left w:val="none" w:sz="0" w:space="0" w:color="auto"/>
        <w:bottom w:val="none" w:sz="0" w:space="0" w:color="auto"/>
        <w:right w:val="none" w:sz="0" w:space="0" w:color="auto"/>
      </w:divBdr>
    </w:div>
    <w:div w:id="38289899">
      <w:bodyDiv w:val="1"/>
      <w:marLeft w:val="0"/>
      <w:marRight w:val="0"/>
      <w:marTop w:val="0"/>
      <w:marBottom w:val="0"/>
      <w:divBdr>
        <w:top w:val="none" w:sz="0" w:space="0" w:color="auto"/>
        <w:left w:val="none" w:sz="0" w:space="0" w:color="auto"/>
        <w:bottom w:val="none" w:sz="0" w:space="0" w:color="auto"/>
        <w:right w:val="none" w:sz="0" w:space="0" w:color="auto"/>
      </w:divBdr>
    </w:div>
    <w:div w:id="38404114">
      <w:bodyDiv w:val="1"/>
      <w:marLeft w:val="0"/>
      <w:marRight w:val="0"/>
      <w:marTop w:val="0"/>
      <w:marBottom w:val="0"/>
      <w:divBdr>
        <w:top w:val="none" w:sz="0" w:space="0" w:color="auto"/>
        <w:left w:val="none" w:sz="0" w:space="0" w:color="auto"/>
        <w:bottom w:val="none" w:sz="0" w:space="0" w:color="auto"/>
        <w:right w:val="none" w:sz="0" w:space="0" w:color="auto"/>
      </w:divBdr>
    </w:div>
    <w:div w:id="42826954">
      <w:bodyDiv w:val="1"/>
      <w:marLeft w:val="0"/>
      <w:marRight w:val="0"/>
      <w:marTop w:val="0"/>
      <w:marBottom w:val="0"/>
      <w:divBdr>
        <w:top w:val="none" w:sz="0" w:space="0" w:color="auto"/>
        <w:left w:val="none" w:sz="0" w:space="0" w:color="auto"/>
        <w:bottom w:val="none" w:sz="0" w:space="0" w:color="auto"/>
        <w:right w:val="none" w:sz="0" w:space="0" w:color="auto"/>
      </w:divBdr>
    </w:div>
    <w:div w:id="43335444">
      <w:bodyDiv w:val="1"/>
      <w:marLeft w:val="0"/>
      <w:marRight w:val="0"/>
      <w:marTop w:val="0"/>
      <w:marBottom w:val="0"/>
      <w:divBdr>
        <w:top w:val="none" w:sz="0" w:space="0" w:color="auto"/>
        <w:left w:val="none" w:sz="0" w:space="0" w:color="auto"/>
        <w:bottom w:val="none" w:sz="0" w:space="0" w:color="auto"/>
        <w:right w:val="none" w:sz="0" w:space="0" w:color="auto"/>
      </w:divBdr>
    </w:div>
    <w:div w:id="47264452">
      <w:bodyDiv w:val="1"/>
      <w:marLeft w:val="0"/>
      <w:marRight w:val="0"/>
      <w:marTop w:val="0"/>
      <w:marBottom w:val="0"/>
      <w:divBdr>
        <w:top w:val="none" w:sz="0" w:space="0" w:color="auto"/>
        <w:left w:val="none" w:sz="0" w:space="0" w:color="auto"/>
        <w:bottom w:val="none" w:sz="0" w:space="0" w:color="auto"/>
        <w:right w:val="none" w:sz="0" w:space="0" w:color="auto"/>
      </w:divBdr>
    </w:div>
    <w:div w:id="50156070">
      <w:bodyDiv w:val="1"/>
      <w:marLeft w:val="0"/>
      <w:marRight w:val="0"/>
      <w:marTop w:val="0"/>
      <w:marBottom w:val="0"/>
      <w:divBdr>
        <w:top w:val="none" w:sz="0" w:space="0" w:color="auto"/>
        <w:left w:val="none" w:sz="0" w:space="0" w:color="auto"/>
        <w:bottom w:val="none" w:sz="0" w:space="0" w:color="auto"/>
        <w:right w:val="none" w:sz="0" w:space="0" w:color="auto"/>
      </w:divBdr>
    </w:div>
    <w:div w:id="50471010">
      <w:bodyDiv w:val="1"/>
      <w:marLeft w:val="0"/>
      <w:marRight w:val="0"/>
      <w:marTop w:val="0"/>
      <w:marBottom w:val="0"/>
      <w:divBdr>
        <w:top w:val="none" w:sz="0" w:space="0" w:color="auto"/>
        <w:left w:val="none" w:sz="0" w:space="0" w:color="auto"/>
        <w:bottom w:val="none" w:sz="0" w:space="0" w:color="auto"/>
        <w:right w:val="none" w:sz="0" w:space="0" w:color="auto"/>
      </w:divBdr>
    </w:div>
    <w:div w:id="52235337">
      <w:bodyDiv w:val="1"/>
      <w:marLeft w:val="0"/>
      <w:marRight w:val="0"/>
      <w:marTop w:val="0"/>
      <w:marBottom w:val="0"/>
      <w:divBdr>
        <w:top w:val="none" w:sz="0" w:space="0" w:color="auto"/>
        <w:left w:val="none" w:sz="0" w:space="0" w:color="auto"/>
        <w:bottom w:val="none" w:sz="0" w:space="0" w:color="auto"/>
        <w:right w:val="none" w:sz="0" w:space="0" w:color="auto"/>
      </w:divBdr>
    </w:div>
    <w:div w:id="53086094">
      <w:bodyDiv w:val="1"/>
      <w:marLeft w:val="0"/>
      <w:marRight w:val="0"/>
      <w:marTop w:val="0"/>
      <w:marBottom w:val="0"/>
      <w:divBdr>
        <w:top w:val="none" w:sz="0" w:space="0" w:color="auto"/>
        <w:left w:val="none" w:sz="0" w:space="0" w:color="auto"/>
        <w:bottom w:val="none" w:sz="0" w:space="0" w:color="auto"/>
        <w:right w:val="none" w:sz="0" w:space="0" w:color="auto"/>
      </w:divBdr>
    </w:div>
    <w:div w:id="53548119">
      <w:bodyDiv w:val="1"/>
      <w:marLeft w:val="0"/>
      <w:marRight w:val="0"/>
      <w:marTop w:val="0"/>
      <w:marBottom w:val="0"/>
      <w:divBdr>
        <w:top w:val="none" w:sz="0" w:space="0" w:color="auto"/>
        <w:left w:val="none" w:sz="0" w:space="0" w:color="auto"/>
        <w:bottom w:val="none" w:sz="0" w:space="0" w:color="auto"/>
        <w:right w:val="none" w:sz="0" w:space="0" w:color="auto"/>
      </w:divBdr>
    </w:div>
    <w:div w:id="54401555">
      <w:bodyDiv w:val="1"/>
      <w:marLeft w:val="0"/>
      <w:marRight w:val="0"/>
      <w:marTop w:val="0"/>
      <w:marBottom w:val="0"/>
      <w:divBdr>
        <w:top w:val="none" w:sz="0" w:space="0" w:color="auto"/>
        <w:left w:val="none" w:sz="0" w:space="0" w:color="auto"/>
        <w:bottom w:val="none" w:sz="0" w:space="0" w:color="auto"/>
        <w:right w:val="none" w:sz="0" w:space="0" w:color="auto"/>
      </w:divBdr>
    </w:div>
    <w:div w:id="54474781">
      <w:bodyDiv w:val="1"/>
      <w:marLeft w:val="0"/>
      <w:marRight w:val="0"/>
      <w:marTop w:val="0"/>
      <w:marBottom w:val="0"/>
      <w:divBdr>
        <w:top w:val="none" w:sz="0" w:space="0" w:color="auto"/>
        <w:left w:val="none" w:sz="0" w:space="0" w:color="auto"/>
        <w:bottom w:val="none" w:sz="0" w:space="0" w:color="auto"/>
        <w:right w:val="none" w:sz="0" w:space="0" w:color="auto"/>
      </w:divBdr>
    </w:div>
    <w:div w:id="56978662">
      <w:bodyDiv w:val="1"/>
      <w:marLeft w:val="0"/>
      <w:marRight w:val="0"/>
      <w:marTop w:val="0"/>
      <w:marBottom w:val="0"/>
      <w:divBdr>
        <w:top w:val="none" w:sz="0" w:space="0" w:color="auto"/>
        <w:left w:val="none" w:sz="0" w:space="0" w:color="auto"/>
        <w:bottom w:val="none" w:sz="0" w:space="0" w:color="auto"/>
        <w:right w:val="none" w:sz="0" w:space="0" w:color="auto"/>
      </w:divBdr>
    </w:div>
    <w:div w:id="61604251">
      <w:bodyDiv w:val="1"/>
      <w:marLeft w:val="0"/>
      <w:marRight w:val="0"/>
      <w:marTop w:val="0"/>
      <w:marBottom w:val="0"/>
      <w:divBdr>
        <w:top w:val="none" w:sz="0" w:space="0" w:color="auto"/>
        <w:left w:val="none" w:sz="0" w:space="0" w:color="auto"/>
        <w:bottom w:val="none" w:sz="0" w:space="0" w:color="auto"/>
        <w:right w:val="none" w:sz="0" w:space="0" w:color="auto"/>
      </w:divBdr>
    </w:div>
    <w:div w:id="73087464">
      <w:bodyDiv w:val="1"/>
      <w:marLeft w:val="0"/>
      <w:marRight w:val="0"/>
      <w:marTop w:val="0"/>
      <w:marBottom w:val="0"/>
      <w:divBdr>
        <w:top w:val="none" w:sz="0" w:space="0" w:color="auto"/>
        <w:left w:val="none" w:sz="0" w:space="0" w:color="auto"/>
        <w:bottom w:val="none" w:sz="0" w:space="0" w:color="auto"/>
        <w:right w:val="none" w:sz="0" w:space="0" w:color="auto"/>
      </w:divBdr>
    </w:div>
    <w:div w:id="75439558">
      <w:bodyDiv w:val="1"/>
      <w:marLeft w:val="0"/>
      <w:marRight w:val="0"/>
      <w:marTop w:val="0"/>
      <w:marBottom w:val="0"/>
      <w:divBdr>
        <w:top w:val="none" w:sz="0" w:space="0" w:color="auto"/>
        <w:left w:val="none" w:sz="0" w:space="0" w:color="auto"/>
        <w:bottom w:val="none" w:sz="0" w:space="0" w:color="auto"/>
        <w:right w:val="none" w:sz="0" w:space="0" w:color="auto"/>
      </w:divBdr>
    </w:div>
    <w:div w:id="75713963">
      <w:bodyDiv w:val="1"/>
      <w:marLeft w:val="0"/>
      <w:marRight w:val="0"/>
      <w:marTop w:val="0"/>
      <w:marBottom w:val="0"/>
      <w:divBdr>
        <w:top w:val="none" w:sz="0" w:space="0" w:color="auto"/>
        <w:left w:val="none" w:sz="0" w:space="0" w:color="auto"/>
        <w:bottom w:val="none" w:sz="0" w:space="0" w:color="auto"/>
        <w:right w:val="none" w:sz="0" w:space="0" w:color="auto"/>
      </w:divBdr>
    </w:div>
    <w:div w:id="80107287">
      <w:bodyDiv w:val="1"/>
      <w:marLeft w:val="0"/>
      <w:marRight w:val="0"/>
      <w:marTop w:val="0"/>
      <w:marBottom w:val="0"/>
      <w:divBdr>
        <w:top w:val="none" w:sz="0" w:space="0" w:color="auto"/>
        <w:left w:val="none" w:sz="0" w:space="0" w:color="auto"/>
        <w:bottom w:val="none" w:sz="0" w:space="0" w:color="auto"/>
        <w:right w:val="none" w:sz="0" w:space="0" w:color="auto"/>
      </w:divBdr>
    </w:div>
    <w:div w:id="80641092">
      <w:bodyDiv w:val="1"/>
      <w:marLeft w:val="0"/>
      <w:marRight w:val="0"/>
      <w:marTop w:val="0"/>
      <w:marBottom w:val="0"/>
      <w:divBdr>
        <w:top w:val="none" w:sz="0" w:space="0" w:color="auto"/>
        <w:left w:val="none" w:sz="0" w:space="0" w:color="auto"/>
        <w:bottom w:val="none" w:sz="0" w:space="0" w:color="auto"/>
        <w:right w:val="none" w:sz="0" w:space="0" w:color="auto"/>
      </w:divBdr>
    </w:div>
    <w:div w:id="81032743">
      <w:bodyDiv w:val="1"/>
      <w:marLeft w:val="0"/>
      <w:marRight w:val="0"/>
      <w:marTop w:val="0"/>
      <w:marBottom w:val="0"/>
      <w:divBdr>
        <w:top w:val="none" w:sz="0" w:space="0" w:color="auto"/>
        <w:left w:val="none" w:sz="0" w:space="0" w:color="auto"/>
        <w:bottom w:val="none" w:sz="0" w:space="0" w:color="auto"/>
        <w:right w:val="none" w:sz="0" w:space="0" w:color="auto"/>
      </w:divBdr>
    </w:div>
    <w:div w:id="83301534">
      <w:bodyDiv w:val="1"/>
      <w:marLeft w:val="0"/>
      <w:marRight w:val="0"/>
      <w:marTop w:val="0"/>
      <w:marBottom w:val="0"/>
      <w:divBdr>
        <w:top w:val="none" w:sz="0" w:space="0" w:color="auto"/>
        <w:left w:val="none" w:sz="0" w:space="0" w:color="auto"/>
        <w:bottom w:val="none" w:sz="0" w:space="0" w:color="auto"/>
        <w:right w:val="none" w:sz="0" w:space="0" w:color="auto"/>
      </w:divBdr>
    </w:div>
    <w:div w:id="84500225">
      <w:bodyDiv w:val="1"/>
      <w:marLeft w:val="0"/>
      <w:marRight w:val="0"/>
      <w:marTop w:val="0"/>
      <w:marBottom w:val="0"/>
      <w:divBdr>
        <w:top w:val="none" w:sz="0" w:space="0" w:color="auto"/>
        <w:left w:val="none" w:sz="0" w:space="0" w:color="auto"/>
        <w:bottom w:val="none" w:sz="0" w:space="0" w:color="auto"/>
        <w:right w:val="none" w:sz="0" w:space="0" w:color="auto"/>
      </w:divBdr>
    </w:div>
    <w:div w:id="87966080">
      <w:bodyDiv w:val="1"/>
      <w:marLeft w:val="0"/>
      <w:marRight w:val="0"/>
      <w:marTop w:val="0"/>
      <w:marBottom w:val="0"/>
      <w:divBdr>
        <w:top w:val="none" w:sz="0" w:space="0" w:color="auto"/>
        <w:left w:val="none" w:sz="0" w:space="0" w:color="auto"/>
        <w:bottom w:val="none" w:sz="0" w:space="0" w:color="auto"/>
        <w:right w:val="none" w:sz="0" w:space="0" w:color="auto"/>
      </w:divBdr>
    </w:div>
    <w:div w:id="88739945">
      <w:bodyDiv w:val="1"/>
      <w:marLeft w:val="0"/>
      <w:marRight w:val="0"/>
      <w:marTop w:val="0"/>
      <w:marBottom w:val="0"/>
      <w:divBdr>
        <w:top w:val="none" w:sz="0" w:space="0" w:color="auto"/>
        <w:left w:val="none" w:sz="0" w:space="0" w:color="auto"/>
        <w:bottom w:val="none" w:sz="0" w:space="0" w:color="auto"/>
        <w:right w:val="none" w:sz="0" w:space="0" w:color="auto"/>
      </w:divBdr>
    </w:div>
    <w:div w:id="88939401">
      <w:bodyDiv w:val="1"/>
      <w:marLeft w:val="0"/>
      <w:marRight w:val="0"/>
      <w:marTop w:val="0"/>
      <w:marBottom w:val="0"/>
      <w:divBdr>
        <w:top w:val="none" w:sz="0" w:space="0" w:color="auto"/>
        <w:left w:val="none" w:sz="0" w:space="0" w:color="auto"/>
        <w:bottom w:val="none" w:sz="0" w:space="0" w:color="auto"/>
        <w:right w:val="none" w:sz="0" w:space="0" w:color="auto"/>
      </w:divBdr>
    </w:div>
    <w:div w:id="89277679">
      <w:bodyDiv w:val="1"/>
      <w:marLeft w:val="0"/>
      <w:marRight w:val="0"/>
      <w:marTop w:val="0"/>
      <w:marBottom w:val="0"/>
      <w:divBdr>
        <w:top w:val="none" w:sz="0" w:space="0" w:color="auto"/>
        <w:left w:val="none" w:sz="0" w:space="0" w:color="auto"/>
        <w:bottom w:val="none" w:sz="0" w:space="0" w:color="auto"/>
        <w:right w:val="none" w:sz="0" w:space="0" w:color="auto"/>
      </w:divBdr>
    </w:div>
    <w:div w:id="90512058">
      <w:bodyDiv w:val="1"/>
      <w:marLeft w:val="0"/>
      <w:marRight w:val="0"/>
      <w:marTop w:val="0"/>
      <w:marBottom w:val="0"/>
      <w:divBdr>
        <w:top w:val="none" w:sz="0" w:space="0" w:color="auto"/>
        <w:left w:val="none" w:sz="0" w:space="0" w:color="auto"/>
        <w:bottom w:val="none" w:sz="0" w:space="0" w:color="auto"/>
        <w:right w:val="none" w:sz="0" w:space="0" w:color="auto"/>
      </w:divBdr>
    </w:div>
    <w:div w:id="92937749">
      <w:bodyDiv w:val="1"/>
      <w:marLeft w:val="0"/>
      <w:marRight w:val="0"/>
      <w:marTop w:val="0"/>
      <w:marBottom w:val="0"/>
      <w:divBdr>
        <w:top w:val="none" w:sz="0" w:space="0" w:color="auto"/>
        <w:left w:val="none" w:sz="0" w:space="0" w:color="auto"/>
        <w:bottom w:val="none" w:sz="0" w:space="0" w:color="auto"/>
        <w:right w:val="none" w:sz="0" w:space="0" w:color="auto"/>
      </w:divBdr>
    </w:div>
    <w:div w:id="96214294">
      <w:bodyDiv w:val="1"/>
      <w:marLeft w:val="0"/>
      <w:marRight w:val="0"/>
      <w:marTop w:val="0"/>
      <w:marBottom w:val="0"/>
      <w:divBdr>
        <w:top w:val="none" w:sz="0" w:space="0" w:color="auto"/>
        <w:left w:val="none" w:sz="0" w:space="0" w:color="auto"/>
        <w:bottom w:val="none" w:sz="0" w:space="0" w:color="auto"/>
        <w:right w:val="none" w:sz="0" w:space="0" w:color="auto"/>
      </w:divBdr>
    </w:div>
    <w:div w:id="97606024">
      <w:bodyDiv w:val="1"/>
      <w:marLeft w:val="0"/>
      <w:marRight w:val="0"/>
      <w:marTop w:val="0"/>
      <w:marBottom w:val="0"/>
      <w:divBdr>
        <w:top w:val="none" w:sz="0" w:space="0" w:color="auto"/>
        <w:left w:val="none" w:sz="0" w:space="0" w:color="auto"/>
        <w:bottom w:val="none" w:sz="0" w:space="0" w:color="auto"/>
        <w:right w:val="none" w:sz="0" w:space="0" w:color="auto"/>
      </w:divBdr>
    </w:div>
    <w:div w:id="98568962">
      <w:bodyDiv w:val="1"/>
      <w:marLeft w:val="0"/>
      <w:marRight w:val="0"/>
      <w:marTop w:val="0"/>
      <w:marBottom w:val="0"/>
      <w:divBdr>
        <w:top w:val="none" w:sz="0" w:space="0" w:color="auto"/>
        <w:left w:val="none" w:sz="0" w:space="0" w:color="auto"/>
        <w:bottom w:val="none" w:sz="0" w:space="0" w:color="auto"/>
        <w:right w:val="none" w:sz="0" w:space="0" w:color="auto"/>
      </w:divBdr>
    </w:div>
    <w:div w:id="99110975">
      <w:bodyDiv w:val="1"/>
      <w:marLeft w:val="0"/>
      <w:marRight w:val="0"/>
      <w:marTop w:val="0"/>
      <w:marBottom w:val="0"/>
      <w:divBdr>
        <w:top w:val="none" w:sz="0" w:space="0" w:color="auto"/>
        <w:left w:val="none" w:sz="0" w:space="0" w:color="auto"/>
        <w:bottom w:val="none" w:sz="0" w:space="0" w:color="auto"/>
        <w:right w:val="none" w:sz="0" w:space="0" w:color="auto"/>
      </w:divBdr>
    </w:div>
    <w:div w:id="99692268">
      <w:bodyDiv w:val="1"/>
      <w:marLeft w:val="0"/>
      <w:marRight w:val="0"/>
      <w:marTop w:val="0"/>
      <w:marBottom w:val="0"/>
      <w:divBdr>
        <w:top w:val="none" w:sz="0" w:space="0" w:color="auto"/>
        <w:left w:val="none" w:sz="0" w:space="0" w:color="auto"/>
        <w:bottom w:val="none" w:sz="0" w:space="0" w:color="auto"/>
        <w:right w:val="none" w:sz="0" w:space="0" w:color="auto"/>
      </w:divBdr>
    </w:div>
    <w:div w:id="102262794">
      <w:bodyDiv w:val="1"/>
      <w:marLeft w:val="0"/>
      <w:marRight w:val="0"/>
      <w:marTop w:val="0"/>
      <w:marBottom w:val="0"/>
      <w:divBdr>
        <w:top w:val="none" w:sz="0" w:space="0" w:color="auto"/>
        <w:left w:val="none" w:sz="0" w:space="0" w:color="auto"/>
        <w:bottom w:val="none" w:sz="0" w:space="0" w:color="auto"/>
        <w:right w:val="none" w:sz="0" w:space="0" w:color="auto"/>
      </w:divBdr>
    </w:div>
    <w:div w:id="102312186">
      <w:bodyDiv w:val="1"/>
      <w:marLeft w:val="0"/>
      <w:marRight w:val="0"/>
      <w:marTop w:val="0"/>
      <w:marBottom w:val="0"/>
      <w:divBdr>
        <w:top w:val="none" w:sz="0" w:space="0" w:color="auto"/>
        <w:left w:val="none" w:sz="0" w:space="0" w:color="auto"/>
        <w:bottom w:val="none" w:sz="0" w:space="0" w:color="auto"/>
        <w:right w:val="none" w:sz="0" w:space="0" w:color="auto"/>
      </w:divBdr>
    </w:div>
    <w:div w:id="102962489">
      <w:bodyDiv w:val="1"/>
      <w:marLeft w:val="0"/>
      <w:marRight w:val="0"/>
      <w:marTop w:val="0"/>
      <w:marBottom w:val="0"/>
      <w:divBdr>
        <w:top w:val="none" w:sz="0" w:space="0" w:color="auto"/>
        <w:left w:val="none" w:sz="0" w:space="0" w:color="auto"/>
        <w:bottom w:val="none" w:sz="0" w:space="0" w:color="auto"/>
        <w:right w:val="none" w:sz="0" w:space="0" w:color="auto"/>
      </w:divBdr>
    </w:div>
    <w:div w:id="103772739">
      <w:bodyDiv w:val="1"/>
      <w:marLeft w:val="0"/>
      <w:marRight w:val="0"/>
      <w:marTop w:val="0"/>
      <w:marBottom w:val="0"/>
      <w:divBdr>
        <w:top w:val="none" w:sz="0" w:space="0" w:color="auto"/>
        <w:left w:val="none" w:sz="0" w:space="0" w:color="auto"/>
        <w:bottom w:val="none" w:sz="0" w:space="0" w:color="auto"/>
        <w:right w:val="none" w:sz="0" w:space="0" w:color="auto"/>
      </w:divBdr>
    </w:div>
    <w:div w:id="103888250">
      <w:bodyDiv w:val="1"/>
      <w:marLeft w:val="0"/>
      <w:marRight w:val="0"/>
      <w:marTop w:val="0"/>
      <w:marBottom w:val="0"/>
      <w:divBdr>
        <w:top w:val="none" w:sz="0" w:space="0" w:color="auto"/>
        <w:left w:val="none" w:sz="0" w:space="0" w:color="auto"/>
        <w:bottom w:val="none" w:sz="0" w:space="0" w:color="auto"/>
        <w:right w:val="none" w:sz="0" w:space="0" w:color="auto"/>
      </w:divBdr>
    </w:div>
    <w:div w:id="106003002">
      <w:bodyDiv w:val="1"/>
      <w:marLeft w:val="0"/>
      <w:marRight w:val="0"/>
      <w:marTop w:val="0"/>
      <w:marBottom w:val="0"/>
      <w:divBdr>
        <w:top w:val="none" w:sz="0" w:space="0" w:color="auto"/>
        <w:left w:val="none" w:sz="0" w:space="0" w:color="auto"/>
        <w:bottom w:val="none" w:sz="0" w:space="0" w:color="auto"/>
        <w:right w:val="none" w:sz="0" w:space="0" w:color="auto"/>
      </w:divBdr>
    </w:div>
    <w:div w:id="107242131">
      <w:bodyDiv w:val="1"/>
      <w:marLeft w:val="0"/>
      <w:marRight w:val="0"/>
      <w:marTop w:val="0"/>
      <w:marBottom w:val="0"/>
      <w:divBdr>
        <w:top w:val="none" w:sz="0" w:space="0" w:color="auto"/>
        <w:left w:val="none" w:sz="0" w:space="0" w:color="auto"/>
        <w:bottom w:val="none" w:sz="0" w:space="0" w:color="auto"/>
        <w:right w:val="none" w:sz="0" w:space="0" w:color="auto"/>
      </w:divBdr>
    </w:div>
    <w:div w:id="107819701">
      <w:bodyDiv w:val="1"/>
      <w:marLeft w:val="0"/>
      <w:marRight w:val="0"/>
      <w:marTop w:val="0"/>
      <w:marBottom w:val="0"/>
      <w:divBdr>
        <w:top w:val="none" w:sz="0" w:space="0" w:color="auto"/>
        <w:left w:val="none" w:sz="0" w:space="0" w:color="auto"/>
        <w:bottom w:val="none" w:sz="0" w:space="0" w:color="auto"/>
        <w:right w:val="none" w:sz="0" w:space="0" w:color="auto"/>
      </w:divBdr>
    </w:div>
    <w:div w:id="107895662">
      <w:bodyDiv w:val="1"/>
      <w:marLeft w:val="0"/>
      <w:marRight w:val="0"/>
      <w:marTop w:val="0"/>
      <w:marBottom w:val="0"/>
      <w:divBdr>
        <w:top w:val="none" w:sz="0" w:space="0" w:color="auto"/>
        <w:left w:val="none" w:sz="0" w:space="0" w:color="auto"/>
        <w:bottom w:val="none" w:sz="0" w:space="0" w:color="auto"/>
        <w:right w:val="none" w:sz="0" w:space="0" w:color="auto"/>
      </w:divBdr>
    </w:div>
    <w:div w:id="108361210">
      <w:bodyDiv w:val="1"/>
      <w:marLeft w:val="0"/>
      <w:marRight w:val="0"/>
      <w:marTop w:val="0"/>
      <w:marBottom w:val="0"/>
      <w:divBdr>
        <w:top w:val="none" w:sz="0" w:space="0" w:color="auto"/>
        <w:left w:val="none" w:sz="0" w:space="0" w:color="auto"/>
        <w:bottom w:val="none" w:sz="0" w:space="0" w:color="auto"/>
        <w:right w:val="none" w:sz="0" w:space="0" w:color="auto"/>
      </w:divBdr>
    </w:div>
    <w:div w:id="111095566">
      <w:bodyDiv w:val="1"/>
      <w:marLeft w:val="0"/>
      <w:marRight w:val="0"/>
      <w:marTop w:val="0"/>
      <w:marBottom w:val="0"/>
      <w:divBdr>
        <w:top w:val="none" w:sz="0" w:space="0" w:color="auto"/>
        <w:left w:val="none" w:sz="0" w:space="0" w:color="auto"/>
        <w:bottom w:val="none" w:sz="0" w:space="0" w:color="auto"/>
        <w:right w:val="none" w:sz="0" w:space="0" w:color="auto"/>
      </w:divBdr>
    </w:div>
    <w:div w:id="112140006">
      <w:bodyDiv w:val="1"/>
      <w:marLeft w:val="0"/>
      <w:marRight w:val="0"/>
      <w:marTop w:val="0"/>
      <w:marBottom w:val="0"/>
      <w:divBdr>
        <w:top w:val="none" w:sz="0" w:space="0" w:color="auto"/>
        <w:left w:val="none" w:sz="0" w:space="0" w:color="auto"/>
        <w:bottom w:val="none" w:sz="0" w:space="0" w:color="auto"/>
        <w:right w:val="none" w:sz="0" w:space="0" w:color="auto"/>
      </w:divBdr>
    </w:div>
    <w:div w:id="114521416">
      <w:bodyDiv w:val="1"/>
      <w:marLeft w:val="0"/>
      <w:marRight w:val="0"/>
      <w:marTop w:val="0"/>
      <w:marBottom w:val="0"/>
      <w:divBdr>
        <w:top w:val="none" w:sz="0" w:space="0" w:color="auto"/>
        <w:left w:val="none" w:sz="0" w:space="0" w:color="auto"/>
        <w:bottom w:val="none" w:sz="0" w:space="0" w:color="auto"/>
        <w:right w:val="none" w:sz="0" w:space="0" w:color="auto"/>
      </w:divBdr>
    </w:div>
    <w:div w:id="117646155">
      <w:bodyDiv w:val="1"/>
      <w:marLeft w:val="0"/>
      <w:marRight w:val="0"/>
      <w:marTop w:val="0"/>
      <w:marBottom w:val="0"/>
      <w:divBdr>
        <w:top w:val="none" w:sz="0" w:space="0" w:color="auto"/>
        <w:left w:val="none" w:sz="0" w:space="0" w:color="auto"/>
        <w:bottom w:val="none" w:sz="0" w:space="0" w:color="auto"/>
        <w:right w:val="none" w:sz="0" w:space="0" w:color="auto"/>
      </w:divBdr>
    </w:div>
    <w:div w:id="119299133">
      <w:bodyDiv w:val="1"/>
      <w:marLeft w:val="0"/>
      <w:marRight w:val="0"/>
      <w:marTop w:val="0"/>
      <w:marBottom w:val="0"/>
      <w:divBdr>
        <w:top w:val="none" w:sz="0" w:space="0" w:color="auto"/>
        <w:left w:val="none" w:sz="0" w:space="0" w:color="auto"/>
        <w:bottom w:val="none" w:sz="0" w:space="0" w:color="auto"/>
        <w:right w:val="none" w:sz="0" w:space="0" w:color="auto"/>
      </w:divBdr>
    </w:div>
    <w:div w:id="120078758">
      <w:bodyDiv w:val="1"/>
      <w:marLeft w:val="0"/>
      <w:marRight w:val="0"/>
      <w:marTop w:val="0"/>
      <w:marBottom w:val="0"/>
      <w:divBdr>
        <w:top w:val="none" w:sz="0" w:space="0" w:color="auto"/>
        <w:left w:val="none" w:sz="0" w:space="0" w:color="auto"/>
        <w:bottom w:val="none" w:sz="0" w:space="0" w:color="auto"/>
        <w:right w:val="none" w:sz="0" w:space="0" w:color="auto"/>
      </w:divBdr>
    </w:div>
    <w:div w:id="122307114">
      <w:bodyDiv w:val="1"/>
      <w:marLeft w:val="0"/>
      <w:marRight w:val="0"/>
      <w:marTop w:val="0"/>
      <w:marBottom w:val="0"/>
      <w:divBdr>
        <w:top w:val="none" w:sz="0" w:space="0" w:color="auto"/>
        <w:left w:val="none" w:sz="0" w:space="0" w:color="auto"/>
        <w:bottom w:val="none" w:sz="0" w:space="0" w:color="auto"/>
        <w:right w:val="none" w:sz="0" w:space="0" w:color="auto"/>
      </w:divBdr>
    </w:div>
    <w:div w:id="123545181">
      <w:bodyDiv w:val="1"/>
      <w:marLeft w:val="0"/>
      <w:marRight w:val="0"/>
      <w:marTop w:val="0"/>
      <w:marBottom w:val="0"/>
      <w:divBdr>
        <w:top w:val="none" w:sz="0" w:space="0" w:color="auto"/>
        <w:left w:val="none" w:sz="0" w:space="0" w:color="auto"/>
        <w:bottom w:val="none" w:sz="0" w:space="0" w:color="auto"/>
        <w:right w:val="none" w:sz="0" w:space="0" w:color="auto"/>
      </w:divBdr>
    </w:div>
    <w:div w:id="124280540">
      <w:bodyDiv w:val="1"/>
      <w:marLeft w:val="0"/>
      <w:marRight w:val="0"/>
      <w:marTop w:val="0"/>
      <w:marBottom w:val="0"/>
      <w:divBdr>
        <w:top w:val="none" w:sz="0" w:space="0" w:color="auto"/>
        <w:left w:val="none" w:sz="0" w:space="0" w:color="auto"/>
        <w:bottom w:val="none" w:sz="0" w:space="0" w:color="auto"/>
        <w:right w:val="none" w:sz="0" w:space="0" w:color="auto"/>
      </w:divBdr>
    </w:div>
    <w:div w:id="126894630">
      <w:bodyDiv w:val="1"/>
      <w:marLeft w:val="0"/>
      <w:marRight w:val="0"/>
      <w:marTop w:val="0"/>
      <w:marBottom w:val="0"/>
      <w:divBdr>
        <w:top w:val="none" w:sz="0" w:space="0" w:color="auto"/>
        <w:left w:val="none" w:sz="0" w:space="0" w:color="auto"/>
        <w:bottom w:val="none" w:sz="0" w:space="0" w:color="auto"/>
        <w:right w:val="none" w:sz="0" w:space="0" w:color="auto"/>
      </w:divBdr>
    </w:div>
    <w:div w:id="127548900">
      <w:bodyDiv w:val="1"/>
      <w:marLeft w:val="0"/>
      <w:marRight w:val="0"/>
      <w:marTop w:val="0"/>
      <w:marBottom w:val="0"/>
      <w:divBdr>
        <w:top w:val="none" w:sz="0" w:space="0" w:color="auto"/>
        <w:left w:val="none" w:sz="0" w:space="0" w:color="auto"/>
        <w:bottom w:val="none" w:sz="0" w:space="0" w:color="auto"/>
        <w:right w:val="none" w:sz="0" w:space="0" w:color="auto"/>
      </w:divBdr>
    </w:div>
    <w:div w:id="127599933">
      <w:bodyDiv w:val="1"/>
      <w:marLeft w:val="0"/>
      <w:marRight w:val="0"/>
      <w:marTop w:val="0"/>
      <w:marBottom w:val="0"/>
      <w:divBdr>
        <w:top w:val="none" w:sz="0" w:space="0" w:color="auto"/>
        <w:left w:val="none" w:sz="0" w:space="0" w:color="auto"/>
        <w:bottom w:val="none" w:sz="0" w:space="0" w:color="auto"/>
        <w:right w:val="none" w:sz="0" w:space="0" w:color="auto"/>
      </w:divBdr>
    </w:div>
    <w:div w:id="129440135">
      <w:bodyDiv w:val="1"/>
      <w:marLeft w:val="0"/>
      <w:marRight w:val="0"/>
      <w:marTop w:val="0"/>
      <w:marBottom w:val="0"/>
      <w:divBdr>
        <w:top w:val="none" w:sz="0" w:space="0" w:color="auto"/>
        <w:left w:val="none" w:sz="0" w:space="0" w:color="auto"/>
        <w:bottom w:val="none" w:sz="0" w:space="0" w:color="auto"/>
        <w:right w:val="none" w:sz="0" w:space="0" w:color="auto"/>
      </w:divBdr>
    </w:div>
    <w:div w:id="129907920">
      <w:bodyDiv w:val="1"/>
      <w:marLeft w:val="0"/>
      <w:marRight w:val="0"/>
      <w:marTop w:val="0"/>
      <w:marBottom w:val="0"/>
      <w:divBdr>
        <w:top w:val="none" w:sz="0" w:space="0" w:color="auto"/>
        <w:left w:val="none" w:sz="0" w:space="0" w:color="auto"/>
        <w:bottom w:val="none" w:sz="0" w:space="0" w:color="auto"/>
        <w:right w:val="none" w:sz="0" w:space="0" w:color="auto"/>
      </w:divBdr>
    </w:div>
    <w:div w:id="130170775">
      <w:bodyDiv w:val="1"/>
      <w:marLeft w:val="0"/>
      <w:marRight w:val="0"/>
      <w:marTop w:val="0"/>
      <w:marBottom w:val="0"/>
      <w:divBdr>
        <w:top w:val="none" w:sz="0" w:space="0" w:color="auto"/>
        <w:left w:val="none" w:sz="0" w:space="0" w:color="auto"/>
        <w:bottom w:val="none" w:sz="0" w:space="0" w:color="auto"/>
        <w:right w:val="none" w:sz="0" w:space="0" w:color="auto"/>
      </w:divBdr>
    </w:div>
    <w:div w:id="131757278">
      <w:bodyDiv w:val="1"/>
      <w:marLeft w:val="0"/>
      <w:marRight w:val="0"/>
      <w:marTop w:val="0"/>
      <w:marBottom w:val="0"/>
      <w:divBdr>
        <w:top w:val="none" w:sz="0" w:space="0" w:color="auto"/>
        <w:left w:val="none" w:sz="0" w:space="0" w:color="auto"/>
        <w:bottom w:val="none" w:sz="0" w:space="0" w:color="auto"/>
        <w:right w:val="none" w:sz="0" w:space="0" w:color="auto"/>
      </w:divBdr>
    </w:div>
    <w:div w:id="132069478">
      <w:bodyDiv w:val="1"/>
      <w:marLeft w:val="0"/>
      <w:marRight w:val="0"/>
      <w:marTop w:val="0"/>
      <w:marBottom w:val="0"/>
      <w:divBdr>
        <w:top w:val="none" w:sz="0" w:space="0" w:color="auto"/>
        <w:left w:val="none" w:sz="0" w:space="0" w:color="auto"/>
        <w:bottom w:val="none" w:sz="0" w:space="0" w:color="auto"/>
        <w:right w:val="none" w:sz="0" w:space="0" w:color="auto"/>
      </w:divBdr>
    </w:div>
    <w:div w:id="132716255">
      <w:bodyDiv w:val="1"/>
      <w:marLeft w:val="0"/>
      <w:marRight w:val="0"/>
      <w:marTop w:val="0"/>
      <w:marBottom w:val="0"/>
      <w:divBdr>
        <w:top w:val="none" w:sz="0" w:space="0" w:color="auto"/>
        <w:left w:val="none" w:sz="0" w:space="0" w:color="auto"/>
        <w:bottom w:val="none" w:sz="0" w:space="0" w:color="auto"/>
        <w:right w:val="none" w:sz="0" w:space="0" w:color="auto"/>
      </w:divBdr>
    </w:div>
    <w:div w:id="133644543">
      <w:bodyDiv w:val="1"/>
      <w:marLeft w:val="0"/>
      <w:marRight w:val="0"/>
      <w:marTop w:val="0"/>
      <w:marBottom w:val="0"/>
      <w:divBdr>
        <w:top w:val="none" w:sz="0" w:space="0" w:color="auto"/>
        <w:left w:val="none" w:sz="0" w:space="0" w:color="auto"/>
        <w:bottom w:val="none" w:sz="0" w:space="0" w:color="auto"/>
        <w:right w:val="none" w:sz="0" w:space="0" w:color="auto"/>
      </w:divBdr>
    </w:div>
    <w:div w:id="134757344">
      <w:bodyDiv w:val="1"/>
      <w:marLeft w:val="0"/>
      <w:marRight w:val="0"/>
      <w:marTop w:val="0"/>
      <w:marBottom w:val="0"/>
      <w:divBdr>
        <w:top w:val="none" w:sz="0" w:space="0" w:color="auto"/>
        <w:left w:val="none" w:sz="0" w:space="0" w:color="auto"/>
        <w:bottom w:val="none" w:sz="0" w:space="0" w:color="auto"/>
        <w:right w:val="none" w:sz="0" w:space="0" w:color="auto"/>
      </w:divBdr>
    </w:div>
    <w:div w:id="134875554">
      <w:bodyDiv w:val="1"/>
      <w:marLeft w:val="0"/>
      <w:marRight w:val="0"/>
      <w:marTop w:val="0"/>
      <w:marBottom w:val="0"/>
      <w:divBdr>
        <w:top w:val="none" w:sz="0" w:space="0" w:color="auto"/>
        <w:left w:val="none" w:sz="0" w:space="0" w:color="auto"/>
        <w:bottom w:val="none" w:sz="0" w:space="0" w:color="auto"/>
        <w:right w:val="none" w:sz="0" w:space="0" w:color="auto"/>
      </w:divBdr>
    </w:div>
    <w:div w:id="136192273">
      <w:bodyDiv w:val="1"/>
      <w:marLeft w:val="0"/>
      <w:marRight w:val="0"/>
      <w:marTop w:val="0"/>
      <w:marBottom w:val="0"/>
      <w:divBdr>
        <w:top w:val="none" w:sz="0" w:space="0" w:color="auto"/>
        <w:left w:val="none" w:sz="0" w:space="0" w:color="auto"/>
        <w:bottom w:val="none" w:sz="0" w:space="0" w:color="auto"/>
        <w:right w:val="none" w:sz="0" w:space="0" w:color="auto"/>
      </w:divBdr>
    </w:div>
    <w:div w:id="137039955">
      <w:bodyDiv w:val="1"/>
      <w:marLeft w:val="0"/>
      <w:marRight w:val="0"/>
      <w:marTop w:val="0"/>
      <w:marBottom w:val="0"/>
      <w:divBdr>
        <w:top w:val="none" w:sz="0" w:space="0" w:color="auto"/>
        <w:left w:val="none" w:sz="0" w:space="0" w:color="auto"/>
        <w:bottom w:val="none" w:sz="0" w:space="0" w:color="auto"/>
        <w:right w:val="none" w:sz="0" w:space="0" w:color="auto"/>
      </w:divBdr>
    </w:div>
    <w:div w:id="139346250">
      <w:bodyDiv w:val="1"/>
      <w:marLeft w:val="0"/>
      <w:marRight w:val="0"/>
      <w:marTop w:val="0"/>
      <w:marBottom w:val="0"/>
      <w:divBdr>
        <w:top w:val="none" w:sz="0" w:space="0" w:color="auto"/>
        <w:left w:val="none" w:sz="0" w:space="0" w:color="auto"/>
        <w:bottom w:val="none" w:sz="0" w:space="0" w:color="auto"/>
        <w:right w:val="none" w:sz="0" w:space="0" w:color="auto"/>
      </w:divBdr>
    </w:div>
    <w:div w:id="148443509">
      <w:bodyDiv w:val="1"/>
      <w:marLeft w:val="0"/>
      <w:marRight w:val="0"/>
      <w:marTop w:val="0"/>
      <w:marBottom w:val="0"/>
      <w:divBdr>
        <w:top w:val="none" w:sz="0" w:space="0" w:color="auto"/>
        <w:left w:val="none" w:sz="0" w:space="0" w:color="auto"/>
        <w:bottom w:val="none" w:sz="0" w:space="0" w:color="auto"/>
        <w:right w:val="none" w:sz="0" w:space="0" w:color="auto"/>
      </w:divBdr>
    </w:div>
    <w:div w:id="148909299">
      <w:bodyDiv w:val="1"/>
      <w:marLeft w:val="0"/>
      <w:marRight w:val="0"/>
      <w:marTop w:val="0"/>
      <w:marBottom w:val="0"/>
      <w:divBdr>
        <w:top w:val="none" w:sz="0" w:space="0" w:color="auto"/>
        <w:left w:val="none" w:sz="0" w:space="0" w:color="auto"/>
        <w:bottom w:val="none" w:sz="0" w:space="0" w:color="auto"/>
        <w:right w:val="none" w:sz="0" w:space="0" w:color="auto"/>
      </w:divBdr>
    </w:div>
    <w:div w:id="150104124">
      <w:bodyDiv w:val="1"/>
      <w:marLeft w:val="0"/>
      <w:marRight w:val="0"/>
      <w:marTop w:val="0"/>
      <w:marBottom w:val="0"/>
      <w:divBdr>
        <w:top w:val="none" w:sz="0" w:space="0" w:color="auto"/>
        <w:left w:val="none" w:sz="0" w:space="0" w:color="auto"/>
        <w:bottom w:val="none" w:sz="0" w:space="0" w:color="auto"/>
        <w:right w:val="none" w:sz="0" w:space="0" w:color="auto"/>
      </w:divBdr>
    </w:div>
    <w:div w:id="151411950">
      <w:bodyDiv w:val="1"/>
      <w:marLeft w:val="0"/>
      <w:marRight w:val="0"/>
      <w:marTop w:val="0"/>
      <w:marBottom w:val="0"/>
      <w:divBdr>
        <w:top w:val="none" w:sz="0" w:space="0" w:color="auto"/>
        <w:left w:val="none" w:sz="0" w:space="0" w:color="auto"/>
        <w:bottom w:val="none" w:sz="0" w:space="0" w:color="auto"/>
        <w:right w:val="none" w:sz="0" w:space="0" w:color="auto"/>
      </w:divBdr>
    </w:div>
    <w:div w:id="152915796">
      <w:bodyDiv w:val="1"/>
      <w:marLeft w:val="0"/>
      <w:marRight w:val="0"/>
      <w:marTop w:val="0"/>
      <w:marBottom w:val="0"/>
      <w:divBdr>
        <w:top w:val="none" w:sz="0" w:space="0" w:color="auto"/>
        <w:left w:val="none" w:sz="0" w:space="0" w:color="auto"/>
        <w:bottom w:val="none" w:sz="0" w:space="0" w:color="auto"/>
        <w:right w:val="none" w:sz="0" w:space="0" w:color="auto"/>
      </w:divBdr>
    </w:div>
    <w:div w:id="155846478">
      <w:bodyDiv w:val="1"/>
      <w:marLeft w:val="0"/>
      <w:marRight w:val="0"/>
      <w:marTop w:val="0"/>
      <w:marBottom w:val="0"/>
      <w:divBdr>
        <w:top w:val="none" w:sz="0" w:space="0" w:color="auto"/>
        <w:left w:val="none" w:sz="0" w:space="0" w:color="auto"/>
        <w:bottom w:val="none" w:sz="0" w:space="0" w:color="auto"/>
        <w:right w:val="none" w:sz="0" w:space="0" w:color="auto"/>
      </w:divBdr>
    </w:div>
    <w:div w:id="156384594">
      <w:bodyDiv w:val="1"/>
      <w:marLeft w:val="0"/>
      <w:marRight w:val="0"/>
      <w:marTop w:val="0"/>
      <w:marBottom w:val="0"/>
      <w:divBdr>
        <w:top w:val="none" w:sz="0" w:space="0" w:color="auto"/>
        <w:left w:val="none" w:sz="0" w:space="0" w:color="auto"/>
        <w:bottom w:val="none" w:sz="0" w:space="0" w:color="auto"/>
        <w:right w:val="none" w:sz="0" w:space="0" w:color="auto"/>
      </w:divBdr>
    </w:div>
    <w:div w:id="156651816">
      <w:bodyDiv w:val="1"/>
      <w:marLeft w:val="0"/>
      <w:marRight w:val="0"/>
      <w:marTop w:val="0"/>
      <w:marBottom w:val="0"/>
      <w:divBdr>
        <w:top w:val="none" w:sz="0" w:space="0" w:color="auto"/>
        <w:left w:val="none" w:sz="0" w:space="0" w:color="auto"/>
        <w:bottom w:val="none" w:sz="0" w:space="0" w:color="auto"/>
        <w:right w:val="none" w:sz="0" w:space="0" w:color="auto"/>
      </w:divBdr>
    </w:div>
    <w:div w:id="158812546">
      <w:bodyDiv w:val="1"/>
      <w:marLeft w:val="0"/>
      <w:marRight w:val="0"/>
      <w:marTop w:val="0"/>
      <w:marBottom w:val="0"/>
      <w:divBdr>
        <w:top w:val="none" w:sz="0" w:space="0" w:color="auto"/>
        <w:left w:val="none" w:sz="0" w:space="0" w:color="auto"/>
        <w:bottom w:val="none" w:sz="0" w:space="0" w:color="auto"/>
        <w:right w:val="none" w:sz="0" w:space="0" w:color="auto"/>
      </w:divBdr>
    </w:div>
    <w:div w:id="161624061">
      <w:bodyDiv w:val="1"/>
      <w:marLeft w:val="0"/>
      <w:marRight w:val="0"/>
      <w:marTop w:val="0"/>
      <w:marBottom w:val="0"/>
      <w:divBdr>
        <w:top w:val="none" w:sz="0" w:space="0" w:color="auto"/>
        <w:left w:val="none" w:sz="0" w:space="0" w:color="auto"/>
        <w:bottom w:val="none" w:sz="0" w:space="0" w:color="auto"/>
        <w:right w:val="none" w:sz="0" w:space="0" w:color="auto"/>
      </w:divBdr>
    </w:div>
    <w:div w:id="163739842">
      <w:bodyDiv w:val="1"/>
      <w:marLeft w:val="0"/>
      <w:marRight w:val="0"/>
      <w:marTop w:val="0"/>
      <w:marBottom w:val="0"/>
      <w:divBdr>
        <w:top w:val="none" w:sz="0" w:space="0" w:color="auto"/>
        <w:left w:val="none" w:sz="0" w:space="0" w:color="auto"/>
        <w:bottom w:val="none" w:sz="0" w:space="0" w:color="auto"/>
        <w:right w:val="none" w:sz="0" w:space="0" w:color="auto"/>
      </w:divBdr>
    </w:div>
    <w:div w:id="165444467">
      <w:bodyDiv w:val="1"/>
      <w:marLeft w:val="0"/>
      <w:marRight w:val="0"/>
      <w:marTop w:val="0"/>
      <w:marBottom w:val="0"/>
      <w:divBdr>
        <w:top w:val="none" w:sz="0" w:space="0" w:color="auto"/>
        <w:left w:val="none" w:sz="0" w:space="0" w:color="auto"/>
        <w:bottom w:val="none" w:sz="0" w:space="0" w:color="auto"/>
        <w:right w:val="none" w:sz="0" w:space="0" w:color="auto"/>
      </w:divBdr>
    </w:div>
    <w:div w:id="165831160">
      <w:bodyDiv w:val="1"/>
      <w:marLeft w:val="0"/>
      <w:marRight w:val="0"/>
      <w:marTop w:val="0"/>
      <w:marBottom w:val="0"/>
      <w:divBdr>
        <w:top w:val="none" w:sz="0" w:space="0" w:color="auto"/>
        <w:left w:val="none" w:sz="0" w:space="0" w:color="auto"/>
        <w:bottom w:val="none" w:sz="0" w:space="0" w:color="auto"/>
        <w:right w:val="none" w:sz="0" w:space="0" w:color="auto"/>
      </w:divBdr>
    </w:div>
    <w:div w:id="166217900">
      <w:bodyDiv w:val="1"/>
      <w:marLeft w:val="0"/>
      <w:marRight w:val="0"/>
      <w:marTop w:val="0"/>
      <w:marBottom w:val="0"/>
      <w:divBdr>
        <w:top w:val="none" w:sz="0" w:space="0" w:color="auto"/>
        <w:left w:val="none" w:sz="0" w:space="0" w:color="auto"/>
        <w:bottom w:val="none" w:sz="0" w:space="0" w:color="auto"/>
        <w:right w:val="none" w:sz="0" w:space="0" w:color="auto"/>
      </w:divBdr>
    </w:div>
    <w:div w:id="167331331">
      <w:bodyDiv w:val="1"/>
      <w:marLeft w:val="0"/>
      <w:marRight w:val="0"/>
      <w:marTop w:val="0"/>
      <w:marBottom w:val="0"/>
      <w:divBdr>
        <w:top w:val="none" w:sz="0" w:space="0" w:color="auto"/>
        <w:left w:val="none" w:sz="0" w:space="0" w:color="auto"/>
        <w:bottom w:val="none" w:sz="0" w:space="0" w:color="auto"/>
        <w:right w:val="none" w:sz="0" w:space="0" w:color="auto"/>
      </w:divBdr>
    </w:div>
    <w:div w:id="167840167">
      <w:bodyDiv w:val="1"/>
      <w:marLeft w:val="0"/>
      <w:marRight w:val="0"/>
      <w:marTop w:val="0"/>
      <w:marBottom w:val="0"/>
      <w:divBdr>
        <w:top w:val="none" w:sz="0" w:space="0" w:color="auto"/>
        <w:left w:val="none" w:sz="0" w:space="0" w:color="auto"/>
        <w:bottom w:val="none" w:sz="0" w:space="0" w:color="auto"/>
        <w:right w:val="none" w:sz="0" w:space="0" w:color="auto"/>
      </w:divBdr>
    </w:div>
    <w:div w:id="171846608">
      <w:bodyDiv w:val="1"/>
      <w:marLeft w:val="0"/>
      <w:marRight w:val="0"/>
      <w:marTop w:val="0"/>
      <w:marBottom w:val="0"/>
      <w:divBdr>
        <w:top w:val="none" w:sz="0" w:space="0" w:color="auto"/>
        <w:left w:val="none" w:sz="0" w:space="0" w:color="auto"/>
        <w:bottom w:val="none" w:sz="0" w:space="0" w:color="auto"/>
        <w:right w:val="none" w:sz="0" w:space="0" w:color="auto"/>
      </w:divBdr>
    </w:div>
    <w:div w:id="172259214">
      <w:bodyDiv w:val="1"/>
      <w:marLeft w:val="0"/>
      <w:marRight w:val="0"/>
      <w:marTop w:val="0"/>
      <w:marBottom w:val="0"/>
      <w:divBdr>
        <w:top w:val="none" w:sz="0" w:space="0" w:color="auto"/>
        <w:left w:val="none" w:sz="0" w:space="0" w:color="auto"/>
        <w:bottom w:val="none" w:sz="0" w:space="0" w:color="auto"/>
        <w:right w:val="none" w:sz="0" w:space="0" w:color="auto"/>
      </w:divBdr>
    </w:div>
    <w:div w:id="174225764">
      <w:bodyDiv w:val="1"/>
      <w:marLeft w:val="0"/>
      <w:marRight w:val="0"/>
      <w:marTop w:val="0"/>
      <w:marBottom w:val="0"/>
      <w:divBdr>
        <w:top w:val="none" w:sz="0" w:space="0" w:color="auto"/>
        <w:left w:val="none" w:sz="0" w:space="0" w:color="auto"/>
        <w:bottom w:val="none" w:sz="0" w:space="0" w:color="auto"/>
        <w:right w:val="none" w:sz="0" w:space="0" w:color="auto"/>
      </w:divBdr>
    </w:div>
    <w:div w:id="183904726">
      <w:bodyDiv w:val="1"/>
      <w:marLeft w:val="0"/>
      <w:marRight w:val="0"/>
      <w:marTop w:val="0"/>
      <w:marBottom w:val="0"/>
      <w:divBdr>
        <w:top w:val="none" w:sz="0" w:space="0" w:color="auto"/>
        <w:left w:val="none" w:sz="0" w:space="0" w:color="auto"/>
        <w:bottom w:val="none" w:sz="0" w:space="0" w:color="auto"/>
        <w:right w:val="none" w:sz="0" w:space="0" w:color="auto"/>
      </w:divBdr>
    </w:div>
    <w:div w:id="184637873">
      <w:bodyDiv w:val="1"/>
      <w:marLeft w:val="0"/>
      <w:marRight w:val="0"/>
      <w:marTop w:val="0"/>
      <w:marBottom w:val="0"/>
      <w:divBdr>
        <w:top w:val="none" w:sz="0" w:space="0" w:color="auto"/>
        <w:left w:val="none" w:sz="0" w:space="0" w:color="auto"/>
        <w:bottom w:val="none" w:sz="0" w:space="0" w:color="auto"/>
        <w:right w:val="none" w:sz="0" w:space="0" w:color="auto"/>
      </w:divBdr>
    </w:div>
    <w:div w:id="189683111">
      <w:bodyDiv w:val="1"/>
      <w:marLeft w:val="0"/>
      <w:marRight w:val="0"/>
      <w:marTop w:val="0"/>
      <w:marBottom w:val="0"/>
      <w:divBdr>
        <w:top w:val="none" w:sz="0" w:space="0" w:color="auto"/>
        <w:left w:val="none" w:sz="0" w:space="0" w:color="auto"/>
        <w:bottom w:val="none" w:sz="0" w:space="0" w:color="auto"/>
        <w:right w:val="none" w:sz="0" w:space="0" w:color="auto"/>
      </w:divBdr>
    </w:div>
    <w:div w:id="190918443">
      <w:bodyDiv w:val="1"/>
      <w:marLeft w:val="0"/>
      <w:marRight w:val="0"/>
      <w:marTop w:val="0"/>
      <w:marBottom w:val="0"/>
      <w:divBdr>
        <w:top w:val="none" w:sz="0" w:space="0" w:color="auto"/>
        <w:left w:val="none" w:sz="0" w:space="0" w:color="auto"/>
        <w:bottom w:val="none" w:sz="0" w:space="0" w:color="auto"/>
        <w:right w:val="none" w:sz="0" w:space="0" w:color="auto"/>
      </w:divBdr>
    </w:div>
    <w:div w:id="191000675">
      <w:bodyDiv w:val="1"/>
      <w:marLeft w:val="0"/>
      <w:marRight w:val="0"/>
      <w:marTop w:val="0"/>
      <w:marBottom w:val="0"/>
      <w:divBdr>
        <w:top w:val="none" w:sz="0" w:space="0" w:color="auto"/>
        <w:left w:val="none" w:sz="0" w:space="0" w:color="auto"/>
        <w:bottom w:val="none" w:sz="0" w:space="0" w:color="auto"/>
        <w:right w:val="none" w:sz="0" w:space="0" w:color="auto"/>
      </w:divBdr>
    </w:div>
    <w:div w:id="191496683">
      <w:bodyDiv w:val="1"/>
      <w:marLeft w:val="0"/>
      <w:marRight w:val="0"/>
      <w:marTop w:val="0"/>
      <w:marBottom w:val="0"/>
      <w:divBdr>
        <w:top w:val="none" w:sz="0" w:space="0" w:color="auto"/>
        <w:left w:val="none" w:sz="0" w:space="0" w:color="auto"/>
        <w:bottom w:val="none" w:sz="0" w:space="0" w:color="auto"/>
        <w:right w:val="none" w:sz="0" w:space="0" w:color="auto"/>
      </w:divBdr>
    </w:div>
    <w:div w:id="191699287">
      <w:bodyDiv w:val="1"/>
      <w:marLeft w:val="0"/>
      <w:marRight w:val="0"/>
      <w:marTop w:val="0"/>
      <w:marBottom w:val="0"/>
      <w:divBdr>
        <w:top w:val="none" w:sz="0" w:space="0" w:color="auto"/>
        <w:left w:val="none" w:sz="0" w:space="0" w:color="auto"/>
        <w:bottom w:val="none" w:sz="0" w:space="0" w:color="auto"/>
        <w:right w:val="none" w:sz="0" w:space="0" w:color="auto"/>
      </w:divBdr>
    </w:div>
    <w:div w:id="192500697">
      <w:bodyDiv w:val="1"/>
      <w:marLeft w:val="0"/>
      <w:marRight w:val="0"/>
      <w:marTop w:val="0"/>
      <w:marBottom w:val="0"/>
      <w:divBdr>
        <w:top w:val="none" w:sz="0" w:space="0" w:color="auto"/>
        <w:left w:val="none" w:sz="0" w:space="0" w:color="auto"/>
        <w:bottom w:val="none" w:sz="0" w:space="0" w:color="auto"/>
        <w:right w:val="none" w:sz="0" w:space="0" w:color="auto"/>
      </w:divBdr>
    </w:div>
    <w:div w:id="193466112">
      <w:bodyDiv w:val="1"/>
      <w:marLeft w:val="0"/>
      <w:marRight w:val="0"/>
      <w:marTop w:val="0"/>
      <w:marBottom w:val="0"/>
      <w:divBdr>
        <w:top w:val="none" w:sz="0" w:space="0" w:color="auto"/>
        <w:left w:val="none" w:sz="0" w:space="0" w:color="auto"/>
        <w:bottom w:val="none" w:sz="0" w:space="0" w:color="auto"/>
        <w:right w:val="none" w:sz="0" w:space="0" w:color="auto"/>
      </w:divBdr>
    </w:div>
    <w:div w:id="193541871">
      <w:bodyDiv w:val="1"/>
      <w:marLeft w:val="0"/>
      <w:marRight w:val="0"/>
      <w:marTop w:val="0"/>
      <w:marBottom w:val="0"/>
      <w:divBdr>
        <w:top w:val="none" w:sz="0" w:space="0" w:color="auto"/>
        <w:left w:val="none" w:sz="0" w:space="0" w:color="auto"/>
        <w:bottom w:val="none" w:sz="0" w:space="0" w:color="auto"/>
        <w:right w:val="none" w:sz="0" w:space="0" w:color="auto"/>
      </w:divBdr>
    </w:div>
    <w:div w:id="194002327">
      <w:bodyDiv w:val="1"/>
      <w:marLeft w:val="0"/>
      <w:marRight w:val="0"/>
      <w:marTop w:val="0"/>
      <w:marBottom w:val="0"/>
      <w:divBdr>
        <w:top w:val="none" w:sz="0" w:space="0" w:color="auto"/>
        <w:left w:val="none" w:sz="0" w:space="0" w:color="auto"/>
        <w:bottom w:val="none" w:sz="0" w:space="0" w:color="auto"/>
        <w:right w:val="none" w:sz="0" w:space="0" w:color="auto"/>
      </w:divBdr>
    </w:div>
    <w:div w:id="195625895">
      <w:bodyDiv w:val="1"/>
      <w:marLeft w:val="0"/>
      <w:marRight w:val="0"/>
      <w:marTop w:val="0"/>
      <w:marBottom w:val="0"/>
      <w:divBdr>
        <w:top w:val="none" w:sz="0" w:space="0" w:color="auto"/>
        <w:left w:val="none" w:sz="0" w:space="0" w:color="auto"/>
        <w:bottom w:val="none" w:sz="0" w:space="0" w:color="auto"/>
        <w:right w:val="none" w:sz="0" w:space="0" w:color="auto"/>
      </w:divBdr>
    </w:div>
    <w:div w:id="196747772">
      <w:bodyDiv w:val="1"/>
      <w:marLeft w:val="0"/>
      <w:marRight w:val="0"/>
      <w:marTop w:val="0"/>
      <w:marBottom w:val="0"/>
      <w:divBdr>
        <w:top w:val="none" w:sz="0" w:space="0" w:color="auto"/>
        <w:left w:val="none" w:sz="0" w:space="0" w:color="auto"/>
        <w:bottom w:val="none" w:sz="0" w:space="0" w:color="auto"/>
        <w:right w:val="none" w:sz="0" w:space="0" w:color="auto"/>
      </w:divBdr>
    </w:div>
    <w:div w:id="198520232">
      <w:bodyDiv w:val="1"/>
      <w:marLeft w:val="0"/>
      <w:marRight w:val="0"/>
      <w:marTop w:val="0"/>
      <w:marBottom w:val="0"/>
      <w:divBdr>
        <w:top w:val="none" w:sz="0" w:space="0" w:color="auto"/>
        <w:left w:val="none" w:sz="0" w:space="0" w:color="auto"/>
        <w:bottom w:val="none" w:sz="0" w:space="0" w:color="auto"/>
        <w:right w:val="none" w:sz="0" w:space="0" w:color="auto"/>
      </w:divBdr>
    </w:div>
    <w:div w:id="198710709">
      <w:bodyDiv w:val="1"/>
      <w:marLeft w:val="0"/>
      <w:marRight w:val="0"/>
      <w:marTop w:val="0"/>
      <w:marBottom w:val="0"/>
      <w:divBdr>
        <w:top w:val="none" w:sz="0" w:space="0" w:color="auto"/>
        <w:left w:val="none" w:sz="0" w:space="0" w:color="auto"/>
        <w:bottom w:val="none" w:sz="0" w:space="0" w:color="auto"/>
        <w:right w:val="none" w:sz="0" w:space="0" w:color="auto"/>
      </w:divBdr>
    </w:div>
    <w:div w:id="199250009">
      <w:bodyDiv w:val="1"/>
      <w:marLeft w:val="0"/>
      <w:marRight w:val="0"/>
      <w:marTop w:val="0"/>
      <w:marBottom w:val="0"/>
      <w:divBdr>
        <w:top w:val="none" w:sz="0" w:space="0" w:color="auto"/>
        <w:left w:val="none" w:sz="0" w:space="0" w:color="auto"/>
        <w:bottom w:val="none" w:sz="0" w:space="0" w:color="auto"/>
        <w:right w:val="none" w:sz="0" w:space="0" w:color="auto"/>
      </w:divBdr>
    </w:div>
    <w:div w:id="204409443">
      <w:bodyDiv w:val="1"/>
      <w:marLeft w:val="0"/>
      <w:marRight w:val="0"/>
      <w:marTop w:val="0"/>
      <w:marBottom w:val="0"/>
      <w:divBdr>
        <w:top w:val="none" w:sz="0" w:space="0" w:color="auto"/>
        <w:left w:val="none" w:sz="0" w:space="0" w:color="auto"/>
        <w:bottom w:val="none" w:sz="0" w:space="0" w:color="auto"/>
        <w:right w:val="none" w:sz="0" w:space="0" w:color="auto"/>
      </w:divBdr>
    </w:div>
    <w:div w:id="205987916">
      <w:bodyDiv w:val="1"/>
      <w:marLeft w:val="0"/>
      <w:marRight w:val="0"/>
      <w:marTop w:val="0"/>
      <w:marBottom w:val="0"/>
      <w:divBdr>
        <w:top w:val="none" w:sz="0" w:space="0" w:color="auto"/>
        <w:left w:val="none" w:sz="0" w:space="0" w:color="auto"/>
        <w:bottom w:val="none" w:sz="0" w:space="0" w:color="auto"/>
        <w:right w:val="none" w:sz="0" w:space="0" w:color="auto"/>
      </w:divBdr>
    </w:div>
    <w:div w:id="206189832">
      <w:bodyDiv w:val="1"/>
      <w:marLeft w:val="0"/>
      <w:marRight w:val="0"/>
      <w:marTop w:val="0"/>
      <w:marBottom w:val="0"/>
      <w:divBdr>
        <w:top w:val="none" w:sz="0" w:space="0" w:color="auto"/>
        <w:left w:val="none" w:sz="0" w:space="0" w:color="auto"/>
        <w:bottom w:val="none" w:sz="0" w:space="0" w:color="auto"/>
        <w:right w:val="none" w:sz="0" w:space="0" w:color="auto"/>
      </w:divBdr>
    </w:div>
    <w:div w:id="208076974">
      <w:bodyDiv w:val="1"/>
      <w:marLeft w:val="0"/>
      <w:marRight w:val="0"/>
      <w:marTop w:val="0"/>
      <w:marBottom w:val="0"/>
      <w:divBdr>
        <w:top w:val="none" w:sz="0" w:space="0" w:color="auto"/>
        <w:left w:val="none" w:sz="0" w:space="0" w:color="auto"/>
        <w:bottom w:val="none" w:sz="0" w:space="0" w:color="auto"/>
        <w:right w:val="none" w:sz="0" w:space="0" w:color="auto"/>
      </w:divBdr>
    </w:div>
    <w:div w:id="209459802">
      <w:bodyDiv w:val="1"/>
      <w:marLeft w:val="0"/>
      <w:marRight w:val="0"/>
      <w:marTop w:val="0"/>
      <w:marBottom w:val="0"/>
      <w:divBdr>
        <w:top w:val="none" w:sz="0" w:space="0" w:color="auto"/>
        <w:left w:val="none" w:sz="0" w:space="0" w:color="auto"/>
        <w:bottom w:val="none" w:sz="0" w:space="0" w:color="auto"/>
        <w:right w:val="none" w:sz="0" w:space="0" w:color="auto"/>
      </w:divBdr>
    </w:div>
    <w:div w:id="211622162">
      <w:bodyDiv w:val="1"/>
      <w:marLeft w:val="0"/>
      <w:marRight w:val="0"/>
      <w:marTop w:val="0"/>
      <w:marBottom w:val="0"/>
      <w:divBdr>
        <w:top w:val="none" w:sz="0" w:space="0" w:color="auto"/>
        <w:left w:val="none" w:sz="0" w:space="0" w:color="auto"/>
        <w:bottom w:val="none" w:sz="0" w:space="0" w:color="auto"/>
        <w:right w:val="none" w:sz="0" w:space="0" w:color="auto"/>
      </w:divBdr>
    </w:div>
    <w:div w:id="211773699">
      <w:bodyDiv w:val="1"/>
      <w:marLeft w:val="0"/>
      <w:marRight w:val="0"/>
      <w:marTop w:val="0"/>
      <w:marBottom w:val="0"/>
      <w:divBdr>
        <w:top w:val="none" w:sz="0" w:space="0" w:color="auto"/>
        <w:left w:val="none" w:sz="0" w:space="0" w:color="auto"/>
        <w:bottom w:val="none" w:sz="0" w:space="0" w:color="auto"/>
        <w:right w:val="none" w:sz="0" w:space="0" w:color="auto"/>
      </w:divBdr>
    </w:div>
    <w:div w:id="212884306">
      <w:bodyDiv w:val="1"/>
      <w:marLeft w:val="0"/>
      <w:marRight w:val="0"/>
      <w:marTop w:val="0"/>
      <w:marBottom w:val="0"/>
      <w:divBdr>
        <w:top w:val="none" w:sz="0" w:space="0" w:color="auto"/>
        <w:left w:val="none" w:sz="0" w:space="0" w:color="auto"/>
        <w:bottom w:val="none" w:sz="0" w:space="0" w:color="auto"/>
        <w:right w:val="none" w:sz="0" w:space="0" w:color="auto"/>
      </w:divBdr>
    </w:div>
    <w:div w:id="215043445">
      <w:bodyDiv w:val="1"/>
      <w:marLeft w:val="0"/>
      <w:marRight w:val="0"/>
      <w:marTop w:val="0"/>
      <w:marBottom w:val="0"/>
      <w:divBdr>
        <w:top w:val="none" w:sz="0" w:space="0" w:color="auto"/>
        <w:left w:val="none" w:sz="0" w:space="0" w:color="auto"/>
        <w:bottom w:val="none" w:sz="0" w:space="0" w:color="auto"/>
        <w:right w:val="none" w:sz="0" w:space="0" w:color="auto"/>
      </w:divBdr>
    </w:div>
    <w:div w:id="215433153">
      <w:bodyDiv w:val="1"/>
      <w:marLeft w:val="0"/>
      <w:marRight w:val="0"/>
      <w:marTop w:val="0"/>
      <w:marBottom w:val="0"/>
      <w:divBdr>
        <w:top w:val="none" w:sz="0" w:space="0" w:color="auto"/>
        <w:left w:val="none" w:sz="0" w:space="0" w:color="auto"/>
        <w:bottom w:val="none" w:sz="0" w:space="0" w:color="auto"/>
        <w:right w:val="none" w:sz="0" w:space="0" w:color="auto"/>
      </w:divBdr>
    </w:div>
    <w:div w:id="217596921">
      <w:bodyDiv w:val="1"/>
      <w:marLeft w:val="0"/>
      <w:marRight w:val="0"/>
      <w:marTop w:val="0"/>
      <w:marBottom w:val="0"/>
      <w:divBdr>
        <w:top w:val="none" w:sz="0" w:space="0" w:color="auto"/>
        <w:left w:val="none" w:sz="0" w:space="0" w:color="auto"/>
        <w:bottom w:val="none" w:sz="0" w:space="0" w:color="auto"/>
        <w:right w:val="none" w:sz="0" w:space="0" w:color="auto"/>
      </w:divBdr>
    </w:div>
    <w:div w:id="218708344">
      <w:bodyDiv w:val="1"/>
      <w:marLeft w:val="0"/>
      <w:marRight w:val="0"/>
      <w:marTop w:val="0"/>
      <w:marBottom w:val="0"/>
      <w:divBdr>
        <w:top w:val="none" w:sz="0" w:space="0" w:color="auto"/>
        <w:left w:val="none" w:sz="0" w:space="0" w:color="auto"/>
        <w:bottom w:val="none" w:sz="0" w:space="0" w:color="auto"/>
        <w:right w:val="none" w:sz="0" w:space="0" w:color="auto"/>
      </w:divBdr>
    </w:div>
    <w:div w:id="224729331">
      <w:bodyDiv w:val="1"/>
      <w:marLeft w:val="0"/>
      <w:marRight w:val="0"/>
      <w:marTop w:val="0"/>
      <w:marBottom w:val="0"/>
      <w:divBdr>
        <w:top w:val="none" w:sz="0" w:space="0" w:color="auto"/>
        <w:left w:val="none" w:sz="0" w:space="0" w:color="auto"/>
        <w:bottom w:val="none" w:sz="0" w:space="0" w:color="auto"/>
        <w:right w:val="none" w:sz="0" w:space="0" w:color="auto"/>
      </w:divBdr>
    </w:div>
    <w:div w:id="228661813">
      <w:bodyDiv w:val="1"/>
      <w:marLeft w:val="0"/>
      <w:marRight w:val="0"/>
      <w:marTop w:val="0"/>
      <w:marBottom w:val="0"/>
      <w:divBdr>
        <w:top w:val="none" w:sz="0" w:space="0" w:color="auto"/>
        <w:left w:val="none" w:sz="0" w:space="0" w:color="auto"/>
        <w:bottom w:val="none" w:sz="0" w:space="0" w:color="auto"/>
        <w:right w:val="none" w:sz="0" w:space="0" w:color="auto"/>
      </w:divBdr>
    </w:div>
    <w:div w:id="231624147">
      <w:bodyDiv w:val="1"/>
      <w:marLeft w:val="0"/>
      <w:marRight w:val="0"/>
      <w:marTop w:val="0"/>
      <w:marBottom w:val="0"/>
      <w:divBdr>
        <w:top w:val="none" w:sz="0" w:space="0" w:color="auto"/>
        <w:left w:val="none" w:sz="0" w:space="0" w:color="auto"/>
        <w:bottom w:val="none" w:sz="0" w:space="0" w:color="auto"/>
        <w:right w:val="none" w:sz="0" w:space="0" w:color="auto"/>
      </w:divBdr>
    </w:div>
    <w:div w:id="232396195">
      <w:bodyDiv w:val="1"/>
      <w:marLeft w:val="0"/>
      <w:marRight w:val="0"/>
      <w:marTop w:val="0"/>
      <w:marBottom w:val="0"/>
      <w:divBdr>
        <w:top w:val="none" w:sz="0" w:space="0" w:color="auto"/>
        <w:left w:val="none" w:sz="0" w:space="0" w:color="auto"/>
        <w:bottom w:val="none" w:sz="0" w:space="0" w:color="auto"/>
        <w:right w:val="none" w:sz="0" w:space="0" w:color="auto"/>
      </w:divBdr>
    </w:div>
    <w:div w:id="232544147">
      <w:bodyDiv w:val="1"/>
      <w:marLeft w:val="0"/>
      <w:marRight w:val="0"/>
      <w:marTop w:val="0"/>
      <w:marBottom w:val="0"/>
      <w:divBdr>
        <w:top w:val="none" w:sz="0" w:space="0" w:color="auto"/>
        <w:left w:val="none" w:sz="0" w:space="0" w:color="auto"/>
        <w:bottom w:val="none" w:sz="0" w:space="0" w:color="auto"/>
        <w:right w:val="none" w:sz="0" w:space="0" w:color="auto"/>
      </w:divBdr>
    </w:div>
    <w:div w:id="233513851">
      <w:bodyDiv w:val="1"/>
      <w:marLeft w:val="0"/>
      <w:marRight w:val="0"/>
      <w:marTop w:val="0"/>
      <w:marBottom w:val="0"/>
      <w:divBdr>
        <w:top w:val="none" w:sz="0" w:space="0" w:color="auto"/>
        <w:left w:val="none" w:sz="0" w:space="0" w:color="auto"/>
        <w:bottom w:val="none" w:sz="0" w:space="0" w:color="auto"/>
        <w:right w:val="none" w:sz="0" w:space="0" w:color="auto"/>
      </w:divBdr>
    </w:div>
    <w:div w:id="235209799">
      <w:bodyDiv w:val="1"/>
      <w:marLeft w:val="0"/>
      <w:marRight w:val="0"/>
      <w:marTop w:val="0"/>
      <w:marBottom w:val="0"/>
      <w:divBdr>
        <w:top w:val="none" w:sz="0" w:space="0" w:color="auto"/>
        <w:left w:val="none" w:sz="0" w:space="0" w:color="auto"/>
        <w:bottom w:val="none" w:sz="0" w:space="0" w:color="auto"/>
        <w:right w:val="none" w:sz="0" w:space="0" w:color="auto"/>
      </w:divBdr>
    </w:div>
    <w:div w:id="238564012">
      <w:bodyDiv w:val="1"/>
      <w:marLeft w:val="0"/>
      <w:marRight w:val="0"/>
      <w:marTop w:val="0"/>
      <w:marBottom w:val="0"/>
      <w:divBdr>
        <w:top w:val="none" w:sz="0" w:space="0" w:color="auto"/>
        <w:left w:val="none" w:sz="0" w:space="0" w:color="auto"/>
        <w:bottom w:val="none" w:sz="0" w:space="0" w:color="auto"/>
        <w:right w:val="none" w:sz="0" w:space="0" w:color="auto"/>
      </w:divBdr>
    </w:div>
    <w:div w:id="238754297">
      <w:bodyDiv w:val="1"/>
      <w:marLeft w:val="0"/>
      <w:marRight w:val="0"/>
      <w:marTop w:val="0"/>
      <w:marBottom w:val="0"/>
      <w:divBdr>
        <w:top w:val="none" w:sz="0" w:space="0" w:color="auto"/>
        <w:left w:val="none" w:sz="0" w:space="0" w:color="auto"/>
        <w:bottom w:val="none" w:sz="0" w:space="0" w:color="auto"/>
        <w:right w:val="none" w:sz="0" w:space="0" w:color="auto"/>
      </w:divBdr>
    </w:div>
    <w:div w:id="239101765">
      <w:bodyDiv w:val="1"/>
      <w:marLeft w:val="0"/>
      <w:marRight w:val="0"/>
      <w:marTop w:val="0"/>
      <w:marBottom w:val="0"/>
      <w:divBdr>
        <w:top w:val="none" w:sz="0" w:space="0" w:color="auto"/>
        <w:left w:val="none" w:sz="0" w:space="0" w:color="auto"/>
        <w:bottom w:val="none" w:sz="0" w:space="0" w:color="auto"/>
        <w:right w:val="none" w:sz="0" w:space="0" w:color="auto"/>
      </w:divBdr>
    </w:div>
    <w:div w:id="241379361">
      <w:bodyDiv w:val="1"/>
      <w:marLeft w:val="0"/>
      <w:marRight w:val="0"/>
      <w:marTop w:val="0"/>
      <w:marBottom w:val="0"/>
      <w:divBdr>
        <w:top w:val="none" w:sz="0" w:space="0" w:color="auto"/>
        <w:left w:val="none" w:sz="0" w:space="0" w:color="auto"/>
        <w:bottom w:val="none" w:sz="0" w:space="0" w:color="auto"/>
        <w:right w:val="none" w:sz="0" w:space="0" w:color="auto"/>
      </w:divBdr>
    </w:div>
    <w:div w:id="241724925">
      <w:bodyDiv w:val="1"/>
      <w:marLeft w:val="0"/>
      <w:marRight w:val="0"/>
      <w:marTop w:val="0"/>
      <w:marBottom w:val="0"/>
      <w:divBdr>
        <w:top w:val="none" w:sz="0" w:space="0" w:color="auto"/>
        <w:left w:val="none" w:sz="0" w:space="0" w:color="auto"/>
        <w:bottom w:val="none" w:sz="0" w:space="0" w:color="auto"/>
        <w:right w:val="none" w:sz="0" w:space="0" w:color="auto"/>
      </w:divBdr>
    </w:div>
    <w:div w:id="242032052">
      <w:bodyDiv w:val="1"/>
      <w:marLeft w:val="0"/>
      <w:marRight w:val="0"/>
      <w:marTop w:val="0"/>
      <w:marBottom w:val="0"/>
      <w:divBdr>
        <w:top w:val="none" w:sz="0" w:space="0" w:color="auto"/>
        <w:left w:val="none" w:sz="0" w:space="0" w:color="auto"/>
        <w:bottom w:val="none" w:sz="0" w:space="0" w:color="auto"/>
        <w:right w:val="none" w:sz="0" w:space="0" w:color="auto"/>
      </w:divBdr>
    </w:div>
    <w:div w:id="243420798">
      <w:bodyDiv w:val="1"/>
      <w:marLeft w:val="0"/>
      <w:marRight w:val="0"/>
      <w:marTop w:val="0"/>
      <w:marBottom w:val="0"/>
      <w:divBdr>
        <w:top w:val="none" w:sz="0" w:space="0" w:color="auto"/>
        <w:left w:val="none" w:sz="0" w:space="0" w:color="auto"/>
        <w:bottom w:val="none" w:sz="0" w:space="0" w:color="auto"/>
        <w:right w:val="none" w:sz="0" w:space="0" w:color="auto"/>
      </w:divBdr>
    </w:div>
    <w:div w:id="243759019">
      <w:bodyDiv w:val="1"/>
      <w:marLeft w:val="0"/>
      <w:marRight w:val="0"/>
      <w:marTop w:val="0"/>
      <w:marBottom w:val="0"/>
      <w:divBdr>
        <w:top w:val="none" w:sz="0" w:space="0" w:color="auto"/>
        <w:left w:val="none" w:sz="0" w:space="0" w:color="auto"/>
        <w:bottom w:val="none" w:sz="0" w:space="0" w:color="auto"/>
        <w:right w:val="none" w:sz="0" w:space="0" w:color="auto"/>
      </w:divBdr>
    </w:div>
    <w:div w:id="245262304">
      <w:bodyDiv w:val="1"/>
      <w:marLeft w:val="0"/>
      <w:marRight w:val="0"/>
      <w:marTop w:val="0"/>
      <w:marBottom w:val="0"/>
      <w:divBdr>
        <w:top w:val="none" w:sz="0" w:space="0" w:color="auto"/>
        <w:left w:val="none" w:sz="0" w:space="0" w:color="auto"/>
        <w:bottom w:val="none" w:sz="0" w:space="0" w:color="auto"/>
        <w:right w:val="none" w:sz="0" w:space="0" w:color="auto"/>
      </w:divBdr>
    </w:div>
    <w:div w:id="247617206">
      <w:bodyDiv w:val="1"/>
      <w:marLeft w:val="0"/>
      <w:marRight w:val="0"/>
      <w:marTop w:val="0"/>
      <w:marBottom w:val="0"/>
      <w:divBdr>
        <w:top w:val="none" w:sz="0" w:space="0" w:color="auto"/>
        <w:left w:val="none" w:sz="0" w:space="0" w:color="auto"/>
        <w:bottom w:val="none" w:sz="0" w:space="0" w:color="auto"/>
        <w:right w:val="none" w:sz="0" w:space="0" w:color="auto"/>
      </w:divBdr>
    </w:div>
    <w:div w:id="249772567">
      <w:bodyDiv w:val="1"/>
      <w:marLeft w:val="0"/>
      <w:marRight w:val="0"/>
      <w:marTop w:val="0"/>
      <w:marBottom w:val="0"/>
      <w:divBdr>
        <w:top w:val="none" w:sz="0" w:space="0" w:color="auto"/>
        <w:left w:val="none" w:sz="0" w:space="0" w:color="auto"/>
        <w:bottom w:val="none" w:sz="0" w:space="0" w:color="auto"/>
        <w:right w:val="none" w:sz="0" w:space="0" w:color="auto"/>
      </w:divBdr>
    </w:div>
    <w:div w:id="251208156">
      <w:bodyDiv w:val="1"/>
      <w:marLeft w:val="0"/>
      <w:marRight w:val="0"/>
      <w:marTop w:val="0"/>
      <w:marBottom w:val="0"/>
      <w:divBdr>
        <w:top w:val="none" w:sz="0" w:space="0" w:color="auto"/>
        <w:left w:val="none" w:sz="0" w:space="0" w:color="auto"/>
        <w:bottom w:val="none" w:sz="0" w:space="0" w:color="auto"/>
        <w:right w:val="none" w:sz="0" w:space="0" w:color="auto"/>
      </w:divBdr>
    </w:div>
    <w:div w:id="252707998">
      <w:bodyDiv w:val="1"/>
      <w:marLeft w:val="0"/>
      <w:marRight w:val="0"/>
      <w:marTop w:val="0"/>
      <w:marBottom w:val="0"/>
      <w:divBdr>
        <w:top w:val="none" w:sz="0" w:space="0" w:color="auto"/>
        <w:left w:val="none" w:sz="0" w:space="0" w:color="auto"/>
        <w:bottom w:val="none" w:sz="0" w:space="0" w:color="auto"/>
        <w:right w:val="none" w:sz="0" w:space="0" w:color="auto"/>
      </w:divBdr>
    </w:div>
    <w:div w:id="254748376">
      <w:bodyDiv w:val="1"/>
      <w:marLeft w:val="0"/>
      <w:marRight w:val="0"/>
      <w:marTop w:val="0"/>
      <w:marBottom w:val="0"/>
      <w:divBdr>
        <w:top w:val="none" w:sz="0" w:space="0" w:color="auto"/>
        <w:left w:val="none" w:sz="0" w:space="0" w:color="auto"/>
        <w:bottom w:val="none" w:sz="0" w:space="0" w:color="auto"/>
        <w:right w:val="none" w:sz="0" w:space="0" w:color="auto"/>
      </w:divBdr>
    </w:div>
    <w:div w:id="256906231">
      <w:bodyDiv w:val="1"/>
      <w:marLeft w:val="0"/>
      <w:marRight w:val="0"/>
      <w:marTop w:val="0"/>
      <w:marBottom w:val="0"/>
      <w:divBdr>
        <w:top w:val="none" w:sz="0" w:space="0" w:color="auto"/>
        <w:left w:val="none" w:sz="0" w:space="0" w:color="auto"/>
        <w:bottom w:val="none" w:sz="0" w:space="0" w:color="auto"/>
        <w:right w:val="none" w:sz="0" w:space="0" w:color="auto"/>
      </w:divBdr>
    </w:div>
    <w:div w:id="257519927">
      <w:bodyDiv w:val="1"/>
      <w:marLeft w:val="0"/>
      <w:marRight w:val="0"/>
      <w:marTop w:val="0"/>
      <w:marBottom w:val="0"/>
      <w:divBdr>
        <w:top w:val="none" w:sz="0" w:space="0" w:color="auto"/>
        <w:left w:val="none" w:sz="0" w:space="0" w:color="auto"/>
        <w:bottom w:val="none" w:sz="0" w:space="0" w:color="auto"/>
        <w:right w:val="none" w:sz="0" w:space="0" w:color="auto"/>
      </w:divBdr>
    </w:div>
    <w:div w:id="261307880">
      <w:bodyDiv w:val="1"/>
      <w:marLeft w:val="0"/>
      <w:marRight w:val="0"/>
      <w:marTop w:val="0"/>
      <w:marBottom w:val="0"/>
      <w:divBdr>
        <w:top w:val="none" w:sz="0" w:space="0" w:color="auto"/>
        <w:left w:val="none" w:sz="0" w:space="0" w:color="auto"/>
        <w:bottom w:val="none" w:sz="0" w:space="0" w:color="auto"/>
        <w:right w:val="none" w:sz="0" w:space="0" w:color="auto"/>
      </w:divBdr>
    </w:div>
    <w:div w:id="264072649">
      <w:bodyDiv w:val="1"/>
      <w:marLeft w:val="0"/>
      <w:marRight w:val="0"/>
      <w:marTop w:val="0"/>
      <w:marBottom w:val="0"/>
      <w:divBdr>
        <w:top w:val="none" w:sz="0" w:space="0" w:color="auto"/>
        <w:left w:val="none" w:sz="0" w:space="0" w:color="auto"/>
        <w:bottom w:val="none" w:sz="0" w:space="0" w:color="auto"/>
        <w:right w:val="none" w:sz="0" w:space="0" w:color="auto"/>
      </w:divBdr>
    </w:div>
    <w:div w:id="265426364">
      <w:bodyDiv w:val="1"/>
      <w:marLeft w:val="0"/>
      <w:marRight w:val="0"/>
      <w:marTop w:val="0"/>
      <w:marBottom w:val="0"/>
      <w:divBdr>
        <w:top w:val="none" w:sz="0" w:space="0" w:color="auto"/>
        <w:left w:val="none" w:sz="0" w:space="0" w:color="auto"/>
        <w:bottom w:val="none" w:sz="0" w:space="0" w:color="auto"/>
        <w:right w:val="none" w:sz="0" w:space="0" w:color="auto"/>
      </w:divBdr>
    </w:div>
    <w:div w:id="269357210">
      <w:bodyDiv w:val="1"/>
      <w:marLeft w:val="0"/>
      <w:marRight w:val="0"/>
      <w:marTop w:val="0"/>
      <w:marBottom w:val="0"/>
      <w:divBdr>
        <w:top w:val="none" w:sz="0" w:space="0" w:color="auto"/>
        <w:left w:val="none" w:sz="0" w:space="0" w:color="auto"/>
        <w:bottom w:val="none" w:sz="0" w:space="0" w:color="auto"/>
        <w:right w:val="none" w:sz="0" w:space="0" w:color="auto"/>
      </w:divBdr>
    </w:div>
    <w:div w:id="274094068">
      <w:bodyDiv w:val="1"/>
      <w:marLeft w:val="0"/>
      <w:marRight w:val="0"/>
      <w:marTop w:val="0"/>
      <w:marBottom w:val="0"/>
      <w:divBdr>
        <w:top w:val="none" w:sz="0" w:space="0" w:color="auto"/>
        <w:left w:val="none" w:sz="0" w:space="0" w:color="auto"/>
        <w:bottom w:val="none" w:sz="0" w:space="0" w:color="auto"/>
        <w:right w:val="none" w:sz="0" w:space="0" w:color="auto"/>
      </w:divBdr>
    </w:div>
    <w:div w:id="274795601">
      <w:bodyDiv w:val="1"/>
      <w:marLeft w:val="0"/>
      <w:marRight w:val="0"/>
      <w:marTop w:val="0"/>
      <w:marBottom w:val="0"/>
      <w:divBdr>
        <w:top w:val="none" w:sz="0" w:space="0" w:color="auto"/>
        <w:left w:val="none" w:sz="0" w:space="0" w:color="auto"/>
        <w:bottom w:val="none" w:sz="0" w:space="0" w:color="auto"/>
        <w:right w:val="none" w:sz="0" w:space="0" w:color="auto"/>
      </w:divBdr>
    </w:div>
    <w:div w:id="275796517">
      <w:bodyDiv w:val="1"/>
      <w:marLeft w:val="0"/>
      <w:marRight w:val="0"/>
      <w:marTop w:val="0"/>
      <w:marBottom w:val="0"/>
      <w:divBdr>
        <w:top w:val="none" w:sz="0" w:space="0" w:color="auto"/>
        <w:left w:val="none" w:sz="0" w:space="0" w:color="auto"/>
        <w:bottom w:val="none" w:sz="0" w:space="0" w:color="auto"/>
        <w:right w:val="none" w:sz="0" w:space="0" w:color="auto"/>
      </w:divBdr>
    </w:div>
    <w:div w:id="275870845">
      <w:bodyDiv w:val="1"/>
      <w:marLeft w:val="0"/>
      <w:marRight w:val="0"/>
      <w:marTop w:val="0"/>
      <w:marBottom w:val="0"/>
      <w:divBdr>
        <w:top w:val="none" w:sz="0" w:space="0" w:color="auto"/>
        <w:left w:val="none" w:sz="0" w:space="0" w:color="auto"/>
        <w:bottom w:val="none" w:sz="0" w:space="0" w:color="auto"/>
        <w:right w:val="none" w:sz="0" w:space="0" w:color="auto"/>
      </w:divBdr>
    </w:div>
    <w:div w:id="276451917">
      <w:bodyDiv w:val="1"/>
      <w:marLeft w:val="0"/>
      <w:marRight w:val="0"/>
      <w:marTop w:val="0"/>
      <w:marBottom w:val="0"/>
      <w:divBdr>
        <w:top w:val="none" w:sz="0" w:space="0" w:color="auto"/>
        <w:left w:val="none" w:sz="0" w:space="0" w:color="auto"/>
        <w:bottom w:val="none" w:sz="0" w:space="0" w:color="auto"/>
        <w:right w:val="none" w:sz="0" w:space="0" w:color="auto"/>
      </w:divBdr>
    </w:div>
    <w:div w:id="276567673">
      <w:bodyDiv w:val="1"/>
      <w:marLeft w:val="0"/>
      <w:marRight w:val="0"/>
      <w:marTop w:val="0"/>
      <w:marBottom w:val="0"/>
      <w:divBdr>
        <w:top w:val="none" w:sz="0" w:space="0" w:color="auto"/>
        <w:left w:val="none" w:sz="0" w:space="0" w:color="auto"/>
        <w:bottom w:val="none" w:sz="0" w:space="0" w:color="auto"/>
        <w:right w:val="none" w:sz="0" w:space="0" w:color="auto"/>
      </w:divBdr>
    </w:div>
    <w:div w:id="278729062">
      <w:bodyDiv w:val="1"/>
      <w:marLeft w:val="0"/>
      <w:marRight w:val="0"/>
      <w:marTop w:val="0"/>
      <w:marBottom w:val="0"/>
      <w:divBdr>
        <w:top w:val="none" w:sz="0" w:space="0" w:color="auto"/>
        <w:left w:val="none" w:sz="0" w:space="0" w:color="auto"/>
        <w:bottom w:val="none" w:sz="0" w:space="0" w:color="auto"/>
        <w:right w:val="none" w:sz="0" w:space="0" w:color="auto"/>
      </w:divBdr>
    </w:div>
    <w:div w:id="281157308">
      <w:bodyDiv w:val="1"/>
      <w:marLeft w:val="0"/>
      <w:marRight w:val="0"/>
      <w:marTop w:val="0"/>
      <w:marBottom w:val="0"/>
      <w:divBdr>
        <w:top w:val="none" w:sz="0" w:space="0" w:color="auto"/>
        <w:left w:val="none" w:sz="0" w:space="0" w:color="auto"/>
        <w:bottom w:val="none" w:sz="0" w:space="0" w:color="auto"/>
        <w:right w:val="none" w:sz="0" w:space="0" w:color="auto"/>
      </w:divBdr>
    </w:div>
    <w:div w:id="284041430">
      <w:bodyDiv w:val="1"/>
      <w:marLeft w:val="0"/>
      <w:marRight w:val="0"/>
      <w:marTop w:val="0"/>
      <w:marBottom w:val="0"/>
      <w:divBdr>
        <w:top w:val="none" w:sz="0" w:space="0" w:color="auto"/>
        <w:left w:val="none" w:sz="0" w:space="0" w:color="auto"/>
        <w:bottom w:val="none" w:sz="0" w:space="0" w:color="auto"/>
        <w:right w:val="none" w:sz="0" w:space="0" w:color="auto"/>
      </w:divBdr>
    </w:div>
    <w:div w:id="285355078">
      <w:bodyDiv w:val="1"/>
      <w:marLeft w:val="0"/>
      <w:marRight w:val="0"/>
      <w:marTop w:val="0"/>
      <w:marBottom w:val="0"/>
      <w:divBdr>
        <w:top w:val="none" w:sz="0" w:space="0" w:color="auto"/>
        <w:left w:val="none" w:sz="0" w:space="0" w:color="auto"/>
        <w:bottom w:val="none" w:sz="0" w:space="0" w:color="auto"/>
        <w:right w:val="none" w:sz="0" w:space="0" w:color="auto"/>
      </w:divBdr>
    </w:div>
    <w:div w:id="291446783">
      <w:bodyDiv w:val="1"/>
      <w:marLeft w:val="0"/>
      <w:marRight w:val="0"/>
      <w:marTop w:val="0"/>
      <w:marBottom w:val="0"/>
      <w:divBdr>
        <w:top w:val="none" w:sz="0" w:space="0" w:color="auto"/>
        <w:left w:val="none" w:sz="0" w:space="0" w:color="auto"/>
        <w:bottom w:val="none" w:sz="0" w:space="0" w:color="auto"/>
        <w:right w:val="none" w:sz="0" w:space="0" w:color="auto"/>
      </w:divBdr>
    </w:div>
    <w:div w:id="294022631">
      <w:bodyDiv w:val="1"/>
      <w:marLeft w:val="0"/>
      <w:marRight w:val="0"/>
      <w:marTop w:val="0"/>
      <w:marBottom w:val="0"/>
      <w:divBdr>
        <w:top w:val="none" w:sz="0" w:space="0" w:color="auto"/>
        <w:left w:val="none" w:sz="0" w:space="0" w:color="auto"/>
        <w:bottom w:val="none" w:sz="0" w:space="0" w:color="auto"/>
        <w:right w:val="none" w:sz="0" w:space="0" w:color="auto"/>
      </w:divBdr>
    </w:div>
    <w:div w:id="295137916">
      <w:bodyDiv w:val="1"/>
      <w:marLeft w:val="0"/>
      <w:marRight w:val="0"/>
      <w:marTop w:val="0"/>
      <w:marBottom w:val="0"/>
      <w:divBdr>
        <w:top w:val="none" w:sz="0" w:space="0" w:color="auto"/>
        <w:left w:val="none" w:sz="0" w:space="0" w:color="auto"/>
        <w:bottom w:val="none" w:sz="0" w:space="0" w:color="auto"/>
        <w:right w:val="none" w:sz="0" w:space="0" w:color="auto"/>
      </w:divBdr>
    </w:div>
    <w:div w:id="296498474">
      <w:bodyDiv w:val="1"/>
      <w:marLeft w:val="0"/>
      <w:marRight w:val="0"/>
      <w:marTop w:val="0"/>
      <w:marBottom w:val="0"/>
      <w:divBdr>
        <w:top w:val="none" w:sz="0" w:space="0" w:color="auto"/>
        <w:left w:val="none" w:sz="0" w:space="0" w:color="auto"/>
        <w:bottom w:val="none" w:sz="0" w:space="0" w:color="auto"/>
        <w:right w:val="none" w:sz="0" w:space="0" w:color="auto"/>
      </w:divBdr>
    </w:div>
    <w:div w:id="297226357">
      <w:bodyDiv w:val="1"/>
      <w:marLeft w:val="0"/>
      <w:marRight w:val="0"/>
      <w:marTop w:val="0"/>
      <w:marBottom w:val="0"/>
      <w:divBdr>
        <w:top w:val="none" w:sz="0" w:space="0" w:color="auto"/>
        <w:left w:val="none" w:sz="0" w:space="0" w:color="auto"/>
        <w:bottom w:val="none" w:sz="0" w:space="0" w:color="auto"/>
        <w:right w:val="none" w:sz="0" w:space="0" w:color="auto"/>
      </w:divBdr>
    </w:div>
    <w:div w:id="300623784">
      <w:bodyDiv w:val="1"/>
      <w:marLeft w:val="0"/>
      <w:marRight w:val="0"/>
      <w:marTop w:val="0"/>
      <w:marBottom w:val="0"/>
      <w:divBdr>
        <w:top w:val="none" w:sz="0" w:space="0" w:color="auto"/>
        <w:left w:val="none" w:sz="0" w:space="0" w:color="auto"/>
        <w:bottom w:val="none" w:sz="0" w:space="0" w:color="auto"/>
        <w:right w:val="none" w:sz="0" w:space="0" w:color="auto"/>
      </w:divBdr>
    </w:div>
    <w:div w:id="304046565">
      <w:bodyDiv w:val="1"/>
      <w:marLeft w:val="0"/>
      <w:marRight w:val="0"/>
      <w:marTop w:val="0"/>
      <w:marBottom w:val="0"/>
      <w:divBdr>
        <w:top w:val="none" w:sz="0" w:space="0" w:color="auto"/>
        <w:left w:val="none" w:sz="0" w:space="0" w:color="auto"/>
        <w:bottom w:val="none" w:sz="0" w:space="0" w:color="auto"/>
        <w:right w:val="none" w:sz="0" w:space="0" w:color="auto"/>
      </w:divBdr>
    </w:div>
    <w:div w:id="304165191">
      <w:bodyDiv w:val="1"/>
      <w:marLeft w:val="0"/>
      <w:marRight w:val="0"/>
      <w:marTop w:val="0"/>
      <w:marBottom w:val="0"/>
      <w:divBdr>
        <w:top w:val="none" w:sz="0" w:space="0" w:color="auto"/>
        <w:left w:val="none" w:sz="0" w:space="0" w:color="auto"/>
        <w:bottom w:val="none" w:sz="0" w:space="0" w:color="auto"/>
        <w:right w:val="none" w:sz="0" w:space="0" w:color="auto"/>
      </w:divBdr>
    </w:div>
    <w:div w:id="308823985">
      <w:bodyDiv w:val="1"/>
      <w:marLeft w:val="0"/>
      <w:marRight w:val="0"/>
      <w:marTop w:val="0"/>
      <w:marBottom w:val="0"/>
      <w:divBdr>
        <w:top w:val="none" w:sz="0" w:space="0" w:color="auto"/>
        <w:left w:val="none" w:sz="0" w:space="0" w:color="auto"/>
        <w:bottom w:val="none" w:sz="0" w:space="0" w:color="auto"/>
        <w:right w:val="none" w:sz="0" w:space="0" w:color="auto"/>
      </w:divBdr>
    </w:div>
    <w:div w:id="312568194">
      <w:bodyDiv w:val="1"/>
      <w:marLeft w:val="0"/>
      <w:marRight w:val="0"/>
      <w:marTop w:val="0"/>
      <w:marBottom w:val="0"/>
      <w:divBdr>
        <w:top w:val="none" w:sz="0" w:space="0" w:color="auto"/>
        <w:left w:val="none" w:sz="0" w:space="0" w:color="auto"/>
        <w:bottom w:val="none" w:sz="0" w:space="0" w:color="auto"/>
        <w:right w:val="none" w:sz="0" w:space="0" w:color="auto"/>
      </w:divBdr>
    </w:div>
    <w:div w:id="313143651">
      <w:bodyDiv w:val="1"/>
      <w:marLeft w:val="0"/>
      <w:marRight w:val="0"/>
      <w:marTop w:val="0"/>
      <w:marBottom w:val="0"/>
      <w:divBdr>
        <w:top w:val="none" w:sz="0" w:space="0" w:color="auto"/>
        <w:left w:val="none" w:sz="0" w:space="0" w:color="auto"/>
        <w:bottom w:val="none" w:sz="0" w:space="0" w:color="auto"/>
        <w:right w:val="none" w:sz="0" w:space="0" w:color="auto"/>
      </w:divBdr>
    </w:div>
    <w:div w:id="313343354">
      <w:bodyDiv w:val="1"/>
      <w:marLeft w:val="0"/>
      <w:marRight w:val="0"/>
      <w:marTop w:val="0"/>
      <w:marBottom w:val="0"/>
      <w:divBdr>
        <w:top w:val="none" w:sz="0" w:space="0" w:color="auto"/>
        <w:left w:val="none" w:sz="0" w:space="0" w:color="auto"/>
        <w:bottom w:val="none" w:sz="0" w:space="0" w:color="auto"/>
        <w:right w:val="none" w:sz="0" w:space="0" w:color="auto"/>
      </w:divBdr>
    </w:div>
    <w:div w:id="317196377">
      <w:bodyDiv w:val="1"/>
      <w:marLeft w:val="0"/>
      <w:marRight w:val="0"/>
      <w:marTop w:val="0"/>
      <w:marBottom w:val="0"/>
      <w:divBdr>
        <w:top w:val="none" w:sz="0" w:space="0" w:color="auto"/>
        <w:left w:val="none" w:sz="0" w:space="0" w:color="auto"/>
        <w:bottom w:val="none" w:sz="0" w:space="0" w:color="auto"/>
        <w:right w:val="none" w:sz="0" w:space="0" w:color="auto"/>
      </w:divBdr>
    </w:div>
    <w:div w:id="318001783">
      <w:bodyDiv w:val="1"/>
      <w:marLeft w:val="0"/>
      <w:marRight w:val="0"/>
      <w:marTop w:val="0"/>
      <w:marBottom w:val="0"/>
      <w:divBdr>
        <w:top w:val="none" w:sz="0" w:space="0" w:color="auto"/>
        <w:left w:val="none" w:sz="0" w:space="0" w:color="auto"/>
        <w:bottom w:val="none" w:sz="0" w:space="0" w:color="auto"/>
        <w:right w:val="none" w:sz="0" w:space="0" w:color="auto"/>
      </w:divBdr>
    </w:div>
    <w:div w:id="319188953">
      <w:bodyDiv w:val="1"/>
      <w:marLeft w:val="0"/>
      <w:marRight w:val="0"/>
      <w:marTop w:val="0"/>
      <w:marBottom w:val="0"/>
      <w:divBdr>
        <w:top w:val="none" w:sz="0" w:space="0" w:color="auto"/>
        <w:left w:val="none" w:sz="0" w:space="0" w:color="auto"/>
        <w:bottom w:val="none" w:sz="0" w:space="0" w:color="auto"/>
        <w:right w:val="none" w:sz="0" w:space="0" w:color="auto"/>
      </w:divBdr>
    </w:div>
    <w:div w:id="319237005">
      <w:bodyDiv w:val="1"/>
      <w:marLeft w:val="0"/>
      <w:marRight w:val="0"/>
      <w:marTop w:val="0"/>
      <w:marBottom w:val="0"/>
      <w:divBdr>
        <w:top w:val="none" w:sz="0" w:space="0" w:color="auto"/>
        <w:left w:val="none" w:sz="0" w:space="0" w:color="auto"/>
        <w:bottom w:val="none" w:sz="0" w:space="0" w:color="auto"/>
        <w:right w:val="none" w:sz="0" w:space="0" w:color="auto"/>
      </w:divBdr>
    </w:div>
    <w:div w:id="320039025">
      <w:bodyDiv w:val="1"/>
      <w:marLeft w:val="0"/>
      <w:marRight w:val="0"/>
      <w:marTop w:val="0"/>
      <w:marBottom w:val="0"/>
      <w:divBdr>
        <w:top w:val="none" w:sz="0" w:space="0" w:color="auto"/>
        <w:left w:val="none" w:sz="0" w:space="0" w:color="auto"/>
        <w:bottom w:val="none" w:sz="0" w:space="0" w:color="auto"/>
        <w:right w:val="none" w:sz="0" w:space="0" w:color="auto"/>
      </w:divBdr>
    </w:div>
    <w:div w:id="320741826">
      <w:bodyDiv w:val="1"/>
      <w:marLeft w:val="0"/>
      <w:marRight w:val="0"/>
      <w:marTop w:val="0"/>
      <w:marBottom w:val="0"/>
      <w:divBdr>
        <w:top w:val="none" w:sz="0" w:space="0" w:color="auto"/>
        <w:left w:val="none" w:sz="0" w:space="0" w:color="auto"/>
        <w:bottom w:val="none" w:sz="0" w:space="0" w:color="auto"/>
        <w:right w:val="none" w:sz="0" w:space="0" w:color="auto"/>
      </w:divBdr>
    </w:div>
    <w:div w:id="320889308">
      <w:bodyDiv w:val="1"/>
      <w:marLeft w:val="0"/>
      <w:marRight w:val="0"/>
      <w:marTop w:val="0"/>
      <w:marBottom w:val="0"/>
      <w:divBdr>
        <w:top w:val="none" w:sz="0" w:space="0" w:color="auto"/>
        <w:left w:val="none" w:sz="0" w:space="0" w:color="auto"/>
        <w:bottom w:val="none" w:sz="0" w:space="0" w:color="auto"/>
        <w:right w:val="none" w:sz="0" w:space="0" w:color="auto"/>
      </w:divBdr>
    </w:div>
    <w:div w:id="321395006">
      <w:bodyDiv w:val="1"/>
      <w:marLeft w:val="0"/>
      <w:marRight w:val="0"/>
      <w:marTop w:val="0"/>
      <w:marBottom w:val="0"/>
      <w:divBdr>
        <w:top w:val="none" w:sz="0" w:space="0" w:color="auto"/>
        <w:left w:val="none" w:sz="0" w:space="0" w:color="auto"/>
        <w:bottom w:val="none" w:sz="0" w:space="0" w:color="auto"/>
        <w:right w:val="none" w:sz="0" w:space="0" w:color="auto"/>
      </w:divBdr>
    </w:div>
    <w:div w:id="323701991">
      <w:bodyDiv w:val="1"/>
      <w:marLeft w:val="0"/>
      <w:marRight w:val="0"/>
      <w:marTop w:val="0"/>
      <w:marBottom w:val="0"/>
      <w:divBdr>
        <w:top w:val="none" w:sz="0" w:space="0" w:color="auto"/>
        <w:left w:val="none" w:sz="0" w:space="0" w:color="auto"/>
        <w:bottom w:val="none" w:sz="0" w:space="0" w:color="auto"/>
        <w:right w:val="none" w:sz="0" w:space="0" w:color="auto"/>
      </w:divBdr>
    </w:div>
    <w:div w:id="324163498">
      <w:bodyDiv w:val="1"/>
      <w:marLeft w:val="0"/>
      <w:marRight w:val="0"/>
      <w:marTop w:val="0"/>
      <w:marBottom w:val="0"/>
      <w:divBdr>
        <w:top w:val="none" w:sz="0" w:space="0" w:color="auto"/>
        <w:left w:val="none" w:sz="0" w:space="0" w:color="auto"/>
        <w:bottom w:val="none" w:sz="0" w:space="0" w:color="auto"/>
        <w:right w:val="none" w:sz="0" w:space="0" w:color="auto"/>
      </w:divBdr>
    </w:div>
    <w:div w:id="325862162">
      <w:bodyDiv w:val="1"/>
      <w:marLeft w:val="0"/>
      <w:marRight w:val="0"/>
      <w:marTop w:val="0"/>
      <w:marBottom w:val="0"/>
      <w:divBdr>
        <w:top w:val="none" w:sz="0" w:space="0" w:color="auto"/>
        <w:left w:val="none" w:sz="0" w:space="0" w:color="auto"/>
        <w:bottom w:val="none" w:sz="0" w:space="0" w:color="auto"/>
        <w:right w:val="none" w:sz="0" w:space="0" w:color="auto"/>
      </w:divBdr>
    </w:div>
    <w:div w:id="325941395">
      <w:bodyDiv w:val="1"/>
      <w:marLeft w:val="0"/>
      <w:marRight w:val="0"/>
      <w:marTop w:val="0"/>
      <w:marBottom w:val="0"/>
      <w:divBdr>
        <w:top w:val="none" w:sz="0" w:space="0" w:color="auto"/>
        <w:left w:val="none" w:sz="0" w:space="0" w:color="auto"/>
        <w:bottom w:val="none" w:sz="0" w:space="0" w:color="auto"/>
        <w:right w:val="none" w:sz="0" w:space="0" w:color="auto"/>
      </w:divBdr>
    </w:div>
    <w:div w:id="326860340">
      <w:bodyDiv w:val="1"/>
      <w:marLeft w:val="0"/>
      <w:marRight w:val="0"/>
      <w:marTop w:val="0"/>
      <w:marBottom w:val="0"/>
      <w:divBdr>
        <w:top w:val="none" w:sz="0" w:space="0" w:color="auto"/>
        <w:left w:val="none" w:sz="0" w:space="0" w:color="auto"/>
        <w:bottom w:val="none" w:sz="0" w:space="0" w:color="auto"/>
        <w:right w:val="none" w:sz="0" w:space="0" w:color="auto"/>
      </w:divBdr>
    </w:div>
    <w:div w:id="331835246">
      <w:bodyDiv w:val="1"/>
      <w:marLeft w:val="0"/>
      <w:marRight w:val="0"/>
      <w:marTop w:val="0"/>
      <w:marBottom w:val="0"/>
      <w:divBdr>
        <w:top w:val="none" w:sz="0" w:space="0" w:color="auto"/>
        <w:left w:val="none" w:sz="0" w:space="0" w:color="auto"/>
        <w:bottom w:val="none" w:sz="0" w:space="0" w:color="auto"/>
        <w:right w:val="none" w:sz="0" w:space="0" w:color="auto"/>
      </w:divBdr>
    </w:div>
    <w:div w:id="332029705">
      <w:bodyDiv w:val="1"/>
      <w:marLeft w:val="0"/>
      <w:marRight w:val="0"/>
      <w:marTop w:val="0"/>
      <w:marBottom w:val="0"/>
      <w:divBdr>
        <w:top w:val="none" w:sz="0" w:space="0" w:color="auto"/>
        <w:left w:val="none" w:sz="0" w:space="0" w:color="auto"/>
        <w:bottom w:val="none" w:sz="0" w:space="0" w:color="auto"/>
        <w:right w:val="none" w:sz="0" w:space="0" w:color="auto"/>
      </w:divBdr>
    </w:div>
    <w:div w:id="333264233">
      <w:bodyDiv w:val="1"/>
      <w:marLeft w:val="0"/>
      <w:marRight w:val="0"/>
      <w:marTop w:val="0"/>
      <w:marBottom w:val="0"/>
      <w:divBdr>
        <w:top w:val="none" w:sz="0" w:space="0" w:color="auto"/>
        <w:left w:val="none" w:sz="0" w:space="0" w:color="auto"/>
        <w:bottom w:val="none" w:sz="0" w:space="0" w:color="auto"/>
        <w:right w:val="none" w:sz="0" w:space="0" w:color="auto"/>
      </w:divBdr>
    </w:div>
    <w:div w:id="333579347">
      <w:bodyDiv w:val="1"/>
      <w:marLeft w:val="0"/>
      <w:marRight w:val="0"/>
      <w:marTop w:val="0"/>
      <w:marBottom w:val="0"/>
      <w:divBdr>
        <w:top w:val="none" w:sz="0" w:space="0" w:color="auto"/>
        <w:left w:val="none" w:sz="0" w:space="0" w:color="auto"/>
        <w:bottom w:val="none" w:sz="0" w:space="0" w:color="auto"/>
        <w:right w:val="none" w:sz="0" w:space="0" w:color="auto"/>
      </w:divBdr>
    </w:div>
    <w:div w:id="335303649">
      <w:bodyDiv w:val="1"/>
      <w:marLeft w:val="0"/>
      <w:marRight w:val="0"/>
      <w:marTop w:val="0"/>
      <w:marBottom w:val="0"/>
      <w:divBdr>
        <w:top w:val="none" w:sz="0" w:space="0" w:color="auto"/>
        <w:left w:val="none" w:sz="0" w:space="0" w:color="auto"/>
        <w:bottom w:val="none" w:sz="0" w:space="0" w:color="auto"/>
        <w:right w:val="none" w:sz="0" w:space="0" w:color="auto"/>
      </w:divBdr>
    </w:div>
    <w:div w:id="342904001">
      <w:bodyDiv w:val="1"/>
      <w:marLeft w:val="0"/>
      <w:marRight w:val="0"/>
      <w:marTop w:val="0"/>
      <w:marBottom w:val="0"/>
      <w:divBdr>
        <w:top w:val="none" w:sz="0" w:space="0" w:color="auto"/>
        <w:left w:val="none" w:sz="0" w:space="0" w:color="auto"/>
        <w:bottom w:val="none" w:sz="0" w:space="0" w:color="auto"/>
        <w:right w:val="none" w:sz="0" w:space="0" w:color="auto"/>
      </w:divBdr>
    </w:div>
    <w:div w:id="343553853">
      <w:bodyDiv w:val="1"/>
      <w:marLeft w:val="0"/>
      <w:marRight w:val="0"/>
      <w:marTop w:val="0"/>
      <w:marBottom w:val="0"/>
      <w:divBdr>
        <w:top w:val="none" w:sz="0" w:space="0" w:color="auto"/>
        <w:left w:val="none" w:sz="0" w:space="0" w:color="auto"/>
        <w:bottom w:val="none" w:sz="0" w:space="0" w:color="auto"/>
        <w:right w:val="none" w:sz="0" w:space="0" w:color="auto"/>
      </w:divBdr>
    </w:div>
    <w:div w:id="344406904">
      <w:bodyDiv w:val="1"/>
      <w:marLeft w:val="0"/>
      <w:marRight w:val="0"/>
      <w:marTop w:val="0"/>
      <w:marBottom w:val="0"/>
      <w:divBdr>
        <w:top w:val="none" w:sz="0" w:space="0" w:color="auto"/>
        <w:left w:val="none" w:sz="0" w:space="0" w:color="auto"/>
        <w:bottom w:val="none" w:sz="0" w:space="0" w:color="auto"/>
        <w:right w:val="none" w:sz="0" w:space="0" w:color="auto"/>
      </w:divBdr>
    </w:div>
    <w:div w:id="345866013">
      <w:bodyDiv w:val="1"/>
      <w:marLeft w:val="0"/>
      <w:marRight w:val="0"/>
      <w:marTop w:val="0"/>
      <w:marBottom w:val="0"/>
      <w:divBdr>
        <w:top w:val="none" w:sz="0" w:space="0" w:color="auto"/>
        <w:left w:val="none" w:sz="0" w:space="0" w:color="auto"/>
        <w:bottom w:val="none" w:sz="0" w:space="0" w:color="auto"/>
        <w:right w:val="none" w:sz="0" w:space="0" w:color="auto"/>
      </w:divBdr>
    </w:div>
    <w:div w:id="346175233">
      <w:bodyDiv w:val="1"/>
      <w:marLeft w:val="0"/>
      <w:marRight w:val="0"/>
      <w:marTop w:val="0"/>
      <w:marBottom w:val="0"/>
      <w:divBdr>
        <w:top w:val="none" w:sz="0" w:space="0" w:color="auto"/>
        <w:left w:val="none" w:sz="0" w:space="0" w:color="auto"/>
        <w:bottom w:val="none" w:sz="0" w:space="0" w:color="auto"/>
        <w:right w:val="none" w:sz="0" w:space="0" w:color="auto"/>
      </w:divBdr>
    </w:div>
    <w:div w:id="346828201">
      <w:bodyDiv w:val="1"/>
      <w:marLeft w:val="0"/>
      <w:marRight w:val="0"/>
      <w:marTop w:val="0"/>
      <w:marBottom w:val="0"/>
      <w:divBdr>
        <w:top w:val="none" w:sz="0" w:space="0" w:color="auto"/>
        <w:left w:val="none" w:sz="0" w:space="0" w:color="auto"/>
        <w:bottom w:val="none" w:sz="0" w:space="0" w:color="auto"/>
        <w:right w:val="none" w:sz="0" w:space="0" w:color="auto"/>
      </w:divBdr>
    </w:div>
    <w:div w:id="347562316">
      <w:bodyDiv w:val="1"/>
      <w:marLeft w:val="0"/>
      <w:marRight w:val="0"/>
      <w:marTop w:val="0"/>
      <w:marBottom w:val="0"/>
      <w:divBdr>
        <w:top w:val="none" w:sz="0" w:space="0" w:color="auto"/>
        <w:left w:val="none" w:sz="0" w:space="0" w:color="auto"/>
        <w:bottom w:val="none" w:sz="0" w:space="0" w:color="auto"/>
        <w:right w:val="none" w:sz="0" w:space="0" w:color="auto"/>
      </w:divBdr>
    </w:div>
    <w:div w:id="348336421">
      <w:bodyDiv w:val="1"/>
      <w:marLeft w:val="0"/>
      <w:marRight w:val="0"/>
      <w:marTop w:val="0"/>
      <w:marBottom w:val="0"/>
      <w:divBdr>
        <w:top w:val="none" w:sz="0" w:space="0" w:color="auto"/>
        <w:left w:val="none" w:sz="0" w:space="0" w:color="auto"/>
        <w:bottom w:val="none" w:sz="0" w:space="0" w:color="auto"/>
        <w:right w:val="none" w:sz="0" w:space="0" w:color="auto"/>
      </w:divBdr>
    </w:div>
    <w:div w:id="348528515">
      <w:bodyDiv w:val="1"/>
      <w:marLeft w:val="0"/>
      <w:marRight w:val="0"/>
      <w:marTop w:val="0"/>
      <w:marBottom w:val="0"/>
      <w:divBdr>
        <w:top w:val="none" w:sz="0" w:space="0" w:color="auto"/>
        <w:left w:val="none" w:sz="0" w:space="0" w:color="auto"/>
        <w:bottom w:val="none" w:sz="0" w:space="0" w:color="auto"/>
        <w:right w:val="none" w:sz="0" w:space="0" w:color="auto"/>
      </w:divBdr>
    </w:div>
    <w:div w:id="350184595">
      <w:bodyDiv w:val="1"/>
      <w:marLeft w:val="0"/>
      <w:marRight w:val="0"/>
      <w:marTop w:val="0"/>
      <w:marBottom w:val="0"/>
      <w:divBdr>
        <w:top w:val="none" w:sz="0" w:space="0" w:color="auto"/>
        <w:left w:val="none" w:sz="0" w:space="0" w:color="auto"/>
        <w:bottom w:val="none" w:sz="0" w:space="0" w:color="auto"/>
        <w:right w:val="none" w:sz="0" w:space="0" w:color="auto"/>
      </w:divBdr>
    </w:div>
    <w:div w:id="350688008">
      <w:bodyDiv w:val="1"/>
      <w:marLeft w:val="0"/>
      <w:marRight w:val="0"/>
      <w:marTop w:val="0"/>
      <w:marBottom w:val="0"/>
      <w:divBdr>
        <w:top w:val="none" w:sz="0" w:space="0" w:color="auto"/>
        <w:left w:val="none" w:sz="0" w:space="0" w:color="auto"/>
        <w:bottom w:val="none" w:sz="0" w:space="0" w:color="auto"/>
        <w:right w:val="none" w:sz="0" w:space="0" w:color="auto"/>
      </w:divBdr>
    </w:div>
    <w:div w:id="352535964">
      <w:bodyDiv w:val="1"/>
      <w:marLeft w:val="0"/>
      <w:marRight w:val="0"/>
      <w:marTop w:val="0"/>
      <w:marBottom w:val="0"/>
      <w:divBdr>
        <w:top w:val="none" w:sz="0" w:space="0" w:color="auto"/>
        <w:left w:val="none" w:sz="0" w:space="0" w:color="auto"/>
        <w:bottom w:val="none" w:sz="0" w:space="0" w:color="auto"/>
        <w:right w:val="none" w:sz="0" w:space="0" w:color="auto"/>
      </w:divBdr>
    </w:div>
    <w:div w:id="353194929">
      <w:bodyDiv w:val="1"/>
      <w:marLeft w:val="0"/>
      <w:marRight w:val="0"/>
      <w:marTop w:val="0"/>
      <w:marBottom w:val="0"/>
      <w:divBdr>
        <w:top w:val="none" w:sz="0" w:space="0" w:color="auto"/>
        <w:left w:val="none" w:sz="0" w:space="0" w:color="auto"/>
        <w:bottom w:val="none" w:sz="0" w:space="0" w:color="auto"/>
        <w:right w:val="none" w:sz="0" w:space="0" w:color="auto"/>
      </w:divBdr>
    </w:div>
    <w:div w:id="354354386">
      <w:bodyDiv w:val="1"/>
      <w:marLeft w:val="0"/>
      <w:marRight w:val="0"/>
      <w:marTop w:val="0"/>
      <w:marBottom w:val="0"/>
      <w:divBdr>
        <w:top w:val="none" w:sz="0" w:space="0" w:color="auto"/>
        <w:left w:val="none" w:sz="0" w:space="0" w:color="auto"/>
        <w:bottom w:val="none" w:sz="0" w:space="0" w:color="auto"/>
        <w:right w:val="none" w:sz="0" w:space="0" w:color="auto"/>
      </w:divBdr>
    </w:div>
    <w:div w:id="355422720">
      <w:bodyDiv w:val="1"/>
      <w:marLeft w:val="0"/>
      <w:marRight w:val="0"/>
      <w:marTop w:val="0"/>
      <w:marBottom w:val="0"/>
      <w:divBdr>
        <w:top w:val="none" w:sz="0" w:space="0" w:color="auto"/>
        <w:left w:val="none" w:sz="0" w:space="0" w:color="auto"/>
        <w:bottom w:val="none" w:sz="0" w:space="0" w:color="auto"/>
        <w:right w:val="none" w:sz="0" w:space="0" w:color="auto"/>
      </w:divBdr>
    </w:div>
    <w:div w:id="357971374">
      <w:bodyDiv w:val="1"/>
      <w:marLeft w:val="0"/>
      <w:marRight w:val="0"/>
      <w:marTop w:val="0"/>
      <w:marBottom w:val="0"/>
      <w:divBdr>
        <w:top w:val="none" w:sz="0" w:space="0" w:color="auto"/>
        <w:left w:val="none" w:sz="0" w:space="0" w:color="auto"/>
        <w:bottom w:val="none" w:sz="0" w:space="0" w:color="auto"/>
        <w:right w:val="none" w:sz="0" w:space="0" w:color="auto"/>
      </w:divBdr>
    </w:div>
    <w:div w:id="361906333">
      <w:bodyDiv w:val="1"/>
      <w:marLeft w:val="0"/>
      <w:marRight w:val="0"/>
      <w:marTop w:val="0"/>
      <w:marBottom w:val="0"/>
      <w:divBdr>
        <w:top w:val="none" w:sz="0" w:space="0" w:color="auto"/>
        <w:left w:val="none" w:sz="0" w:space="0" w:color="auto"/>
        <w:bottom w:val="none" w:sz="0" w:space="0" w:color="auto"/>
        <w:right w:val="none" w:sz="0" w:space="0" w:color="auto"/>
      </w:divBdr>
    </w:div>
    <w:div w:id="362369667">
      <w:bodyDiv w:val="1"/>
      <w:marLeft w:val="0"/>
      <w:marRight w:val="0"/>
      <w:marTop w:val="0"/>
      <w:marBottom w:val="0"/>
      <w:divBdr>
        <w:top w:val="none" w:sz="0" w:space="0" w:color="auto"/>
        <w:left w:val="none" w:sz="0" w:space="0" w:color="auto"/>
        <w:bottom w:val="none" w:sz="0" w:space="0" w:color="auto"/>
        <w:right w:val="none" w:sz="0" w:space="0" w:color="auto"/>
      </w:divBdr>
    </w:div>
    <w:div w:id="365372586">
      <w:bodyDiv w:val="1"/>
      <w:marLeft w:val="0"/>
      <w:marRight w:val="0"/>
      <w:marTop w:val="0"/>
      <w:marBottom w:val="0"/>
      <w:divBdr>
        <w:top w:val="none" w:sz="0" w:space="0" w:color="auto"/>
        <w:left w:val="none" w:sz="0" w:space="0" w:color="auto"/>
        <w:bottom w:val="none" w:sz="0" w:space="0" w:color="auto"/>
        <w:right w:val="none" w:sz="0" w:space="0" w:color="auto"/>
      </w:divBdr>
    </w:div>
    <w:div w:id="366102309">
      <w:bodyDiv w:val="1"/>
      <w:marLeft w:val="0"/>
      <w:marRight w:val="0"/>
      <w:marTop w:val="0"/>
      <w:marBottom w:val="0"/>
      <w:divBdr>
        <w:top w:val="none" w:sz="0" w:space="0" w:color="auto"/>
        <w:left w:val="none" w:sz="0" w:space="0" w:color="auto"/>
        <w:bottom w:val="none" w:sz="0" w:space="0" w:color="auto"/>
        <w:right w:val="none" w:sz="0" w:space="0" w:color="auto"/>
      </w:divBdr>
    </w:div>
    <w:div w:id="366640724">
      <w:bodyDiv w:val="1"/>
      <w:marLeft w:val="0"/>
      <w:marRight w:val="0"/>
      <w:marTop w:val="0"/>
      <w:marBottom w:val="0"/>
      <w:divBdr>
        <w:top w:val="none" w:sz="0" w:space="0" w:color="auto"/>
        <w:left w:val="none" w:sz="0" w:space="0" w:color="auto"/>
        <w:bottom w:val="none" w:sz="0" w:space="0" w:color="auto"/>
        <w:right w:val="none" w:sz="0" w:space="0" w:color="auto"/>
      </w:divBdr>
    </w:div>
    <w:div w:id="369766206">
      <w:bodyDiv w:val="1"/>
      <w:marLeft w:val="0"/>
      <w:marRight w:val="0"/>
      <w:marTop w:val="0"/>
      <w:marBottom w:val="0"/>
      <w:divBdr>
        <w:top w:val="none" w:sz="0" w:space="0" w:color="auto"/>
        <w:left w:val="none" w:sz="0" w:space="0" w:color="auto"/>
        <w:bottom w:val="none" w:sz="0" w:space="0" w:color="auto"/>
        <w:right w:val="none" w:sz="0" w:space="0" w:color="auto"/>
      </w:divBdr>
    </w:div>
    <w:div w:id="371151971">
      <w:bodyDiv w:val="1"/>
      <w:marLeft w:val="0"/>
      <w:marRight w:val="0"/>
      <w:marTop w:val="0"/>
      <w:marBottom w:val="0"/>
      <w:divBdr>
        <w:top w:val="none" w:sz="0" w:space="0" w:color="auto"/>
        <w:left w:val="none" w:sz="0" w:space="0" w:color="auto"/>
        <w:bottom w:val="none" w:sz="0" w:space="0" w:color="auto"/>
        <w:right w:val="none" w:sz="0" w:space="0" w:color="auto"/>
      </w:divBdr>
    </w:div>
    <w:div w:id="375158683">
      <w:bodyDiv w:val="1"/>
      <w:marLeft w:val="0"/>
      <w:marRight w:val="0"/>
      <w:marTop w:val="0"/>
      <w:marBottom w:val="0"/>
      <w:divBdr>
        <w:top w:val="none" w:sz="0" w:space="0" w:color="auto"/>
        <w:left w:val="none" w:sz="0" w:space="0" w:color="auto"/>
        <w:bottom w:val="none" w:sz="0" w:space="0" w:color="auto"/>
        <w:right w:val="none" w:sz="0" w:space="0" w:color="auto"/>
      </w:divBdr>
    </w:div>
    <w:div w:id="375350417">
      <w:bodyDiv w:val="1"/>
      <w:marLeft w:val="0"/>
      <w:marRight w:val="0"/>
      <w:marTop w:val="0"/>
      <w:marBottom w:val="0"/>
      <w:divBdr>
        <w:top w:val="none" w:sz="0" w:space="0" w:color="auto"/>
        <w:left w:val="none" w:sz="0" w:space="0" w:color="auto"/>
        <w:bottom w:val="none" w:sz="0" w:space="0" w:color="auto"/>
        <w:right w:val="none" w:sz="0" w:space="0" w:color="auto"/>
      </w:divBdr>
    </w:div>
    <w:div w:id="376510802">
      <w:bodyDiv w:val="1"/>
      <w:marLeft w:val="0"/>
      <w:marRight w:val="0"/>
      <w:marTop w:val="0"/>
      <w:marBottom w:val="0"/>
      <w:divBdr>
        <w:top w:val="none" w:sz="0" w:space="0" w:color="auto"/>
        <w:left w:val="none" w:sz="0" w:space="0" w:color="auto"/>
        <w:bottom w:val="none" w:sz="0" w:space="0" w:color="auto"/>
        <w:right w:val="none" w:sz="0" w:space="0" w:color="auto"/>
      </w:divBdr>
    </w:div>
    <w:div w:id="378937514">
      <w:bodyDiv w:val="1"/>
      <w:marLeft w:val="0"/>
      <w:marRight w:val="0"/>
      <w:marTop w:val="0"/>
      <w:marBottom w:val="0"/>
      <w:divBdr>
        <w:top w:val="none" w:sz="0" w:space="0" w:color="auto"/>
        <w:left w:val="none" w:sz="0" w:space="0" w:color="auto"/>
        <w:bottom w:val="none" w:sz="0" w:space="0" w:color="auto"/>
        <w:right w:val="none" w:sz="0" w:space="0" w:color="auto"/>
      </w:divBdr>
    </w:div>
    <w:div w:id="380131283">
      <w:bodyDiv w:val="1"/>
      <w:marLeft w:val="0"/>
      <w:marRight w:val="0"/>
      <w:marTop w:val="0"/>
      <w:marBottom w:val="0"/>
      <w:divBdr>
        <w:top w:val="none" w:sz="0" w:space="0" w:color="auto"/>
        <w:left w:val="none" w:sz="0" w:space="0" w:color="auto"/>
        <w:bottom w:val="none" w:sz="0" w:space="0" w:color="auto"/>
        <w:right w:val="none" w:sz="0" w:space="0" w:color="auto"/>
      </w:divBdr>
    </w:div>
    <w:div w:id="384529253">
      <w:bodyDiv w:val="1"/>
      <w:marLeft w:val="0"/>
      <w:marRight w:val="0"/>
      <w:marTop w:val="0"/>
      <w:marBottom w:val="0"/>
      <w:divBdr>
        <w:top w:val="none" w:sz="0" w:space="0" w:color="auto"/>
        <w:left w:val="none" w:sz="0" w:space="0" w:color="auto"/>
        <w:bottom w:val="none" w:sz="0" w:space="0" w:color="auto"/>
        <w:right w:val="none" w:sz="0" w:space="0" w:color="auto"/>
      </w:divBdr>
    </w:div>
    <w:div w:id="388309218">
      <w:bodyDiv w:val="1"/>
      <w:marLeft w:val="0"/>
      <w:marRight w:val="0"/>
      <w:marTop w:val="0"/>
      <w:marBottom w:val="0"/>
      <w:divBdr>
        <w:top w:val="none" w:sz="0" w:space="0" w:color="auto"/>
        <w:left w:val="none" w:sz="0" w:space="0" w:color="auto"/>
        <w:bottom w:val="none" w:sz="0" w:space="0" w:color="auto"/>
        <w:right w:val="none" w:sz="0" w:space="0" w:color="auto"/>
      </w:divBdr>
    </w:div>
    <w:div w:id="389967000">
      <w:bodyDiv w:val="1"/>
      <w:marLeft w:val="0"/>
      <w:marRight w:val="0"/>
      <w:marTop w:val="0"/>
      <w:marBottom w:val="0"/>
      <w:divBdr>
        <w:top w:val="none" w:sz="0" w:space="0" w:color="auto"/>
        <w:left w:val="none" w:sz="0" w:space="0" w:color="auto"/>
        <w:bottom w:val="none" w:sz="0" w:space="0" w:color="auto"/>
        <w:right w:val="none" w:sz="0" w:space="0" w:color="auto"/>
      </w:divBdr>
    </w:div>
    <w:div w:id="390495296">
      <w:bodyDiv w:val="1"/>
      <w:marLeft w:val="0"/>
      <w:marRight w:val="0"/>
      <w:marTop w:val="0"/>
      <w:marBottom w:val="0"/>
      <w:divBdr>
        <w:top w:val="none" w:sz="0" w:space="0" w:color="auto"/>
        <w:left w:val="none" w:sz="0" w:space="0" w:color="auto"/>
        <w:bottom w:val="none" w:sz="0" w:space="0" w:color="auto"/>
        <w:right w:val="none" w:sz="0" w:space="0" w:color="auto"/>
      </w:divBdr>
    </w:div>
    <w:div w:id="391539248">
      <w:bodyDiv w:val="1"/>
      <w:marLeft w:val="0"/>
      <w:marRight w:val="0"/>
      <w:marTop w:val="0"/>
      <w:marBottom w:val="0"/>
      <w:divBdr>
        <w:top w:val="none" w:sz="0" w:space="0" w:color="auto"/>
        <w:left w:val="none" w:sz="0" w:space="0" w:color="auto"/>
        <w:bottom w:val="none" w:sz="0" w:space="0" w:color="auto"/>
        <w:right w:val="none" w:sz="0" w:space="0" w:color="auto"/>
      </w:divBdr>
    </w:div>
    <w:div w:id="392582236">
      <w:bodyDiv w:val="1"/>
      <w:marLeft w:val="0"/>
      <w:marRight w:val="0"/>
      <w:marTop w:val="0"/>
      <w:marBottom w:val="0"/>
      <w:divBdr>
        <w:top w:val="none" w:sz="0" w:space="0" w:color="auto"/>
        <w:left w:val="none" w:sz="0" w:space="0" w:color="auto"/>
        <w:bottom w:val="none" w:sz="0" w:space="0" w:color="auto"/>
        <w:right w:val="none" w:sz="0" w:space="0" w:color="auto"/>
      </w:divBdr>
    </w:div>
    <w:div w:id="392972271">
      <w:bodyDiv w:val="1"/>
      <w:marLeft w:val="0"/>
      <w:marRight w:val="0"/>
      <w:marTop w:val="0"/>
      <w:marBottom w:val="0"/>
      <w:divBdr>
        <w:top w:val="none" w:sz="0" w:space="0" w:color="auto"/>
        <w:left w:val="none" w:sz="0" w:space="0" w:color="auto"/>
        <w:bottom w:val="none" w:sz="0" w:space="0" w:color="auto"/>
        <w:right w:val="none" w:sz="0" w:space="0" w:color="auto"/>
      </w:divBdr>
    </w:div>
    <w:div w:id="393357306">
      <w:bodyDiv w:val="1"/>
      <w:marLeft w:val="0"/>
      <w:marRight w:val="0"/>
      <w:marTop w:val="0"/>
      <w:marBottom w:val="0"/>
      <w:divBdr>
        <w:top w:val="none" w:sz="0" w:space="0" w:color="auto"/>
        <w:left w:val="none" w:sz="0" w:space="0" w:color="auto"/>
        <w:bottom w:val="none" w:sz="0" w:space="0" w:color="auto"/>
        <w:right w:val="none" w:sz="0" w:space="0" w:color="auto"/>
      </w:divBdr>
    </w:div>
    <w:div w:id="397287196">
      <w:bodyDiv w:val="1"/>
      <w:marLeft w:val="0"/>
      <w:marRight w:val="0"/>
      <w:marTop w:val="0"/>
      <w:marBottom w:val="0"/>
      <w:divBdr>
        <w:top w:val="none" w:sz="0" w:space="0" w:color="auto"/>
        <w:left w:val="none" w:sz="0" w:space="0" w:color="auto"/>
        <w:bottom w:val="none" w:sz="0" w:space="0" w:color="auto"/>
        <w:right w:val="none" w:sz="0" w:space="0" w:color="auto"/>
      </w:divBdr>
    </w:div>
    <w:div w:id="397674524">
      <w:bodyDiv w:val="1"/>
      <w:marLeft w:val="0"/>
      <w:marRight w:val="0"/>
      <w:marTop w:val="0"/>
      <w:marBottom w:val="0"/>
      <w:divBdr>
        <w:top w:val="none" w:sz="0" w:space="0" w:color="auto"/>
        <w:left w:val="none" w:sz="0" w:space="0" w:color="auto"/>
        <w:bottom w:val="none" w:sz="0" w:space="0" w:color="auto"/>
        <w:right w:val="none" w:sz="0" w:space="0" w:color="auto"/>
      </w:divBdr>
    </w:div>
    <w:div w:id="400560198">
      <w:bodyDiv w:val="1"/>
      <w:marLeft w:val="0"/>
      <w:marRight w:val="0"/>
      <w:marTop w:val="0"/>
      <w:marBottom w:val="0"/>
      <w:divBdr>
        <w:top w:val="none" w:sz="0" w:space="0" w:color="auto"/>
        <w:left w:val="none" w:sz="0" w:space="0" w:color="auto"/>
        <w:bottom w:val="none" w:sz="0" w:space="0" w:color="auto"/>
        <w:right w:val="none" w:sz="0" w:space="0" w:color="auto"/>
      </w:divBdr>
    </w:div>
    <w:div w:id="404958882">
      <w:bodyDiv w:val="1"/>
      <w:marLeft w:val="0"/>
      <w:marRight w:val="0"/>
      <w:marTop w:val="0"/>
      <w:marBottom w:val="0"/>
      <w:divBdr>
        <w:top w:val="none" w:sz="0" w:space="0" w:color="auto"/>
        <w:left w:val="none" w:sz="0" w:space="0" w:color="auto"/>
        <w:bottom w:val="none" w:sz="0" w:space="0" w:color="auto"/>
        <w:right w:val="none" w:sz="0" w:space="0" w:color="auto"/>
      </w:divBdr>
    </w:div>
    <w:div w:id="405691837">
      <w:bodyDiv w:val="1"/>
      <w:marLeft w:val="0"/>
      <w:marRight w:val="0"/>
      <w:marTop w:val="0"/>
      <w:marBottom w:val="0"/>
      <w:divBdr>
        <w:top w:val="none" w:sz="0" w:space="0" w:color="auto"/>
        <w:left w:val="none" w:sz="0" w:space="0" w:color="auto"/>
        <w:bottom w:val="none" w:sz="0" w:space="0" w:color="auto"/>
        <w:right w:val="none" w:sz="0" w:space="0" w:color="auto"/>
      </w:divBdr>
    </w:div>
    <w:div w:id="405955285">
      <w:bodyDiv w:val="1"/>
      <w:marLeft w:val="0"/>
      <w:marRight w:val="0"/>
      <w:marTop w:val="0"/>
      <w:marBottom w:val="0"/>
      <w:divBdr>
        <w:top w:val="none" w:sz="0" w:space="0" w:color="auto"/>
        <w:left w:val="none" w:sz="0" w:space="0" w:color="auto"/>
        <w:bottom w:val="none" w:sz="0" w:space="0" w:color="auto"/>
        <w:right w:val="none" w:sz="0" w:space="0" w:color="auto"/>
      </w:divBdr>
    </w:div>
    <w:div w:id="407313683">
      <w:bodyDiv w:val="1"/>
      <w:marLeft w:val="0"/>
      <w:marRight w:val="0"/>
      <w:marTop w:val="0"/>
      <w:marBottom w:val="0"/>
      <w:divBdr>
        <w:top w:val="none" w:sz="0" w:space="0" w:color="auto"/>
        <w:left w:val="none" w:sz="0" w:space="0" w:color="auto"/>
        <w:bottom w:val="none" w:sz="0" w:space="0" w:color="auto"/>
        <w:right w:val="none" w:sz="0" w:space="0" w:color="auto"/>
      </w:divBdr>
    </w:div>
    <w:div w:id="409618881">
      <w:bodyDiv w:val="1"/>
      <w:marLeft w:val="0"/>
      <w:marRight w:val="0"/>
      <w:marTop w:val="0"/>
      <w:marBottom w:val="0"/>
      <w:divBdr>
        <w:top w:val="none" w:sz="0" w:space="0" w:color="auto"/>
        <w:left w:val="none" w:sz="0" w:space="0" w:color="auto"/>
        <w:bottom w:val="none" w:sz="0" w:space="0" w:color="auto"/>
        <w:right w:val="none" w:sz="0" w:space="0" w:color="auto"/>
      </w:divBdr>
    </w:div>
    <w:div w:id="411240480">
      <w:bodyDiv w:val="1"/>
      <w:marLeft w:val="0"/>
      <w:marRight w:val="0"/>
      <w:marTop w:val="0"/>
      <w:marBottom w:val="0"/>
      <w:divBdr>
        <w:top w:val="none" w:sz="0" w:space="0" w:color="auto"/>
        <w:left w:val="none" w:sz="0" w:space="0" w:color="auto"/>
        <w:bottom w:val="none" w:sz="0" w:space="0" w:color="auto"/>
        <w:right w:val="none" w:sz="0" w:space="0" w:color="auto"/>
      </w:divBdr>
    </w:div>
    <w:div w:id="417674663">
      <w:bodyDiv w:val="1"/>
      <w:marLeft w:val="0"/>
      <w:marRight w:val="0"/>
      <w:marTop w:val="0"/>
      <w:marBottom w:val="0"/>
      <w:divBdr>
        <w:top w:val="none" w:sz="0" w:space="0" w:color="auto"/>
        <w:left w:val="none" w:sz="0" w:space="0" w:color="auto"/>
        <w:bottom w:val="none" w:sz="0" w:space="0" w:color="auto"/>
        <w:right w:val="none" w:sz="0" w:space="0" w:color="auto"/>
      </w:divBdr>
    </w:div>
    <w:div w:id="420486764">
      <w:bodyDiv w:val="1"/>
      <w:marLeft w:val="0"/>
      <w:marRight w:val="0"/>
      <w:marTop w:val="0"/>
      <w:marBottom w:val="0"/>
      <w:divBdr>
        <w:top w:val="none" w:sz="0" w:space="0" w:color="auto"/>
        <w:left w:val="none" w:sz="0" w:space="0" w:color="auto"/>
        <w:bottom w:val="none" w:sz="0" w:space="0" w:color="auto"/>
        <w:right w:val="none" w:sz="0" w:space="0" w:color="auto"/>
      </w:divBdr>
    </w:div>
    <w:div w:id="421686368">
      <w:bodyDiv w:val="1"/>
      <w:marLeft w:val="0"/>
      <w:marRight w:val="0"/>
      <w:marTop w:val="0"/>
      <w:marBottom w:val="0"/>
      <w:divBdr>
        <w:top w:val="none" w:sz="0" w:space="0" w:color="auto"/>
        <w:left w:val="none" w:sz="0" w:space="0" w:color="auto"/>
        <w:bottom w:val="none" w:sz="0" w:space="0" w:color="auto"/>
        <w:right w:val="none" w:sz="0" w:space="0" w:color="auto"/>
      </w:divBdr>
    </w:div>
    <w:div w:id="421881776">
      <w:bodyDiv w:val="1"/>
      <w:marLeft w:val="0"/>
      <w:marRight w:val="0"/>
      <w:marTop w:val="0"/>
      <w:marBottom w:val="0"/>
      <w:divBdr>
        <w:top w:val="none" w:sz="0" w:space="0" w:color="auto"/>
        <w:left w:val="none" w:sz="0" w:space="0" w:color="auto"/>
        <w:bottom w:val="none" w:sz="0" w:space="0" w:color="auto"/>
        <w:right w:val="none" w:sz="0" w:space="0" w:color="auto"/>
      </w:divBdr>
    </w:div>
    <w:div w:id="423383262">
      <w:bodyDiv w:val="1"/>
      <w:marLeft w:val="0"/>
      <w:marRight w:val="0"/>
      <w:marTop w:val="0"/>
      <w:marBottom w:val="0"/>
      <w:divBdr>
        <w:top w:val="none" w:sz="0" w:space="0" w:color="auto"/>
        <w:left w:val="none" w:sz="0" w:space="0" w:color="auto"/>
        <w:bottom w:val="none" w:sz="0" w:space="0" w:color="auto"/>
        <w:right w:val="none" w:sz="0" w:space="0" w:color="auto"/>
      </w:divBdr>
    </w:div>
    <w:div w:id="426463083">
      <w:bodyDiv w:val="1"/>
      <w:marLeft w:val="0"/>
      <w:marRight w:val="0"/>
      <w:marTop w:val="0"/>
      <w:marBottom w:val="0"/>
      <w:divBdr>
        <w:top w:val="none" w:sz="0" w:space="0" w:color="auto"/>
        <w:left w:val="none" w:sz="0" w:space="0" w:color="auto"/>
        <w:bottom w:val="none" w:sz="0" w:space="0" w:color="auto"/>
        <w:right w:val="none" w:sz="0" w:space="0" w:color="auto"/>
      </w:divBdr>
    </w:div>
    <w:div w:id="426967661">
      <w:bodyDiv w:val="1"/>
      <w:marLeft w:val="0"/>
      <w:marRight w:val="0"/>
      <w:marTop w:val="0"/>
      <w:marBottom w:val="0"/>
      <w:divBdr>
        <w:top w:val="none" w:sz="0" w:space="0" w:color="auto"/>
        <w:left w:val="none" w:sz="0" w:space="0" w:color="auto"/>
        <w:bottom w:val="none" w:sz="0" w:space="0" w:color="auto"/>
        <w:right w:val="none" w:sz="0" w:space="0" w:color="auto"/>
      </w:divBdr>
    </w:div>
    <w:div w:id="430856030">
      <w:bodyDiv w:val="1"/>
      <w:marLeft w:val="0"/>
      <w:marRight w:val="0"/>
      <w:marTop w:val="0"/>
      <w:marBottom w:val="0"/>
      <w:divBdr>
        <w:top w:val="none" w:sz="0" w:space="0" w:color="auto"/>
        <w:left w:val="none" w:sz="0" w:space="0" w:color="auto"/>
        <w:bottom w:val="none" w:sz="0" w:space="0" w:color="auto"/>
        <w:right w:val="none" w:sz="0" w:space="0" w:color="auto"/>
      </w:divBdr>
    </w:div>
    <w:div w:id="432168366">
      <w:bodyDiv w:val="1"/>
      <w:marLeft w:val="0"/>
      <w:marRight w:val="0"/>
      <w:marTop w:val="0"/>
      <w:marBottom w:val="0"/>
      <w:divBdr>
        <w:top w:val="none" w:sz="0" w:space="0" w:color="auto"/>
        <w:left w:val="none" w:sz="0" w:space="0" w:color="auto"/>
        <w:bottom w:val="none" w:sz="0" w:space="0" w:color="auto"/>
        <w:right w:val="none" w:sz="0" w:space="0" w:color="auto"/>
      </w:divBdr>
    </w:div>
    <w:div w:id="435095786">
      <w:bodyDiv w:val="1"/>
      <w:marLeft w:val="0"/>
      <w:marRight w:val="0"/>
      <w:marTop w:val="0"/>
      <w:marBottom w:val="0"/>
      <w:divBdr>
        <w:top w:val="none" w:sz="0" w:space="0" w:color="auto"/>
        <w:left w:val="none" w:sz="0" w:space="0" w:color="auto"/>
        <w:bottom w:val="none" w:sz="0" w:space="0" w:color="auto"/>
        <w:right w:val="none" w:sz="0" w:space="0" w:color="auto"/>
      </w:divBdr>
    </w:div>
    <w:div w:id="435757194">
      <w:bodyDiv w:val="1"/>
      <w:marLeft w:val="0"/>
      <w:marRight w:val="0"/>
      <w:marTop w:val="0"/>
      <w:marBottom w:val="0"/>
      <w:divBdr>
        <w:top w:val="none" w:sz="0" w:space="0" w:color="auto"/>
        <w:left w:val="none" w:sz="0" w:space="0" w:color="auto"/>
        <w:bottom w:val="none" w:sz="0" w:space="0" w:color="auto"/>
        <w:right w:val="none" w:sz="0" w:space="0" w:color="auto"/>
      </w:divBdr>
    </w:div>
    <w:div w:id="437066422">
      <w:bodyDiv w:val="1"/>
      <w:marLeft w:val="0"/>
      <w:marRight w:val="0"/>
      <w:marTop w:val="0"/>
      <w:marBottom w:val="0"/>
      <w:divBdr>
        <w:top w:val="none" w:sz="0" w:space="0" w:color="auto"/>
        <w:left w:val="none" w:sz="0" w:space="0" w:color="auto"/>
        <w:bottom w:val="none" w:sz="0" w:space="0" w:color="auto"/>
        <w:right w:val="none" w:sz="0" w:space="0" w:color="auto"/>
      </w:divBdr>
    </w:div>
    <w:div w:id="437602777">
      <w:bodyDiv w:val="1"/>
      <w:marLeft w:val="0"/>
      <w:marRight w:val="0"/>
      <w:marTop w:val="0"/>
      <w:marBottom w:val="0"/>
      <w:divBdr>
        <w:top w:val="none" w:sz="0" w:space="0" w:color="auto"/>
        <w:left w:val="none" w:sz="0" w:space="0" w:color="auto"/>
        <w:bottom w:val="none" w:sz="0" w:space="0" w:color="auto"/>
        <w:right w:val="none" w:sz="0" w:space="0" w:color="auto"/>
      </w:divBdr>
    </w:div>
    <w:div w:id="438306300">
      <w:bodyDiv w:val="1"/>
      <w:marLeft w:val="0"/>
      <w:marRight w:val="0"/>
      <w:marTop w:val="0"/>
      <w:marBottom w:val="0"/>
      <w:divBdr>
        <w:top w:val="none" w:sz="0" w:space="0" w:color="auto"/>
        <w:left w:val="none" w:sz="0" w:space="0" w:color="auto"/>
        <w:bottom w:val="none" w:sz="0" w:space="0" w:color="auto"/>
        <w:right w:val="none" w:sz="0" w:space="0" w:color="auto"/>
      </w:divBdr>
    </w:div>
    <w:div w:id="441723820">
      <w:bodyDiv w:val="1"/>
      <w:marLeft w:val="0"/>
      <w:marRight w:val="0"/>
      <w:marTop w:val="0"/>
      <w:marBottom w:val="0"/>
      <w:divBdr>
        <w:top w:val="none" w:sz="0" w:space="0" w:color="auto"/>
        <w:left w:val="none" w:sz="0" w:space="0" w:color="auto"/>
        <w:bottom w:val="none" w:sz="0" w:space="0" w:color="auto"/>
        <w:right w:val="none" w:sz="0" w:space="0" w:color="auto"/>
      </w:divBdr>
    </w:div>
    <w:div w:id="442464053">
      <w:bodyDiv w:val="1"/>
      <w:marLeft w:val="0"/>
      <w:marRight w:val="0"/>
      <w:marTop w:val="0"/>
      <w:marBottom w:val="0"/>
      <w:divBdr>
        <w:top w:val="none" w:sz="0" w:space="0" w:color="auto"/>
        <w:left w:val="none" w:sz="0" w:space="0" w:color="auto"/>
        <w:bottom w:val="none" w:sz="0" w:space="0" w:color="auto"/>
        <w:right w:val="none" w:sz="0" w:space="0" w:color="auto"/>
      </w:divBdr>
    </w:div>
    <w:div w:id="444153563">
      <w:bodyDiv w:val="1"/>
      <w:marLeft w:val="0"/>
      <w:marRight w:val="0"/>
      <w:marTop w:val="0"/>
      <w:marBottom w:val="0"/>
      <w:divBdr>
        <w:top w:val="none" w:sz="0" w:space="0" w:color="auto"/>
        <w:left w:val="none" w:sz="0" w:space="0" w:color="auto"/>
        <w:bottom w:val="none" w:sz="0" w:space="0" w:color="auto"/>
        <w:right w:val="none" w:sz="0" w:space="0" w:color="auto"/>
      </w:divBdr>
    </w:div>
    <w:div w:id="444231700">
      <w:bodyDiv w:val="1"/>
      <w:marLeft w:val="0"/>
      <w:marRight w:val="0"/>
      <w:marTop w:val="0"/>
      <w:marBottom w:val="0"/>
      <w:divBdr>
        <w:top w:val="none" w:sz="0" w:space="0" w:color="auto"/>
        <w:left w:val="none" w:sz="0" w:space="0" w:color="auto"/>
        <w:bottom w:val="none" w:sz="0" w:space="0" w:color="auto"/>
        <w:right w:val="none" w:sz="0" w:space="0" w:color="auto"/>
      </w:divBdr>
    </w:div>
    <w:div w:id="445270086">
      <w:bodyDiv w:val="1"/>
      <w:marLeft w:val="0"/>
      <w:marRight w:val="0"/>
      <w:marTop w:val="0"/>
      <w:marBottom w:val="0"/>
      <w:divBdr>
        <w:top w:val="none" w:sz="0" w:space="0" w:color="auto"/>
        <w:left w:val="none" w:sz="0" w:space="0" w:color="auto"/>
        <w:bottom w:val="none" w:sz="0" w:space="0" w:color="auto"/>
        <w:right w:val="none" w:sz="0" w:space="0" w:color="auto"/>
      </w:divBdr>
    </w:div>
    <w:div w:id="446702737">
      <w:bodyDiv w:val="1"/>
      <w:marLeft w:val="0"/>
      <w:marRight w:val="0"/>
      <w:marTop w:val="0"/>
      <w:marBottom w:val="0"/>
      <w:divBdr>
        <w:top w:val="none" w:sz="0" w:space="0" w:color="auto"/>
        <w:left w:val="none" w:sz="0" w:space="0" w:color="auto"/>
        <w:bottom w:val="none" w:sz="0" w:space="0" w:color="auto"/>
        <w:right w:val="none" w:sz="0" w:space="0" w:color="auto"/>
      </w:divBdr>
    </w:div>
    <w:div w:id="448398907">
      <w:bodyDiv w:val="1"/>
      <w:marLeft w:val="0"/>
      <w:marRight w:val="0"/>
      <w:marTop w:val="0"/>
      <w:marBottom w:val="0"/>
      <w:divBdr>
        <w:top w:val="none" w:sz="0" w:space="0" w:color="auto"/>
        <w:left w:val="none" w:sz="0" w:space="0" w:color="auto"/>
        <w:bottom w:val="none" w:sz="0" w:space="0" w:color="auto"/>
        <w:right w:val="none" w:sz="0" w:space="0" w:color="auto"/>
      </w:divBdr>
    </w:div>
    <w:div w:id="449278615">
      <w:bodyDiv w:val="1"/>
      <w:marLeft w:val="0"/>
      <w:marRight w:val="0"/>
      <w:marTop w:val="0"/>
      <w:marBottom w:val="0"/>
      <w:divBdr>
        <w:top w:val="none" w:sz="0" w:space="0" w:color="auto"/>
        <w:left w:val="none" w:sz="0" w:space="0" w:color="auto"/>
        <w:bottom w:val="none" w:sz="0" w:space="0" w:color="auto"/>
        <w:right w:val="none" w:sz="0" w:space="0" w:color="auto"/>
      </w:divBdr>
    </w:div>
    <w:div w:id="450826254">
      <w:bodyDiv w:val="1"/>
      <w:marLeft w:val="0"/>
      <w:marRight w:val="0"/>
      <w:marTop w:val="0"/>
      <w:marBottom w:val="0"/>
      <w:divBdr>
        <w:top w:val="none" w:sz="0" w:space="0" w:color="auto"/>
        <w:left w:val="none" w:sz="0" w:space="0" w:color="auto"/>
        <w:bottom w:val="none" w:sz="0" w:space="0" w:color="auto"/>
        <w:right w:val="none" w:sz="0" w:space="0" w:color="auto"/>
      </w:divBdr>
    </w:div>
    <w:div w:id="451441337">
      <w:bodyDiv w:val="1"/>
      <w:marLeft w:val="0"/>
      <w:marRight w:val="0"/>
      <w:marTop w:val="0"/>
      <w:marBottom w:val="0"/>
      <w:divBdr>
        <w:top w:val="none" w:sz="0" w:space="0" w:color="auto"/>
        <w:left w:val="none" w:sz="0" w:space="0" w:color="auto"/>
        <w:bottom w:val="none" w:sz="0" w:space="0" w:color="auto"/>
        <w:right w:val="none" w:sz="0" w:space="0" w:color="auto"/>
      </w:divBdr>
    </w:div>
    <w:div w:id="451483665">
      <w:bodyDiv w:val="1"/>
      <w:marLeft w:val="0"/>
      <w:marRight w:val="0"/>
      <w:marTop w:val="0"/>
      <w:marBottom w:val="0"/>
      <w:divBdr>
        <w:top w:val="none" w:sz="0" w:space="0" w:color="auto"/>
        <w:left w:val="none" w:sz="0" w:space="0" w:color="auto"/>
        <w:bottom w:val="none" w:sz="0" w:space="0" w:color="auto"/>
        <w:right w:val="none" w:sz="0" w:space="0" w:color="auto"/>
      </w:divBdr>
    </w:div>
    <w:div w:id="453863767">
      <w:bodyDiv w:val="1"/>
      <w:marLeft w:val="0"/>
      <w:marRight w:val="0"/>
      <w:marTop w:val="0"/>
      <w:marBottom w:val="0"/>
      <w:divBdr>
        <w:top w:val="none" w:sz="0" w:space="0" w:color="auto"/>
        <w:left w:val="none" w:sz="0" w:space="0" w:color="auto"/>
        <w:bottom w:val="none" w:sz="0" w:space="0" w:color="auto"/>
        <w:right w:val="none" w:sz="0" w:space="0" w:color="auto"/>
      </w:divBdr>
    </w:div>
    <w:div w:id="454257623">
      <w:bodyDiv w:val="1"/>
      <w:marLeft w:val="0"/>
      <w:marRight w:val="0"/>
      <w:marTop w:val="0"/>
      <w:marBottom w:val="0"/>
      <w:divBdr>
        <w:top w:val="none" w:sz="0" w:space="0" w:color="auto"/>
        <w:left w:val="none" w:sz="0" w:space="0" w:color="auto"/>
        <w:bottom w:val="none" w:sz="0" w:space="0" w:color="auto"/>
        <w:right w:val="none" w:sz="0" w:space="0" w:color="auto"/>
      </w:divBdr>
    </w:div>
    <w:div w:id="458883425">
      <w:bodyDiv w:val="1"/>
      <w:marLeft w:val="0"/>
      <w:marRight w:val="0"/>
      <w:marTop w:val="0"/>
      <w:marBottom w:val="0"/>
      <w:divBdr>
        <w:top w:val="none" w:sz="0" w:space="0" w:color="auto"/>
        <w:left w:val="none" w:sz="0" w:space="0" w:color="auto"/>
        <w:bottom w:val="none" w:sz="0" w:space="0" w:color="auto"/>
        <w:right w:val="none" w:sz="0" w:space="0" w:color="auto"/>
      </w:divBdr>
    </w:div>
    <w:div w:id="459762116">
      <w:bodyDiv w:val="1"/>
      <w:marLeft w:val="0"/>
      <w:marRight w:val="0"/>
      <w:marTop w:val="0"/>
      <w:marBottom w:val="0"/>
      <w:divBdr>
        <w:top w:val="none" w:sz="0" w:space="0" w:color="auto"/>
        <w:left w:val="none" w:sz="0" w:space="0" w:color="auto"/>
        <w:bottom w:val="none" w:sz="0" w:space="0" w:color="auto"/>
        <w:right w:val="none" w:sz="0" w:space="0" w:color="auto"/>
      </w:divBdr>
    </w:div>
    <w:div w:id="463083511">
      <w:bodyDiv w:val="1"/>
      <w:marLeft w:val="0"/>
      <w:marRight w:val="0"/>
      <w:marTop w:val="0"/>
      <w:marBottom w:val="0"/>
      <w:divBdr>
        <w:top w:val="none" w:sz="0" w:space="0" w:color="auto"/>
        <w:left w:val="none" w:sz="0" w:space="0" w:color="auto"/>
        <w:bottom w:val="none" w:sz="0" w:space="0" w:color="auto"/>
        <w:right w:val="none" w:sz="0" w:space="0" w:color="auto"/>
      </w:divBdr>
    </w:div>
    <w:div w:id="464541774">
      <w:bodyDiv w:val="1"/>
      <w:marLeft w:val="0"/>
      <w:marRight w:val="0"/>
      <w:marTop w:val="0"/>
      <w:marBottom w:val="0"/>
      <w:divBdr>
        <w:top w:val="none" w:sz="0" w:space="0" w:color="auto"/>
        <w:left w:val="none" w:sz="0" w:space="0" w:color="auto"/>
        <w:bottom w:val="none" w:sz="0" w:space="0" w:color="auto"/>
        <w:right w:val="none" w:sz="0" w:space="0" w:color="auto"/>
      </w:divBdr>
    </w:div>
    <w:div w:id="464812067">
      <w:bodyDiv w:val="1"/>
      <w:marLeft w:val="0"/>
      <w:marRight w:val="0"/>
      <w:marTop w:val="0"/>
      <w:marBottom w:val="0"/>
      <w:divBdr>
        <w:top w:val="none" w:sz="0" w:space="0" w:color="auto"/>
        <w:left w:val="none" w:sz="0" w:space="0" w:color="auto"/>
        <w:bottom w:val="none" w:sz="0" w:space="0" w:color="auto"/>
        <w:right w:val="none" w:sz="0" w:space="0" w:color="auto"/>
      </w:divBdr>
    </w:div>
    <w:div w:id="465590884">
      <w:bodyDiv w:val="1"/>
      <w:marLeft w:val="0"/>
      <w:marRight w:val="0"/>
      <w:marTop w:val="0"/>
      <w:marBottom w:val="0"/>
      <w:divBdr>
        <w:top w:val="none" w:sz="0" w:space="0" w:color="auto"/>
        <w:left w:val="none" w:sz="0" w:space="0" w:color="auto"/>
        <w:bottom w:val="none" w:sz="0" w:space="0" w:color="auto"/>
        <w:right w:val="none" w:sz="0" w:space="0" w:color="auto"/>
      </w:divBdr>
    </w:div>
    <w:div w:id="465663874">
      <w:bodyDiv w:val="1"/>
      <w:marLeft w:val="0"/>
      <w:marRight w:val="0"/>
      <w:marTop w:val="0"/>
      <w:marBottom w:val="0"/>
      <w:divBdr>
        <w:top w:val="none" w:sz="0" w:space="0" w:color="auto"/>
        <w:left w:val="none" w:sz="0" w:space="0" w:color="auto"/>
        <w:bottom w:val="none" w:sz="0" w:space="0" w:color="auto"/>
        <w:right w:val="none" w:sz="0" w:space="0" w:color="auto"/>
      </w:divBdr>
    </w:div>
    <w:div w:id="466823196">
      <w:bodyDiv w:val="1"/>
      <w:marLeft w:val="0"/>
      <w:marRight w:val="0"/>
      <w:marTop w:val="0"/>
      <w:marBottom w:val="0"/>
      <w:divBdr>
        <w:top w:val="none" w:sz="0" w:space="0" w:color="auto"/>
        <w:left w:val="none" w:sz="0" w:space="0" w:color="auto"/>
        <w:bottom w:val="none" w:sz="0" w:space="0" w:color="auto"/>
        <w:right w:val="none" w:sz="0" w:space="0" w:color="auto"/>
      </w:divBdr>
    </w:div>
    <w:div w:id="467865256">
      <w:bodyDiv w:val="1"/>
      <w:marLeft w:val="0"/>
      <w:marRight w:val="0"/>
      <w:marTop w:val="0"/>
      <w:marBottom w:val="0"/>
      <w:divBdr>
        <w:top w:val="none" w:sz="0" w:space="0" w:color="auto"/>
        <w:left w:val="none" w:sz="0" w:space="0" w:color="auto"/>
        <w:bottom w:val="none" w:sz="0" w:space="0" w:color="auto"/>
        <w:right w:val="none" w:sz="0" w:space="0" w:color="auto"/>
      </w:divBdr>
    </w:div>
    <w:div w:id="468330600">
      <w:bodyDiv w:val="1"/>
      <w:marLeft w:val="0"/>
      <w:marRight w:val="0"/>
      <w:marTop w:val="0"/>
      <w:marBottom w:val="0"/>
      <w:divBdr>
        <w:top w:val="none" w:sz="0" w:space="0" w:color="auto"/>
        <w:left w:val="none" w:sz="0" w:space="0" w:color="auto"/>
        <w:bottom w:val="none" w:sz="0" w:space="0" w:color="auto"/>
        <w:right w:val="none" w:sz="0" w:space="0" w:color="auto"/>
      </w:divBdr>
    </w:div>
    <w:div w:id="469638219">
      <w:bodyDiv w:val="1"/>
      <w:marLeft w:val="0"/>
      <w:marRight w:val="0"/>
      <w:marTop w:val="0"/>
      <w:marBottom w:val="0"/>
      <w:divBdr>
        <w:top w:val="none" w:sz="0" w:space="0" w:color="auto"/>
        <w:left w:val="none" w:sz="0" w:space="0" w:color="auto"/>
        <w:bottom w:val="none" w:sz="0" w:space="0" w:color="auto"/>
        <w:right w:val="none" w:sz="0" w:space="0" w:color="auto"/>
      </w:divBdr>
    </w:div>
    <w:div w:id="472328722">
      <w:bodyDiv w:val="1"/>
      <w:marLeft w:val="0"/>
      <w:marRight w:val="0"/>
      <w:marTop w:val="0"/>
      <w:marBottom w:val="0"/>
      <w:divBdr>
        <w:top w:val="none" w:sz="0" w:space="0" w:color="auto"/>
        <w:left w:val="none" w:sz="0" w:space="0" w:color="auto"/>
        <w:bottom w:val="none" w:sz="0" w:space="0" w:color="auto"/>
        <w:right w:val="none" w:sz="0" w:space="0" w:color="auto"/>
      </w:divBdr>
    </w:div>
    <w:div w:id="472914325">
      <w:bodyDiv w:val="1"/>
      <w:marLeft w:val="0"/>
      <w:marRight w:val="0"/>
      <w:marTop w:val="0"/>
      <w:marBottom w:val="0"/>
      <w:divBdr>
        <w:top w:val="none" w:sz="0" w:space="0" w:color="auto"/>
        <w:left w:val="none" w:sz="0" w:space="0" w:color="auto"/>
        <w:bottom w:val="none" w:sz="0" w:space="0" w:color="auto"/>
        <w:right w:val="none" w:sz="0" w:space="0" w:color="auto"/>
      </w:divBdr>
    </w:div>
    <w:div w:id="476461697">
      <w:bodyDiv w:val="1"/>
      <w:marLeft w:val="0"/>
      <w:marRight w:val="0"/>
      <w:marTop w:val="0"/>
      <w:marBottom w:val="0"/>
      <w:divBdr>
        <w:top w:val="none" w:sz="0" w:space="0" w:color="auto"/>
        <w:left w:val="none" w:sz="0" w:space="0" w:color="auto"/>
        <w:bottom w:val="none" w:sz="0" w:space="0" w:color="auto"/>
        <w:right w:val="none" w:sz="0" w:space="0" w:color="auto"/>
      </w:divBdr>
    </w:div>
    <w:div w:id="477188494">
      <w:bodyDiv w:val="1"/>
      <w:marLeft w:val="0"/>
      <w:marRight w:val="0"/>
      <w:marTop w:val="0"/>
      <w:marBottom w:val="0"/>
      <w:divBdr>
        <w:top w:val="none" w:sz="0" w:space="0" w:color="auto"/>
        <w:left w:val="none" w:sz="0" w:space="0" w:color="auto"/>
        <w:bottom w:val="none" w:sz="0" w:space="0" w:color="auto"/>
        <w:right w:val="none" w:sz="0" w:space="0" w:color="auto"/>
      </w:divBdr>
    </w:div>
    <w:div w:id="477378411">
      <w:bodyDiv w:val="1"/>
      <w:marLeft w:val="0"/>
      <w:marRight w:val="0"/>
      <w:marTop w:val="0"/>
      <w:marBottom w:val="0"/>
      <w:divBdr>
        <w:top w:val="none" w:sz="0" w:space="0" w:color="auto"/>
        <w:left w:val="none" w:sz="0" w:space="0" w:color="auto"/>
        <w:bottom w:val="none" w:sz="0" w:space="0" w:color="auto"/>
        <w:right w:val="none" w:sz="0" w:space="0" w:color="auto"/>
      </w:divBdr>
    </w:div>
    <w:div w:id="478156912">
      <w:bodyDiv w:val="1"/>
      <w:marLeft w:val="0"/>
      <w:marRight w:val="0"/>
      <w:marTop w:val="0"/>
      <w:marBottom w:val="0"/>
      <w:divBdr>
        <w:top w:val="none" w:sz="0" w:space="0" w:color="auto"/>
        <w:left w:val="none" w:sz="0" w:space="0" w:color="auto"/>
        <w:bottom w:val="none" w:sz="0" w:space="0" w:color="auto"/>
        <w:right w:val="none" w:sz="0" w:space="0" w:color="auto"/>
      </w:divBdr>
    </w:div>
    <w:div w:id="478496894">
      <w:bodyDiv w:val="1"/>
      <w:marLeft w:val="0"/>
      <w:marRight w:val="0"/>
      <w:marTop w:val="0"/>
      <w:marBottom w:val="0"/>
      <w:divBdr>
        <w:top w:val="none" w:sz="0" w:space="0" w:color="auto"/>
        <w:left w:val="none" w:sz="0" w:space="0" w:color="auto"/>
        <w:bottom w:val="none" w:sz="0" w:space="0" w:color="auto"/>
        <w:right w:val="none" w:sz="0" w:space="0" w:color="auto"/>
      </w:divBdr>
    </w:div>
    <w:div w:id="478808216">
      <w:bodyDiv w:val="1"/>
      <w:marLeft w:val="0"/>
      <w:marRight w:val="0"/>
      <w:marTop w:val="0"/>
      <w:marBottom w:val="0"/>
      <w:divBdr>
        <w:top w:val="none" w:sz="0" w:space="0" w:color="auto"/>
        <w:left w:val="none" w:sz="0" w:space="0" w:color="auto"/>
        <w:bottom w:val="none" w:sz="0" w:space="0" w:color="auto"/>
        <w:right w:val="none" w:sz="0" w:space="0" w:color="auto"/>
      </w:divBdr>
    </w:div>
    <w:div w:id="481427667">
      <w:bodyDiv w:val="1"/>
      <w:marLeft w:val="0"/>
      <w:marRight w:val="0"/>
      <w:marTop w:val="0"/>
      <w:marBottom w:val="0"/>
      <w:divBdr>
        <w:top w:val="none" w:sz="0" w:space="0" w:color="auto"/>
        <w:left w:val="none" w:sz="0" w:space="0" w:color="auto"/>
        <w:bottom w:val="none" w:sz="0" w:space="0" w:color="auto"/>
        <w:right w:val="none" w:sz="0" w:space="0" w:color="auto"/>
      </w:divBdr>
    </w:div>
    <w:div w:id="483929907">
      <w:bodyDiv w:val="1"/>
      <w:marLeft w:val="0"/>
      <w:marRight w:val="0"/>
      <w:marTop w:val="0"/>
      <w:marBottom w:val="0"/>
      <w:divBdr>
        <w:top w:val="none" w:sz="0" w:space="0" w:color="auto"/>
        <w:left w:val="none" w:sz="0" w:space="0" w:color="auto"/>
        <w:bottom w:val="none" w:sz="0" w:space="0" w:color="auto"/>
        <w:right w:val="none" w:sz="0" w:space="0" w:color="auto"/>
      </w:divBdr>
    </w:div>
    <w:div w:id="484511269">
      <w:bodyDiv w:val="1"/>
      <w:marLeft w:val="0"/>
      <w:marRight w:val="0"/>
      <w:marTop w:val="0"/>
      <w:marBottom w:val="0"/>
      <w:divBdr>
        <w:top w:val="none" w:sz="0" w:space="0" w:color="auto"/>
        <w:left w:val="none" w:sz="0" w:space="0" w:color="auto"/>
        <w:bottom w:val="none" w:sz="0" w:space="0" w:color="auto"/>
        <w:right w:val="none" w:sz="0" w:space="0" w:color="auto"/>
      </w:divBdr>
    </w:div>
    <w:div w:id="486435424">
      <w:bodyDiv w:val="1"/>
      <w:marLeft w:val="0"/>
      <w:marRight w:val="0"/>
      <w:marTop w:val="0"/>
      <w:marBottom w:val="0"/>
      <w:divBdr>
        <w:top w:val="none" w:sz="0" w:space="0" w:color="auto"/>
        <w:left w:val="none" w:sz="0" w:space="0" w:color="auto"/>
        <w:bottom w:val="none" w:sz="0" w:space="0" w:color="auto"/>
        <w:right w:val="none" w:sz="0" w:space="0" w:color="auto"/>
      </w:divBdr>
    </w:div>
    <w:div w:id="487020063">
      <w:bodyDiv w:val="1"/>
      <w:marLeft w:val="0"/>
      <w:marRight w:val="0"/>
      <w:marTop w:val="0"/>
      <w:marBottom w:val="0"/>
      <w:divBdr>
        <w:top w:val="none" w:sz="0" w:space="0" w:color="auto"/>
        <w:left w:val="none" w:sz="0" w:space="0" w:color="auto"/>
        <w:bottom w:val="none" w:sz="0" w:space="0" w:color="auto"/>
        <w:right w:val="none" w:sz="0" w:space="0" w:color="auto"/>
      </w:divBdr>
    </w:div>
    <w:div w:id="487553650">
      <w:bodyDiv w:val="1"/>
      <w:marLeft w:val="0"/>
      <w:marRight w:val="0"/>
      <w:marTop w:val="0"/>
      <w:marBottom w:val="0"/>
      <w:divBdr>
        <w:top w:val="none" w:sz="0" w:space="0" w:color="auto"/>
        <w:left w:val="none" w:sz="0" w:space="0" w:color="auto"/>
        <w:bottom w:val="none" w:sz="0" w:space="0" w:color="auto"/>
        <w:right w:val="none" w:sz="0" w:space="0" w:color="auto"/>
      </w:divBdr>
    </w:div>
    <w:div w:id="489255769">
      <w:bodyDiv w:val="1"/>
      <w:marLeft w:val="0"/>
      <w:marRight w:val="0"/>
      <w:marTop w:val="0"/>
      <w:marBottom w:val="0"/>
      <w:divBdr>
        <w:top w:val="none" w:sz="0" w:space="0" w:color="auto"/>
        <w:left w:val="none" w:sz="0" w:space="0" w:color="auto"/>
        <w:bottom w:val="none" w:sz="0" w:space="0" w:color="auto"/>
        <w:right w:val="none" w:sz="0" w:space="0" w:color="auto"/>
      </w:divBdr>
    </w:div>
    <w:div w:id="494272589">
      <w:bodyDiv w:val="1"/>
      <w:marLeft w:val="0"/>
      <w:marRight w:val="0"/>
      <w:marTop w:val="0"/>
      <w:marBottom w:val="0"/>
      <w:divBdr>
        <w:top w:val="none" w:sz="0" w:space="0" w:color="auto"/>
        <w:left w:val="none" w:sz="0" w:space="0" w:color="auto"/>
        <w:bottom w:val="none" w:sz="0" w:space="0" w:color="auto"/>
        <w:right w:val="none" w:sz="0" w:space="0" w:color="auto"/>
      </w:divBdr>
    </w:div>
    <w:div w:id="494497143">
      <w:bodyDiv w:val="1"/>
      <w:marLeft w:val="0"/>
      <w:marRight w:val="0"/>
      <w:marTop w:val="0"/>
      <w:marBottom w:val="0"/>
      <w:divBdr>
        <w:top w:val="none" w:sz="0" w:space="0" w:color="auto"/>
        <w:left w:val="none" w:sz="0" w:space="0" w:color="auto"/>
        <w:bottom w:val="none" w:sz="0" w:space="0" w:color="auto"/>
        <w:right w:val="none" w:sz="0" w:space="0" w:color="auto"/>
      </w:divBdr>
    </w:div>
    <w:div w:id="494760877">
      <w:bodyDiv w:val="1"/>
      <w:marLeft w:val="0"/>
      <w:marRight w:val="0"/>
      <w:marTop w:val="0"/>
      <w:marBottom w:val="0"/>
      <w:divBdr>
        <w:top w:val="none" w:sz="0" w:space="0" w:color="auto"/>
        <w:left w:val="none" w:sz="0" w:space="0" w:color="auto"/>
        <w:bottom w:val="none" w:sz="0" w:space="0" w:color="auto"/>
        <w:right w:val="none" w:sz="0" w:space="0" w:color="auto"/>
      </w:divBdr>
    </w:div>
    <w:div w:id="497228343">
      <w:bodyDiv w:val="1"/>
      <w:marLeft w:val="0"/>
      <w:marRight w:val="0"/>
      <w:marTop w:val="0"/>
      <w:marBottom w:val="0"/>
      <w:divBdr>
        <w:top w:val="none" w:sz="0" w:space="0" w:color="auto"/>
        <w:left w:val="none" w:sz="0" w:space="0" w:color="auto"/>
        <w:bottom w:val="none" w:sz="0" w:space="0" w:color="auto"/>
        <w:right w:val="none" w:sz="0" w:space="0" w:color="auto"/>
      </w:divBdr>
    </w:div>
    <w:div w:id="497890156">
      <w:bodyDiv w:val="1"/>
      <w:marLeft w:val="0"/>
      <w:marRight w:val="0"/>
      <w:marTop w:val="0"/>
      <w:marBottom w:val="0"/>
      <w:divBdr>
        <w:top w:val="none" w:sz="0" w:space="0" w:color="auto"/>
        <w:left w:val="none" w:sz="0" w:space="0" w:color="auto"/>
        <w:bottom w:val="none" w:sz="0" w:space="0" w:color="auto"/>
        <w:right w:val="none" w:sz="0" w:space="0" w:color="auto"/>
      </w:divBdr>
    </w:div>
    <w:div w:id="499276272">
      <w:bodyDiv w:val="1"/>
      <w:marLeft w:val="0"/>
      <w:marRight w:val="0"/>
      <w:marTop w:val="0"/>
      <w:marBottom w:val="0"/>
      <w:divBdr>
        <w:top w:val="none" w:sz="0" w:space="0" w:color="auto"/>
        <w:left w:val="none" w:sz="0" w:space="0" w:color="auto"/>
        <w:bottom w:val="none" w:sz="0" w:space="0" w:color="auto"/>
        <w:right w:val="none" w:sz="0" w:space="0" w:color="auto"/>
      </w:divBdr>
    </w:div>
    <w:div w:id="500971439">
      <w:bodyDiv w:val="1"/>
      <w:marLeft w:val="0"/>
      <w:marRight w:val="0"/>
      <w:marTop w:val="0"/>
      <w:marBottom w:val="0"/>
      <w:divBdr>
        <w:top w:val="none" w:sz="0" w:space="0" w:color="auto"/>
        <w:left w:val="none" w:sz="0" w:space="0" w:color="auto"/>
        <w:bottom w:val="none" w:sz="0" w:space="0" w:color="auto"/>
        <w:right w:val="none" w:sz="0" w:space="0" w:color="auto"/>
      </w:divBdr>
    </w:div>
    <w:div w:id="503980160">
      <w:bodyDiv w:val="1"/>
      <w:marLeft w:val="0"/>
      <w:marRight w:val="0"/>
      <w:marTop w:val="0"/>
      <w:marBottom w:val="0"/>
      <w:divBdr>
        <w:top w:val="none" w:sz="0" w:space="0" w:color="auto"/>
        <w:left w:val="none" w:sz="0" w:space="0" w:color="auto"/>
        <w:bottom w:val="none" w:sz="0" w:space="0" w:color="auto"/>
        <w:right w:val="none" w:sz="0" w:space="0" w:color="auto"/>
      </w:divBdr>
    </w:div>
    <w:div w:id="504898374">
      <w:bodyDiv w:val="1"/>
      <w:marLeft w:val="0"/>
      <w:marRight w:val="0"/>
      <w:marTop w:val="0"/>
      <w:marBottom w:val="0"/>
      <w:divBdr>
        <w:top w:val="none" w:sz="0" w:space="0" w:color="auto"/>
        <w:left w:val="none" w:sz="0" w:space="0" w:color="auto"/>
        <w:bottom w:val="none" w:sz="0" w:space="0" w:color="auto"/>
        <w:right w:val="none" w:sz="0" w:space="0" w:color="auto"/>
      </w:divBdr>
    </w:div>
    <w:div w:id="504903134">
      <w:bodyDiv w:val="1"/>
      <w:marLeft w:val="0"/>
      <w:marRight w:val="0"/>
      <w:marTop w:val="0"/>
      <w:marBottom w:val="0"/>
      <w:divBdr>
        <w:top w:val="none" w:sz="0" w:space="0" w:color="auto"/>
        <w:left w:val="none" w:sz="0" w:space="0" w:color="auto"/>
        <w:bottom w:val="none" w:sz="0" w:space="0" w:color="auto"/>
        <w:right w:val="none" w:sz="0" w:space="0" w:color="auto"/>
      </w:divBdr>
    </w:div>
    <w:div w:id="506748443">
      <w:bodyDiv w:val="1"/>
      <w:marLeft w:val="0"/>
      <w:marRight w:val="0"/>
      <w:marTop w:val="0"/>
      <w:marBottom w:val="0"/>
      <w:divBdr>
        <w:top w:val="none" w:sz="0" w:space="0" w:color="auto"/>
        <w:left w:val="none" w:sz="0" w:space="0" w:color="auto"/>
        <w:bottom w:val="none" w:sz="0" w:space="0" w:color="auto"/>
        <w:right w:val="none" w:sz="0" w:space="0" w:color="auto"/>
      </w:divBdr>
    </w:div>
    <w:div w:id="507135295">
      <w:bodyDiv w:val="1"/>
      <w:marLeft w:val="0"/>
      <w:marRight w:val="0"/>
      <w:marTop w:val="0"/>
      <w:marBottom w:val="0"/>
      <w:divBdr>
        <w:top w:val="none" w:sz="0" w:space="0" w:color="auto"/>
        <w:left w:val="none" w:sz="0" w:space="0" w:color="auto"/>
        <w:bottom w:val="none" w:sz="0" w:space="0" w:color="auto"/>
        <w:right w:val="none" w:sz="0" w:space="0" w:color="auto"/>
      </w:divBdr>
    </w:div>
    <w:div w:id="507600969">
      <w:bodyDiv w:val="1"/>
      <w:marLeft w:val="0"/>
      <w:marRight w:val="0"/>
      <w:marTop w:val="0"/>
      <w:marBottom w:val="0"/>
      <w:divBdr>
        <w:top w:val="none" w:sz="0" w:space="0" w:color="auto"/>
        <w:left w:val="none" w:sz="0" w:space="0" w:color="auto"/>
        <w:bottom w:val="none" w:sz="0" w:space="0" w:color="auto"/>
        <w:right w:val="none" w:sz="0" w:space="0" w:color="auto"/>
      </w:divBdr>
    </w:div>
    <w:div w:id="507907620">
      <w:bodyDiv w:val="1"/>
      <w:marLeft w:val="0"/>
      <w:marRight w:val="0"/>
      <w:marTop w:val="0"/>
      <w:marBottom w:val="0"/>
      <w:divBdr>
        <w:top w:val="none" w:sz="0" w:space="0" w:color="auto"/>
        <w:left w:val="none" w:sz="0" w:space="0" w:color="auto"/>
        <w:bottom w:val="none" w:sz="0" w:space="0" w:color="auto"/>
        <w:right w:val="none" w:sz="0" w:space="0" w:color="auto"/>
      </w:divBdr>
    </w:div>
    <w:div w:id="513034476">
      <w:bodyDiv w:val="1"/>
      <w:marLeft w:val="0"/>
      <w:marRight w:val="0"/>
      <w:marTop w:val="0"/>
      <w:marBottom w:val="0"/>
      <w:divBdr>
        <w:top w:val="none" w:sz="0" w:space="0" w:color="auto"/>
        <w:left w:val="none" w:sz="0" w:space="0" w:color="auto"/>
        <w:bottom w:val="none" w:sz="0" w:space="0" w:color="auto"/>
        <w:right w:val="none" w:sz="0" w:space="0" w:color="auto"/>
      </w:divBdr>
    </w:div>
    <w:div w:id="513571874">
      <w:bodyDiv w:val="1"/>
      <w:marLeft w:val="0"/>
      <w:marRight w:val="0"/>
      <w:marTop w:val="0"/>
      <w:marBottom w:val="0"/>
      <w:divBdr>
        <w:top w:val="none" w:sz="0" w:space="0" w:color="auto"/>
        <w:left w:val="none" w:sz="0" w:space="0" w:color="auto"/>
        <w:bottom w:val="none" w:sz="0" w:space="0" w:color="auto"/>
        <w:right w:val="none" w:sz="0" w:space="0" w:color="auto"/>
      </w:divBdr>
    </w:div>
    <w:div w:id="514031182">
      <w:bodyDiv w:val="1"/>
      <w:marLeft w:val="0"/>
      <w:marRight w:val="0"/>
      <w:marTop w:val="0"/>
      <w:marBottom w:val="0"/>
      <w:divBdr>
        <w:top w:val="none" w:sz="0" w:space="0" w:color="auto"/>
        <w:left w:val="none" w:sz="0" w:space="0" w:color="auto"/>
        <w:bottom w:val="none" w:sz="0" w:space="0" w:color="auto"/>
        <w:right w:val="none" w:sz="0" w:space="0" w:color="auto"/>
      </w:divBdr>
    </w:div>
    <w:div w:id="514467465">
      <w:bodyDiv w:val="1"/>
      <w:marLeft w:val="0"/>
      <w:marRight w:val="0"/>
      <w:marTop w:val="0"/>
      <w:marBottom w:val="0"/>
      <w:divBdr>
        <w:top w:val="none" w:sz="0" w:space="0" w:color="auto"/>
        <w:left w:val="none" w:sz="0" w:space="0" w:color="auto"/>
        <w:bottom w:val="none" w:sz="0" w:space="0" w:color="auto"/>
        <w:right w:val="none" w:sz="0" w:space="0" w:color="auto"/>
      </w:divBdr>
    </w:div>
    <w:div w:id="515467016">
      <w:bodyDiv w:val="1"/>
      <w:marLeft w:val="0"/>
      <w:marRight w:val="0"/>
      <w:marTop w:val="0"/>
      <w:marBottom w:val="0"/>
      <w:divBdr>
        <w:top w:val="none" w:sz="0" w:space="0" w:color="auto"/>
        <w:left w:val="none" w:sz="0" w:space="0" w:color="auto"/>
        <w:bottom w:val="none" w:sz="0" w:space="0" w:color="auto"/>
        <w:right w:val="none" w:sz="0" w:space="0" w:color="auto"/>
      </w:divBdr>
    </w:div>
    <w:div w:id="516113470">
      <w:bodyDiv w:val="1"/>
      <w:marLeft w:val="0"/>
      <w:marRight w:val="0"/>
      <w:marTop w:val="0"/>
      <w:marBottom w:val="0"/>
      <w:divBdr>
        <w:top w:val="none" w:sz="0" w:space="0" w:color="auto"/>
        <w:left w:val="none" w:sz="0" w:space="0" w:color="auto"/>
        <w:bottom w:val="none" w:sz="0" w:space="0" w:color="auto"/>
        <w:right w:val="none" w:sz="0" w:space="0" w:color="auto"/>
      </w:divBdr>
    </w:div>
    <w:div w:id="516770157">
      <w:bodyDiv w:val="1"/>
      <w:marLeft w:val="0"/>
      <w:marRight w:val="0"/>
      <w:marTop w:val="0"/>
      <w:marBottom w:val="0"/>
      <w:divBdr>
        <w:top w:val="none" w:sz="0" w:space="0" w:color="auto"/>
        <w:left w:val="none" w:sz="0" w:space="0" w:color="auto"/>
        <w:bottom w:val="none" w:sz="0" w:space="0" w:color="auto"/>
        <w:right w:val="none" w:sz="0" w:space="0" w:color="auto"/>
      </w:divBdr>
    </w:div>
    <w:div w:id="517739236">
      <w:bodyDiv w:val="1"/>
      <w:marLeft w:val="0"/>
      <w:marRight w:val="0"/>
      <w:marTop w:val="0"/>
      <w:marBottom w:val="0"/>
      <w:divBdr>
        <w:top w:val="none" w:sz="0" w:space="0" w:color="auto"/>
        <w:left w:val="none" w:sz="0" w:space="0" w:color="auto"/>
        <w:bottom w:val="none" w:sz="0" w:space="0" w:color="auto"/>
        <w:right w:val="none" w:sz="0" w:space="0" w:color="auto"/>
      </w:divBdr>
    </w:div>
    <w:div w:id="518158517">
      <w:bodyDiv w:val="1"/>
      <w:marLeft w:val="0"/>
      <w:marRight w:val="0"/>
      <w:marTop w:val="0"/>
      <w:marBottom w:val="0"/>
      <w:divBdr>
        <w:top w:val="none" w:sz="0" w:space="0" w:color="auto"/>
        <w:left w:val="none" w:sz="0" w:space="0" w:color="auto"/>
        <w:bottom w:val="none" w:sz="0" w:space="0" w:color="auto"/>
        <w:right w:val="none" w:sz="0" w:space="0" w:color="auto"/>
      </w:divBdr>
    </w:div>
    <w:div w:id="523328541">
      <w:bodyDiv w:val="1"/>
      <w:marLeft w:val="0"/>
      <w:marRight w:val="0"/>
      <w:marTop w:val="0"/>
      <w:marBottom w:val="0"/>
      <w:divBdr>
        <w:top w:val="none" w:sz="0" w:space="0" w:color="auto"/>
        <w:left w:val="none" w:sz="0" w:space="0" w:color="auto"/>
        <w:bottom w:val="none" w:sz="0" w:space="0" w:color="auto"/>
        <w:right w:val="none" w:sz="0" w:space="0" w:color="auto"/>
      </w:divBdr>
    </w:div>
    <w:div w:id="525100662">
      <w:bodyDiv w:val="1"/>
      <w:marLeft w:val="0"/>
      <w:marRight w:val="0"/>
      <w:marTop w:val="0"/>
      <w:marBottom w:val="0"/>
      <w:divBdr>
        <w:top w:val="none" w:sz="0" w:space="0" w:color="auto"/>
        <w:left w:val="none" w:sz="0" w:space="0" w:color="auto"/>
        <w:bottom w:val="none" w:sz="0" w:space="0" w:color="auto"/>
        <w:right w:val="none" w:sz="0" w:space="0" w:color="auto"/>
      </w:divBdr>
    </w:div>
    <w:div w:id="526791593">
      <w:bodyDiv w:val="1"/>
      <w:marLeft w:val="0"/>
      <w:marRight w:val="0"/>
      <w:marTop w:val="0"/>
      <w:marBottom w:val="0"/>
      <w:divBdr>
        <w:top w:val="none" w:sz="0" w:space="0" w:color="auto"/>
        <w:left w:val="none" w:sz="0" w:space="0" w:color="auto"/>
        <w:bottom w:val="none" w:sz="0" w:space="0" w:color="auto"/>
        <w:right w:val="none" w:sz="0" w:space="0" w:color="auto"/>
      </w:divBdr>
    </w:div>
    <w:div w:id="528033710">
      <w:bodyDiv w:val="1"/>
      <w:marLeft w:val="0"/>
      <w:marRight w:val="0"/>
      <w:marTop w:val="0"/>
      <w:marBottom w:val="0"/>
      <w:divBdr>
        <w:top w:val="none" w:sz="0" w:space="0" w:color="auto"/>
        <w:left w:val="none" w:sz="0" w:space="0" w:color="auto"/>
        <w:bottom w:val="none" w:sz="0" w:space="0" w:color="auto"/>
        <w:right w:val="none" w:sz="0" w:space="0" w:color="auto"/>
      </w:divBdr>
    </w:div>
    <w:div w:id="528297868">
      <w:bodyDiv w:val="1"/>
      <w:marLeft w:val="0"/>
      <w:marRight w:val="0"/>
      <w:marTop w:val="0"/>
      <w:marBottom w:val="0"/>
      <w:divBdr>
        <w:top w:val="none" w:sz="0" w:space="0" w:color="auto"/>
        <w:left w:val="none" w:sz="0" w:space="0" w:color="auto"/>
        <w:bottom w:val="none" w:sz="0" w:space="0" w:color="auto"/>
        <w:right w:val="none" w:sz="0" w:space="0" w:color="auto"/>
      </w:divBdr>
    </w:div>
    <w:div w:id="528370345">
      <w:bodyDiv w:val="1"/>
      <w:marLeft w:val="0"/>
      <w:marRight w:val="0"/>
      <w:marTop w:val="0"/>
      <w:marBottom w:val="0"/>
      <w:divBdr>
        <w:top w:val="none" w:sz="0" w:space="0" w:color="auto"/>
        <w:left w:val="none" w:sz="0" w:space="0" w:color="auto"/>
        <w:bottom w:val="none" w:sz="0" w:space="0" w:color="auto"/>
        <w:right w:val="none" w:sz="0" w:space="0" w:color="auto"/>
      </w:divBdr>
    </w:div>
    <w:div w:id="530000313">
      <w:bodyDiv w:val="1"/>
      <w:marLeft w:val="0"/>
      <w:marRight w:val="0"/>
      <w:marTop w:val="0"/>
      <w:marBottom w:val="0"/>
      <w:divBdr>
        <w:top w:val="none" w:sz="0" w:space="0" w:color="auto"/>
        <w:left w:val="none" w:sz="0" w:space="0" w:color="auto"/>
        <w:bottom w:val="none" w:sz="0" w:space="0" w:color="auto"/>
        <w:right w:val="none" w:sz="0" w:space="0" w:color="auto"/>
      </w:divBdr>
    </w:div>
    <w:div w:id="536502883">
      <w:bodyDiv w:val="1"/>
      <w:marLeft w:val="0"/>
      <w:marRight w:val="0"/>
      <w:marTop w:val="0"/>
      <w:marBottom w:val="0"/>
      <w:divBdr>
        <w:top w:val="none" w:sz="0" w:space="0" w:color="auto"/>
        <w:left w:val="none" w:sz="0" w:space="0" w:color="auto"/>
        <w:bottom w:val="none" w:sz="0" w:space="0" w:color="auto"/>
        <w:right w:val="none" w:sz="0" w:space="0" w:color="auto"/>
      </w:divBdr>
    </w:div>
    <w:div w:id="537546058">
      <w:bodyDiv w:val="1"/>
      <w:marLeft w:val="0"/>
      <w:marRight w:val="0"/>
      <w:marTop w:val="0"/>
      <w:marBottom w:val="0"/>
      <w:divBdr>
        <w:top w:val="none" w:sz="0" w:space="0" w:color="auto"/>
        <w:left w:val="none" w:sz="0" w:space="0" w:color="auto"/>
        <w:bottom w:val="none" w:sz="0" w:space="0" w:color="auto"/>
        <w:right w:val="none" w:sz="0" w:space="0" w:color="auto"/>
      </w:divBdr>
    </w:div>
    <w:div w:id="537939543">
      <w:bodyDiv w:val="1"/>
      <w:marLeft w:val="0"/>
      <w:marRight w:val="0"/>
      <w:marTop w:val="0"/>
      <w:marBottom w:val="0"/>
      <w:divBdr>
        <w:top w:val="none" w:sz="0" w:space="0" w:color="auto"/>
        <w:left w:val="none" w:sz="0" w:space="0" w:color="auto"/>
        <w:bottom w:val="none" w:sz="0" w:space="0" w:color="auto"/>
        <w:right w:val="none" w:sz="0" w:space="0" w:color="auto"/>
      </w:divBdr>
    </w:div>
    <w:div w:id="539586538">
      <w:bodyDiv w:val="1"/>
      <w:marLeft w:val="0"/>
      <w:marRight w:val="0"/>
      <w:marTop w:val="0"/>
      <w:marBottom w:val="0"/>
      <w:divBdr>
        <w:top w:val="none" w:sz="0" w:space="0" w:color="auto"/>
        <w:left w:val="none" w:sz="0" w:space="0" w:color="auto"/>
        <w:bottom w:val="none" w:sz="0" w:space="0" w:color="auto"/>
        <w:right w:val="none" w:sz="0" w:space="0" w:color="auto"/>
      </w:divBdr>
    </w:div>
    <w:div w:id="539903614">
      <w:bodyDiv w:val="1"/>
      <w:marLeft w:val="0"/>
      <w:marRight w:val="0"/>
      <w:marTop w:val="0"/>
      <w:marBottom w:val="0"/>
      <w:divBdr>
        <w:top w:val="none" w:sz="0" w:space="0" w:color="auto"/>
        <w:left w:val="none" w:sz="0" w:space="0" w:color="auto"/>
        <w:bottom w:val="none" w:sz="0" w:space="0" w:color="auto"/>
        <w:right w:val="none" w:sz="0" w:space="0" w:color="auto"/>
      </w:divBdr>
    </w:div>
    <w:div w:id="540096870">
      <w:bodyDiv w:val="1"/>
      <w:marLeft w:val="0"/>
      <w:marRight w:val="0"/>
      <w:marTop w:val="0"/>
      <w:marBottom w:val="0"/>
      <w:divBdr>
        <w:top w:val="none" w:sz="0" w:space="0" w:color="auto"/>
        <w:left w:val="none" w:sz="0" w:space="0" w:color="auto"/>
        <w:bottom w:val="none" w:sz="0" w:space="0" w:color="auto"/>
        <w:right w:val="none" w:sz="0" w:space="0" w:color="auto"/>
      </w:divBdr>
    </w:div>
    <w:div w:id="542137759">
      <w:bodyDiv w:val="1"/>
      <w:marLeft w:val="0"/>
      <w:marRight w:val="0"/>
      <w:marTop w:val="0"/>
      <w:marBottom w:val="0"/>
      <w:divBdr>
        <w:top w:val="none" w:sz="0" w:space="0" w:color="auto"/>
        <w:left w:val="none" w:sz="0" w:space="0" w:color="auto"/>
        <w:bottom w:val="none" w:sz="0" w:space="0" w:color="auto"/>
        <w:right w:val="none" w:sz="0" w:space="0" w:color="auto"/>
      </w:divBdr>
    </w:div>
    <w:div w:id="545219981">
      <w:bodyDiv w:val="1"/>
      <w:marLeft w:val="0"/>
      <w:marRight w:val="0"/>
      <w:marTop w:val="0"/>
      <w:marBottom w:val="0"/>
      <w:divBdr>
        <w:top w:val="none" w:sz="0" w:space="0" w:color="auto"/>
        <w:left w:val="none" w:sz="0" w:space="0" w:color="auto"/>
        <w:bottom w:val="none" w:sz="0" w:space="0" w:color="auto"/>
        <w:right w:val="none" w:sz="0" w:space="0" w:color="auto"/>
      </w:divBdr>
    </w:div>
    <w:div w:id="549268559">
      <w:bodyDiv w:val="1"/>
      <w:marLeft w:val="0"/>
      <w:marRight w:val="0"/>
      <w:marTop w:val="0"/>
      <w:marBottom w:val="0"/>
      <w:divBdr>
        <w:top w:val="none" w:sz="0" w:space="0" w:color="auto"/>
        <w:left w:val="none" w:sz="0" w:space="0" w:color="auto"/>
        <w:bottom w:val="none" w:sz="0" w:space="0" w:color="auto"/>
        <w:right w:val="none" w:sz="0" w:space="0" w:color="auto"/>
      </w:divBdr>
    </w:div>
    <w:div w:id="549270635">
      <w:bodyDiv w:val="1"/>
      <w:marLeft w:val="0"/>
      <w:marRight w:val="0"/>
      <w:marTop w:val="0"/>
      <w:marBottom w:val="0"/>
      <w:divBdr>
        <w:top w:val="none" w:sz="0" w:space="0" w:color="auto"/>
        <w:left w:val="none" w:sz="0" w:space="0" w:color="auto"/>
        <w:bottom w:val="none" w:sz="0" w:space="0" w:color="auto"/>
        <w:right w:val="none" w:sz="0" w:space="0" w:color="auto"/>
      </w:divBdr>
    </w:div>
    <w:div w:id="550313971">
      <w:bodyDiv w:val="1"/>
      <w:marLeft w:val="0"/>
      <w:marRight w:val="0"/>
      <w:marTop w:val="0"/>
      <w:marBottom w:val="0"/>
      <w:divBdr>
        <w:top w:val="none" w:sz="0" w:space="0" w:color="auto"/>
        <w:left w:val="none" w:sz="0" w:space="0" w:color="auto"/>
        <w:bottom w:val="none" w:sz="0" w:space="0" w:color="auto"/>
        <w:right w:val="none" w:sz="0" w:space="0" w:color="auto"/>
      </w:divBdr>
    </w:div>
    <w:div w:id="552279017">
      <w:bodyDiv w:val="1"/>
      <w:marLeft w:val="0"/>
      <w:marRight w:val="0"/>
      <w:marTop w:val="0"/>
      <w:marBottom w:val="0"/>
      <w:divBdr>
        <w:top w:val="none" w:sz="0" w:space="0" w:color="auto"/>
        <w:left w:val="none" w:sz="0" w:space="0" w:color="auto"/>
        <w:bottom w:val="none" w:sz="0" w:space="0" w:color="auto"/>
        <w:right w:val="none" w:sz="0" w:space="0" w:color="auto"/>
      </w:divBdr>
    </w:div>
    <w:div w:id="553392023">
      <w:bodyDiv w:val="1"/>
      <w:marLeft w:val="0"/>
      <w:marRight w:val="0"/>
      <w:marTop w:val="0"/>
      <w:marBottom w:val="0"/>
      <w:divBdr>
        <w:top w:val="none" w:sz="0" w:space="0" w:color="auto"/>
        <w:left w:val="none" w:sz="0" w:space="0" w:color="auto"/>
        <w:bottom w:val="none" w:sz="0" w:space="0" w:color="auto"/>
        <w:right w:val="none" w:sz="0" w:space="0" w:color="auto"/>
      </w:divBdr>
    </w:div>
    <w:div w:id="555316329">
      <w:bodyDiv w:val="1"/>
      <w:marLeft w:val="0"/>
      <w:marRight w:val="0"/>
      <w:marTop w:val="0"/>
      <w:marBottom w:val="0"/>
      <w:divBdr>
        <w:top w:val="none" w:sz="0" w:space="0" w:color="auto"/>
        <w:left w:val="none" w:sz="0" w:space="0" w:color="auto"/>
        <w:bottom w:val="none" w:sz="0" w:space="0" w:color="auto"/>
        <w:right w:val="none" w:sz="0" w:space="0" w:color="auto"/>
      </w:divBdr>
    </w:div>
    <w:div w:id="556169109">
      <w:bodyDiv w:val="1"/>
      <w:marLeft w:val="0"/>
      <w:marRight w:val="0"/>
      <w:marTop w:val="0"/>
      <w:marBottom w:val="0"/>
      <w:divBdr>
        <w:top w:val="none" w:sz="0" w:space="0" w:color="auto"/>
        <w:left w:val="none" w:sz="0" w:space="0" w:color="auto"/>
        <w:bottom w:val="none" w:sz="0" w:space="0" w:color="auto"/>
        <w:right w:val="none" w:sz="0" w:space="0" w:color="auto"/>
      </w:divBdr>
    </w:div>
    <w:div w:id="558056948">
      <w:bodyDiv w:val="1"/>
      <w:marLeft w:val="0"/>
      <w:marRight w:val="0"/>
      <w:marTop w:val="0"/>
      <w:marBottom w:val="0"/>
      <w:divBdr>
        <w:top w:val="none" w:sz="0" w:space="0" w:color="auto"/>
        <w:left w:val="none" w:sz="0" w:space="0" w:color="auto"/>
        <w:bottom w:val="none" w:sz="0" w:space="0" w:color="auto"/>
        <w:right w:val="none" w:sz="0" w:space="0" w:color="auto"/>
      </w:divBdr>
    </w:div>
    <w:div w:id="559247161">
      <w:bodyDiv w:val="1"/>
      <w:marLeft w:val="0"/>
      <w:marRight w:val="0"/>
      <w:marTop w:val="0"/>
      <w:marBottom w:val="0"/>
      <w:divBdr>
        <w:top w:val="none" w:sz="0" w:space="0" w:color="auto"/>
        <w:left w:val="none" w:sz="0" w:space="0" w:color="auto"/>
        <w:bottom w:val="none" w:sz="0" w:space="0" w:color="auto"/>
        <w:right w:val="none" w:sz="0" w:space="0" w:color="auto"/>
      </w:divBdr>
    </w:div>
    <w:div w:id="561017317">
      <w:bodyDiv w:val="1"/>
      <w:marLeft w:val="0"/>
      <w:marRight w:val="0"/>
      <w:marTop w:val="0"/>
      <w:marBottom w:val="0"/>
      <w:divBdr>
        <w:top w:val="none" w:sz="0" w:space="0" w:color="auto"/>
        <w:left w:val="none" w:sz="0" w:space="0" w:color="auto"/>
        <w:bottom w:val="none" w:sz="0" w:space="0" w:color="auto"/>
        <w:right w:val="none" w:sz="0" w:space="0" w:color="auto"/>
      </w:divBdr>
    </w:div>
    <w:div w:id="561714824">
      <w:bodyDiv w:val="1"/>
      <w:marLeft w:val="0"/>
      <w:marRight w:val="0"/>
      <w:marTop w:val="0"/>
      <w:marBottom w:val="0"/>
      <w:divBdr>
        <w:top w:val="none" w:sz="0" w:space="0" w:color="auto"/>
        <w:left w:val="none" w:sz="0" w:space="0" w:color="auto"/>
        <w:bottom w:val="none" w:sz="0" w:space="0" w:color="auto"/>
        <w:right w:val="none" w:sz="0" w:space="0" w:color="auto"/>
      </w:divBdr>
    </w:div>
    <w:div w:id="561991564">
      <w:bodyDiv w:val="1"/>
      <w:marLeft w:val="0"/>
      <w:marRight w:val="0"/>
      <w:marTop w:val="0"/>
      <w:marBottom w:val="0"/>
      <w:divBdr>
        <w:top w:val="none" w:sz="0" w:space="0" w:color="auto"/>
        <w:left w:val="none" w:sz="0" w:space="0" w:color="auto"/>
        <w:bottom w:val="none" w:sz="0" w:space="0" w:color="auto"/>
        <w:right w:val="none" w:sz="0" w:space="0" w:color="auto"/>
      </w:divBdr>
    </w:div>
    <w:div w:id="562907514">
      <w:bodyDiv w:val="1"/>
      <w:marLeft w:val="0"/>
      <w:marRight w:val="0"/>
      <w:marTop w:val="0"/>
      <w:marBottom w:val="0"/>
      <w:divBdr>
        <w:top w:val="none" w:sz="0" w:space="0" w:color="auto"/>
        <w:left w:val="none" w:sz="0" w:space="0" w:color="auto"/>
        <w:bottom w:val="none" w:sz="0" w:space="0" w:color="auto"/>
        <w:right w:val="none" w:sz="0" w:space="0" w:color="auto"/>
      </w:divBdr>
    </w:div>
    <w:div w:id="564412522">
      <w:bodyDiv w:val="1"/>
      <w:marLeft w:val="0"/>
      <w:marRight w:val="0"/>
      <w:marTop w:val="0"/>
      <w:marBottom w:val="0"/>
      <w:divBdr>
        <w:top w:val="none" w:sz="0" w:space="0" w:color="auto"/>
        <w:left w:val="none" w:sz="0" w:space="0" w:color="auto"/>
        <w:bottom w:val="none" w:sz="0" w:space="0" w:color="auto"/>
        <w:right w:val="none" w:sz="0" w:space="0" w:color="auto"/>
      </w:divBdr>
    </w:div>
    <w:div w:id="565343297">
      <w:bodyDiv w:val="1"/>
      <w:marLeft w:val="0"/>
      <w:marRight w:val="0"/>
      <w:marTop w:val="0"/>
      <w:marBottom w:val="0"/>
      <w:divBdr>
        <w:top w:val="none" w:sz="0" w:space="0" w:color="auto"/>
        <w:left w:val="none" w:sz="0" w:space="0" w:color="auto"/>
        <w:bottom w:val="none" w:sz="0" w:space="0" w:color="auto"/>
        <w:right w:val="none" w:sz="0" w:space="0" w:color="auto"/>
      </w:divBdr>
    </w:div>
    <w:div w:id="569314482">
      <w:bodyDiv w:val="1"/>
      <w:marLeft w:val="0"/>
      <w:marRight w:val="0"/>
      <w:marTop w:val="0"/>
      <w:marBottom w:val="0"/>
      <w:divBdr>
        <w:top w:val="none" w:sz="0" w:space="0" w:color="auto"/>
        <w:left w:val="none" w:sz="0" w:space="0" w:color="auto"/>
        <w:bottom w:val="none" w:sz="0" w:space="0" w:color="auto"/>
        <w:right w:val="none" w:sz="0" w:space="0" w:color="auto"/>
      </w:divBdr>
    </w:div>
    <w:div w:id="569773142">
      <w:bodyDiv w:val="1"/>
      <w:marLeft w:val="0"/>
      <w:marRight w:val="0"/>
      <w:marTop w:val="0"/>
      <w:marBottom w:val="0"/>
      <w:divBdr>
        <w:top w:val="none" w:sz="0" w:space="0" w:color="auto"/>
        <w:left w:val="none" w:sz="0" w:space="0" w:color="auto"/>
        <w:bottom w:val="none" w:sz="0" w:space="0" w:color="auto"/>
        <w:right w:val="none" w:sz="0" w:space="0" w:color="auto"/>
      </w:divBdr>
    </w:div>
    <w:div w:id="574507797">
      <w:bodyDiv w:val="1"/>
      <w:marLeft w:val="0"/>
      <w:marRight w:val="0"/>
      <w:marTop w:val="0"/>
      <w:marBottom w:val="0"/>
      <w:divBdr>
        <w:top w:val="none" w:sz="0" w:space="0" w:color="auto"/>
        <w:left w:val="none" w:sz="0" w:space="0" w:color="auto"/>
        <w:bottom w:val="none" w:sz="0" w:space="0" w:color="auto"/>
        <w:right w:val="none" w:sz="0" w:space="0" w:color="auto"/>
      </w:divBdr>
    </w:div>
    <w:div w:id="576331579">
      <w:bodyDiv w:val="1"/>
      <w:marLeft w:val="0"/>
      <w:marRight w:val="0"/>
      <w:marTop w:val="0"/>
      <w:marBottom w:val="0"/>
      <w:divBdr>
        <w:top w:val="none" w:sz="0" w:space="0" w:color="auto"/>
        <w:left w:val="none" w:sz="0" w:space="0" w:color="auto"/>
        <w:bottom w:val="none" w:sz="0" w:space="0" w:color="auto"/>
        <w:right w:val="none" w:sz="0" w:space="0" w:color="auto"/>
      </w:divBdr>
    </w:div>
    <w:div w:id="576862684">
      <w:bodyDiv w:val="1"/>
      <w:marLeft w:val="0"/>
      <w:marRight w:val="0"/>
      <w:marTop w:val="0"/>
      <w:marBottom w:val="0"/>
      <w:divBdr>
        <w:top w:val="none" w:sz="0" w:space="0" w:color="auto"/>
        <w:left w:val="none" w:sz="0" w:space="0" w:color="auto"/>
        <w:bottom w:val="none" w:sz="0" w:space="0" w:color="auto"/>
        <w:right w:val="none" w:sz="0" w:space="0" w:color="auto"/>
      </w:divBdr>
    </w:div>
    <w:div w:id="577132353">
      <w:bodyDiv w:val="1"/>
      <w:marLeft w:val="0"/>
      <w:marRight w:val="0"/>
      <w:marTop w:val="0"/>
      <w:marBottom w:val="0"/>
      <w:divBdr>
        <w:top w:val="none" w:sz="0" w:space="0" w:color="auto"/>
        <w:left w:val="none" w:sz="0" w:space="0" w:color="auto"/>
        <w:bottom w:val="none" w:sz="0" w:space="0" w:color="auto"/>
        <w:right w:val="none" w:sz="0" w:space="0" w:color="auto"/>
      </w:divBdr>
    </w:div>
    <w:div w:id="581061223">
      <w:bodyDiv w:val="1"/>
      <w:marLeft w:val="0"/>
      <w:marRight w:val="0"/>
      <w:marTop w:val="0"/>
      <w:marBottom w:val="0"/>
      <w:divBdr>
        <w:top w:val="none" w:sz="0" w:space="0" w:color="auto"/>
        <w:left w:val="none" w:sz="0" w:space="0" w:color="auto"/>
        <w:bottom w:val="none" w:sz="0" w:space="0" w:color="auto"/>
        <w:right w:val="none" w:sz="0" w:space="0" w:color="auto"/>
      </w:divBdr>
    </w:div>
    <w:div w:id="581571045">
      <w:bodyDiv w:val="1"/>
      <w:marLeft w:val="0"/>
      <w:marRight w:val="0"/>
      <w:marTop w:val="0"/>
      <w:marBottom w:val="0"/>
      <w:divBdr>
        <w:top w:val="none" w:sz="0" w:space="0" w:color="auto"/>
        <w:left w:val="none" w:sz="0" w:space="0" w:color="auto"/>
        <w:bottom w:val="none" w:sz="0" w:space="0" w:color="auto"/>
        <w:right w:val="none" w:sz="0" w:space="0" w:color="auto"/>
      </w:divBdr>
    </w:div>
    <w:div w:id="581765386">
      <w:bodyDiv w:val="1"/>
      <w:marLeft w:val="0"/>
      <w:marRight w:val="0"/>
      <w:marTop w:val="0"/>
      <w:marBottom w:val="0"/>
      <w:divBdr>
        <w:top w:val="none" w:sz="0" w:space="0" w:color="auto"/>
        <w:left w:val="none" w:sz="0" w:space="0" w:color="auto"/>
        <w:bottom w:val="none" w:sz="0" w:space="0" w:color="auto"/>
        <w:right w:val="none" w:sz="0" w:space="0" w:color="auto"/>
      </w:divBdr>
    </w:div>
    <w:div w:id="583031045">
      <w:bodyDiv w:val="1"/>
      <w:marLeft w:val="0"/>
      <w:marRight w:val="0"/>
      <w:marTop w:val="0"/>
      <w:marBottom w:val="0"/>
      <w:divBdr>
        <w:top w:val="none" w:sz="0" w:space="0" w:color="auto"/>
        <w:left w:val="none" w:sz="0" w:space="0" w:color="auto"/>
        <w:bottom w:val="none" w:sz="0" w:space="0" w:color="auto"/>
        <w:right w:val="none" w:sz="0" w:space="0" w:color="auto"/>
      </w:divBdr>
    </w:div>
    <w:div w:id="583295625">
      <w:bodyDiv w:val="1"/>
      <w:marLeft w:val="0"/>
      <w:marRight w:val="0"/>
      <w:marTop w:val="0"/>
      <w:marBottom w:val="0"/>
      <w:divBdr>
        <w:top w:val="none" w:sz="0" w:space="0" w:color="auto"/>
        <w:left w:val="none" w:sz="0" w:space="0" w:color="auto"/>
        <w:bottom w:val="none" w:sz="0" w:space="0" w:color="auto"/>
        <w:right w:val="none" w:sz="0" w:space="0" w:color="auto"/>
      </w:divBdr>
    </w:div>
    <w:div w:id="583729657">
      <w:bodyDiv w:val="1"/>
      <w:marLeft w:val="0"/>
      <w:marRight w:val="0"/>
      <w:marTop w:val="0"/>
      <w:marBottom w:val="0"/>
      <w:divBdr>
        <w:top w:val="none" w:sz="0" w:space="0" w:color="auto"/>
        <w:left w:val="none" w:sz="0" w:space="0" w:color="auto"/>
        <w:bottom w:val="none" w:sz="0" w:space="0" w:color="auto"/>
        <w:right w:val="none" w:sz="0" w:space="0" w:color="auto"/>
      </w:divBdr>
    </w:div>
    <w:div w:id="584849690">
      <w:bodyDiv w:val="1"/>
      <w:marLeft w:val="0"/>
      <w:marRight w:val="0"/>
      <w:marTop w:val="0"/>
      <w:marBottom w:val="0"/>
      <w:divBdr>
        <w:top w:val="none" w:sz="0" w:space="0" w:color="auto"/>
        <w:left w:val="none" w:sz="0" w:space="0" w:color="auto"/>
        <w:bottom w:val="none" w:sz="0" w:space="0" w:color="auto"/>
        <w:right w:val="none" w:sz="0" w:space="0" w:color="auto"/>
      </w:divBdr>
    </w:div>
    <w:div w:id="586503838">
      <w:bodyDiv w:val="1"/>
      <w:marLeft w:val="0"/>
      <w:marRight w:val="0"/>
      <w:marTop w:val="0"/>
      <w:marBottom w:val="0"/>
      <w:divBdr>
        <w:top w:val="none" w:sz="0" w:space="0" w:color="auto"/>
        <w:left w:val="none" w:sz="0" w:space="0" w:color="auto"/>
        <w:bottom w:val="none" w:sz="0" w:space="0" w:color="auto"/>
        <w:right w:val="none" w:sz="0" w:space="0" w:color="auto"/>
      </w:divBdr>
    </w:div>
    <w:div w:id="586964110">
      <w:bodyDiv w:val="1"/>
      <w:marLeft w:val="0"/>
      <w:marRight w:val="0"/>
      <w:marTop w:val="0"/>
      <w:marBottom w:val="0"/>
      <w:divBdr>
        <w:top w:val="none" w:sz="0" w:space="0" w:color="auto"/>
        <w:left w:val="none" w:sz="0" w:space="0" w:color="auto"/>
        <w:bottom w:val="none" w:sz="0" w:space="0" w:color="auto"/>
        <w:right w:val="none" w:sz="0" w:space="0" w:color="auto"/>
      </w:divBdr>
    </w:div>
    <w:div w:id="587160508">
      <w:bodyDiv w:val="1"/>
      <w:marLeft w:val="0"/>
      <w:marRight w:val="0"/>
      <w:marTop w:val="0"/>
      <w:marBottom w:val="0"/>
      <w:divBdr>
        <w:top w:val="none" w:sz="0" w:space="0" w:color="auto"/>
        <w:left w:val="none" w:sz="0" w:space="0" w:color="auto"/>
        <w:bottom w:val="none" w:sz="0" w:space="0" w:color="auto"/>
        <w:right w:val="none" w:sz="0" w:space="0" w:color="auto"/>
      </w:divBdr>
    </w:div>
    <w:div w:id="587543767">
      <w:bodyDiv w:val="1"/>
      <w:marLeft w:val="0"/>
      <w:marRight w:val="0"/>
      <w:marTop w:val="0"/>
      <w:marBottom w:val="0"/>
      <w:divBdr>
        <w:top w:val="none" w:sz="0" w:space="0" w:color="auto"/>
        <w:left w:val="none" w:sz="0" w:space="0" w:color="auto"/>
        <w:bottom w:val="none" w:sz="0" w:space="0" w:color="auto"/>
        <w:right w:val="none" w:sz="0" w:space="0" w:color="auto"/>
      </w:divBdr>
    </w:div>
    <w:div w:id="589966390">
      <w:bodyDiv w:val="1"/>
      <w:marLeft w:val="0"/>
      <w:marRight w:val="0"/>
      <w:marTop w:val="0"/>
      <w:marBottom w:val="0"/>
      <w:divBdr>
        <w:top w:val="none" w:sz="0" w:space="0" w:color="auto"/>
        <w:left w:val="none" w:sz="0" w:space="0" w:color="auto"/>
        <w:bottom w:val="none" w:sz="0" w:space="0" w:color="auto"/>
        <w:right w:val="none" w:sz="0" w:space="0" w:color="auto"/>
      </w:divBdr>
    </w:div>
    <w:div w:id="589973546">
      <w:bodyDiv w:val="1"/>
      <w:marLeft w:val="0"/>
      <w:marRight w:val="0"/>
      <w:marTop w:val="0"/>
      <w:marBottom w:val="0"/>
      <w:divBdr>
        <w:top w:val="none" w:sz="0" w:space="0" w:color="auto"/>
        <w:left w:val="none" w:sz="0" w:space="0" w:color="auto"/>
        <w:bottom w:val="none" w:sz="0" w:space="0" w:color="auto"/>
        <w:right w:val="none" w:sz="0" w:space="0" w:color="auto"/>
      </w:divBdr>
    </w:div>
    <w:div w:id="590814214">
      <w:bodyDiv w:val="1"/>
      <w:marLeft w:val="0"/>
      <w:marRight w:val="0"/>
      <w:marTop w:val="0"/>
      <w:marBottom w:val="0"/>
      <w:divBdr>
        <w:top w:val="none" w:sz="0" w:space="0" w:color="auto"/>
        <w:left w:val="none" w:sz="0" w:space="0" w:color="auto"/>
        <w:bottom w:val="none" w:sz="0" w:space="0" w:color="auto"/>
        <w:right w:val="none" w:sz="0" w:space="0" w:color="auto"/>
      </w:divBdr>
    </w:div>
    <w:div w:id="593781491">
      <w:bodyDiv w:val="1"/>
      <w:marLeft w:val="0"/>
      <w:marRight w:val="0"/>
      <w:marTop w:val="0"/>
      <w:marBottom w:val="0"/>
      <w:divBdr>
        <w:top w:val="none" w:sz="0" w:space="0" w:color="auto"/>
        <w:left w:val="none" w:sz="0" w:space="0" w:color="auto"/>
        <w:bottom w:val="none" w:sz="0" w:space="0" w:color="auto"/>
        <w:right w:val="none" w:sz="0" w:space="0" w:color="auto"/>
      </w:divBdr>
    </w:div>
    <w:div w:id="595940212">
      <w:bodyDiv w:val="1"/>
      <w:marLeft w:val="0"/>
      <w:marRight w:val="0"/>
      <w:marTop w:val="0"/>
      <w:marBottom w:val="0"/>
      <w:divBdr>
        <w:top w:val="none" w:sz="0" w:space="0" w:color="auto"/>
        <w:left w:val="none" w:sz="0" w:space="0" w:color="auto"/>
        <w:bottom w:val="none" w:sz="0" w:space="0" w:color="auto"/>
        <w:right w:val="none" w:sz="0" w:space="0" w:color="auto"/>
      </w:divBdr>
    </w:div>
    <w:div w:id="597908991">
      <w:bodyDiv w:val="1"/>
      <w:marLeft w:val="0"/>
      <w:marRight w:val="0"/>
      <w:marTop w:val="0"/>
      <w:marBottom w:val="0"/>
      <w:divBdr>
        <w:top w:val="none" w:sz="0" w:space="0" w:color="auto"/>
        <w:left w:val="none" w:sz="0" w:space="0" w:color="auto"/>
        <w:bottom w:val="none" w:sz="0" w:space="0" w:color="auto"/>
        <w:right w:val="none" w:sz="0" w:space="0" w:color="auto"/>
      </w:divBdr>
    </w:div>
    <w:div w:id="598022125">
      <w:bodyDiv w:val="1"/>
      <w:marLeft w:val="0"/>
      <w:marRight w:val="0"/>
      <w:marTop w:val="0"/>
      <w:marBottom w:val="0"/>
      <w:divBdr>
        <w:top w:val="none" w:sz="0" w:space="0" w:color="auto"/>
        <w:left w:val="none" w:sz="0" w:space="0" w:color="auto"/>
        <w:bottom w:val="none" w:sz="0" w:space="0" w:color="auto"/>
        <w:right w:val="none" w:sz="0" w:space="0" w:color="auto"/>
      </w:divBdr>
    </w:div>
    <w:div w:id="601885618">
      <w:bodyDiv w:val="1"/>
      <w:marLeft w:val="0"/>
      <w:marRight w:val="0"/>
      <w:marTop w:val="0"/>
      <w:marBottom w:val="0"/>
      <w:divBdr>
        <w:top w:val="none" w:sz="0" w:space="0" w:color="auto"/>
        <w:left w:val="none" w:sz="0" w:space="0" w:color="auto"/>
        <w:bottom w:val="none" w:sz="0" w:space="0" w:color="auto"/>
        <w:right w:val="none" w:sz="0" w:space="0" w:color="auto"/>
      </w:divBdr>
    </w:div>
    <w:div w:id="601957475">
      <w:bodyDiv w:val="1"/>
      <w:marLeft w:val="0"/>
      <w:marRight w:val="0"/>
      <w:marTop w:val="0"/>
      <w:marBottom w:val="0"/>
      <w:divBdr>
        <w:top w:val="none" w:sz="0" w:space="0" w:color="auto"/>
        <w:left w:val="none" w:sz="0" w:space="0" w:color="auto"/>
        <w:bottom w:val="none" w:sz="0" w:space="0" w:color="auto"/>
        <w:right w:val="none" w:sz="0" w:space="0" w:color="auto"/>
      </w:divBdr>
    </w:div>
    <w:div w:id="608591111">
      <w:bodyDiv w:val="1"/>
      <w:marLeft w:val="0"/>
      <w:marRight w:val="0"/>
      <w:marTop w:val="0"/>
      <w:marBottom w:val="0"/>
      <w:divBdr>
        <w:top w:val="none" w:sz="0" w:space="0" w:color="auto"/>
        <w:left w:val="none" w:sz="0" w:space="0" w:color="auto"/>
        <w:bottom w:val="none" w:sz="0" w:space="0" w:color="auto"/>
        <w:right w:val="none" w:sz="0" w:space="0" w:color="auto"/>
      </w:divBdr>
    </w:div>
    <w:div w:id="610862346">
      <w:bodyDiv w:val="1"/>
      <w:marLeft w:val="0"/>
      <w:marRight w:val="0"/>
      <w:marTop w:val="0"/>
      <w:marBottom w:val="0"/>
      <w:divBdr>
        <w:top w:val="none" w:sz="0" w:space="0" w:color="auto"/>
        <w:left w:val="none" w:sz="0" w:space="0" w:color="auto"/>
        <w:bottom w:val="none" w:sz="0" w:space="0" w:color="auto"/>
        <w:right w:val="none" w:sz="0" w:space="0" w:color="auto"/>
      </w:divBdr>
    </w:div>
    <w:div w:id="612828938">
      <w:bodyDiv w:val="1"/>
      <w:marLeft w:val="0"/>
      <w:marRight w:val="0"/>
      <w:marTop w:val="0"/>
      <w:marBottom w:val="0"/>
      <w:divBdr>
        <w:top w:val="none" w:sz="0" w:space="0" w:color="auto"/>
        <w:left w:val="none" w:sz="0" w:space="0" w:color="auto"/>
        <w:bottom w:val="none" w:sz="0" w:space="0" w:color="auto"/>
        <w:right w:val="none" w:sz="0" w:space="0" w:color="auto"/>
      </w:divBdr>
    </w:div>
    <w:div w:id="614287406">
      <w:bodyDiv w:val="1"/>
      <w:marLeft w:val="0"/>
      <w:marRight w:val="0"/>
      <w:marTop w:val="0"/>
      <w:marBottom w:val="0"/>
      <w:divBdr>
        <w:top w:val="none" w:sz="0" w:space="0" w:color="auto"/>
        <w:left w:val="none" w:sz="0" w:space="0" w:color="auto"/>
        <w:bottom w:val="none" w:sz="0" w:space="0" w:color="auto"/>
        <w:right w:val="none" w:sz="0" w:space="0" w:color="auto"/>
      </w:divBdr>
    </w:div>
    <w:div w:id="617220802">
      <w:bodyDiv w:val="1"/>
      <w:marLeft w:val="0"/>
      <w:marRight w:val="0"/>
      <w:marTop w:val="0"/>
      <w:marBottom w:val="0"/>
      <w:divBdr>
        <w:top w:val="none" w:sz="0" w:space="0" w:color="auto"/>
        <w:left w:val="none" w:sz="0" w:space="0" w:color="auto"/>
        <w:bottom w:val="none" w:sz="0" w:space="0" w:color="auto"/>
        <w:right w:val="none" w:sz="0" w:space="0" w:color="auto"/>
      </w:divBdr>
    </w:div>
    <w:div w:id="617637914">
      <w:bodyDiv w:val="1"/>
      <w:marLeft w:val="0"/>
      <w:marRight w:val="0"/>
      <w:marTop w:val="0"/>
      <w:marBottom w:val="0"/>
      <w:divBdr>
        <w:top w:val="none" w:sz="0" w:space="0" w:color="auto"/>
        <w:left w:val="none" w:sz="0" w:space="0" w:color="auto"/>
        <w:bottom w:val="none" w:sz="0" w:space="0" w:color="auto"/>
        <w:right w:val="none" w:sz="0" w:space="0" w:color="auto"/>
      </w:divBdr>
    </w:div>
    <w:div w:id="618535623">
      <w:bodyDiv w:val="1"/>
      <w:marLeft w:val="0"/>
      <w:marRight w:val="0"/>
      <w:marTop w:val="0"/>
      <w:marBottom w:val="0"/>
      <w:divBdr>
        <w:top w:val="none" w:sz="0" w:space="0" w:color="auto"/>
        <w:left w:val="none" w:sz="0" w:space="0" w:color="auto"/>
        <w:bottom w:val="none" w:sz="0" w:space="0" w:color="auto"/>
        <w:right w:val="none" w:sz="0" w:space="0" w:color="auto"/>
      </w:divBdr>
    </w:div>
    <w:div w:id="620065443">
      <w:bodyDiv w:val="1"/>
      <w:marLeft w:val="0"/>
      <w:marRight w:val="0"/>
      <w:marTop w:val="0"/>
      <w:marBottom w:val="0"/>
      <w:divBdr>
        <w:top w:val="none" w:sz="0" w:space="0" w:color="auto"/>
        <w:left w:val="none" w:sz="0" w:space="0" w:color="auto"/>
        <w:bottom w:val="none" w:sz="0" w:space="0" w:color="auto"/>
        <w:right w:val="none" w:sz="0" w:space="0" w:color="auto"/>
      </w:divBdr>
    </w:div>
    <w:div w:id="621229476">
      <w:bodyDiv w:val="1"/>
      <w:marLeft w:val="0"/>
      <w:marRight w:val="0"/>
      <w:marTop w:val="0"/>
      <w:marBottom w:val="0"/>
      <w:divBdr>
        <w:top w:val="none" w:sz="0" w:space="0" w:color="auto"/>
        <w:left w:val="none" w:sz="0" w:space="0" w:color="auto"/>
        <w:bottom w:val="none" w:sz="0" w:space="0" w:color="auto"/>
        <w:right w:val="none" w:sz="0" w:space="0" w:color="auto"/>
      </w:divBdr>
    </w:div>
    <w:div w:id="621570791">
      <w:bodyDiv w:val="1"/>
      <w:marLeft w:val="0"/>
      <w:marRight w:val="0"/>
      <w:marTop w:val="0"/>
      <w:marBottom w:val="0"/>
      <w:divBdr>
        <w:top w:val="none" w:sz="0" w:space="0" w:color="auto"/>
        <w:left w:val="none" w:sz="0" w:space="0" w:color="auto"/>
        <w:bottom w:val="none" w:sz="0" w:space="0" w:color="auto"/>
        <w:right w:val="none" w:sz="0" w:space="0" w:color="auto"/>
      </w:divBdr>
    </w:div>
    <w:div w:id="625088920">
      <w:bodyDiv w:val="1"/>
      <w:marLeft w:val="0"/>
      <w:marRight w:val="0"/>
      <w:marTop w:val="0"/>
      <w:marBottom w:val="0"/>
      <w:divBdr>
        <w:top w:val="none" w:sz="0" w:space="0" w:color="auto"/>
        <w:left w:val="none" w:sz="0" w:space="0" w:color="auto"/>
        <w:bottom w:val="none" w:sz="0" w:space="0" w:color="auto"/>
        <w:right w:val="none" w:sz="0" w:space="0" w:color="auto"/>
      </w:divBdr>
    </w:div>
    <w:div w:id="627246043">
      <w:bodyDiv w:val="1"/>
      <w:marLeft w:val="0"/>
      <w:marRight w:val="0"/>
      <w:marTop w:val="0"/>
      <w:marBottom w:val="0"/>
      <w:divBdr>
        <w:top w:val="none" w:sz="0" w:space="0" w:color="auto"/>
        <w:left w:val="none" w:sz="0" w:space="0" w:color="auto"/>
        <w:bottom w:val="none" w:sz="0" w:space="0" w:color="auto"/>
        <w:right w:val="none" w:sz="0" w:space="0" w:color="auto"/>
      </w:divBdr>
    </w:div>
    <w:div w:id="627661940">
      <w:bodyDiv w:val="1"/>
      <w:marLeft w:val="0"/>
      <w:marRight w:val="0"/>
      <w:marTop w:val="0"/>
      <w:marBottom w:val="0"/>
      <w:divBdr>
        <w:top w:val="none" w:sz="0" w:space="0" w:color="auto"/>
        <w:left w:val="none" w:sz="0" w:space="0" w:color="auto"/>
        <w:bottom w:val="none" w:sz="0" w:space="0" w:color="auto"/>
        <w:right w:val="none" w:sz="0" w:space="0" w:color="auto"/>
      </w:divBdr>
    </w:div>
    <w:div w:id="629285419">
      <w:bodyDiv w:val="1"/>
      <w:marLeft w:val="0"/>
      <w:marRight w:val="0"/>
      <w:marTop w:val="0"/>
      <w:marBottom w:val="0"/>
      <w:divBdr>
        <w:top w:val="none" w:sz="0" w:space="0" w:color="auto"/>
        <w:left w:val="none" w:sz="0" w:space="0" w:color="auto"/>
        <w:bottom w:val="none" w:sz="0" w:space="0" w:color="auto"/>
        <w:right w:val="none" w:sz="0" w:space="0" w:color="auto"/>
      </w:divBdr>
    </w:div>
    <w:div w:id="630942594">
      <w:bodyDiv w:val="1"/>
      <w:marLeft w:val="0"/>
      <w:marRight w:val="0"/>
      <w:marTop w:val="0"/>
      <w:marBottom w:val="0"/>
      <w:divBdr>
        <w:top w:val="none" w:sz="0" w:space="0" w:color="auto"/>
        <w:left w:val="none" w:sz="0" w:space="0" w:color="auto"/>
        <w:bottom w:val="none" w:sz="0" w:space="0" w:color="auto"/>
        <w:right w:val="none" w:sz="0" w:space="0" w:color="auto"/>
      </w:divBdr>
    </w:div>
    <w:div w:id="634410598">
      <w:bodyDiv w:val="1"/>
      <w:marLeft w:val="0"/>
      <w:marRight w:val="0"/>
      <w:marTop w:val="0"/>
      <w:marBottom w:val="0"/>
      <w:divBdr>
        <w:top w:val="none" w:sz="0" w:space="0" w:color="auto"/>
        <w:left w:val="none" w:sz="0" w:space="0" w:color="auto"/>
        <w:bottom w:val="none" w:sz="0" w:space="0" w:color="auto"/>
        <w:right w:val="none" w:sz="0" w:space="0" w:color="auto"/>
      </w:divBdr>
    </w:div>
    <w:div w:id="637078960">
      <w:bodyDiv w:val="1"/>
      <w:marLeft w:val="0"/>
      <w:marRight w:val="0"/>
      <w:marTop w:val="0"/>
      <w:marBottom w:val="0"/>
      <w:divBdr>
        <w:top w:val="none" w:sz="0" w:space="0" w:color="auto"/>
        <w:left w:val="none" w:sz="0" w:space="0" w:color="auto"/>
        <w:bottom w:val="none" w:sz="0" w:space="0" w:color="auto"/>
        <w:right w:val="none" w:sz="0" w:space="0" w:color="auto"/>
      </w:divBdr>
    </w:div>
    <w:div w:id="637345994">
      <w:bodyDiv w:val="1"/>
      <w:marLeft w:val="0"/>
      <w:marRight w:val="0"/>
      <w:marTop w:val="0"/>
      <w:marBottom w:val="0"/>
      <w:divBdr>
        <w:top w:val="none" w:sz="0" w:space="0" w:color="auto"/>
        <w:left w:val="none" w:sz="0" w:space="0" w:color="auto"/>
        <w:bottom w:val="none" w:sz="0" w:space="0" w:color="auto"/>
        <w:right w:val="none" w:sz="0" w:space="0" w:color="auto"/>
      </w:divBdr>
    </w:div>
    <w:div w:id="637540047">
      <w:bodyDiv w:val="1"/>
      <w:marLeft w:val="0"/>
      <w:marRight w:val="0"/>
      <w:marTop w:val="0"/>
      <w:marBottom w:val="0"/>
      <w:divBdr>
        <w:top w:val="none" w:sz="0" w:space="0" w:color="auto"/>
        <w:left w:val="none" w:sz="0" w:space="0" w:color="auto"/>
        <w:bottom w:val="none" w:sz="0" w:space="0" w:color="auto"/>
        <w:right w:val="none" w:sz="0" w:space="0" w:color="auto"/>
      </w:divBdr>
    </w:div>
    <w:div w:id="638343219">
      <w:bodyDiv w:val="1"/>
      <w:marLeft w:val="0"/>
      <w:marRight w:val="0"/>
      <w:marTop w:val="0"/>
      <w:marBottom w:val="0"/>
      <w:divBdr>
        <w:top w:val="none" w:sz="0" w:space="0" w:color="auto"/>
        <w:left w:val="none" w:sz="0" w:space="0" w:color="auto"/>
        <w:bottom w:val="none" w:sz="0" w:space="0" w:color="auto"/>
        <w:right w:val="none" w:sz="0" w:space="0" w:color="auto"/>
      </w:divBdr>
    </w:div>
    <w:div w:id="639723991">
      <w:bodyDiv w:val="1"/>
      <w:marLeft w:val="0"/>
      <w:marRight w:val="0"/>
      <w:marTop w:val="0"/>
      <w:marBottom w:val="0"/>
      <w:divBdr>
        <w:top w:val="none" w:sz="0" w:space="0" w:color="auto"/>
        <w:left w:val="none" w:sz="0" w:space="0" w:color="auto"/>
        <w:bottom w:val="none" w:sz="0" w:space="0" w:color="auto"/>
        <w:right w:val="none" w:sz="0" w:space="0" w:color="auto"/>
      </w:divBdr>
    </w:div>
    <w:div w:id="641467059">
      <w:bodyDiv w:val="1"/>
      <w:marLeft w:val="0"/>
      <w:marRight w:val="0"/>
      <w:marTop w:val="0"/>
      <w:marBottom w:val="0"/>
      <w:divBdr>
        <w:top w:val="none" w:sz="0" w:space="0" w:color="auto"/>
        <w:left w:val="none" w:sz="0" w:space="0" w:color="auto"/>
        <w:bottom w:val="none" w:sz="0" w:space="0" w:color="auto"/>
        <w:right w:val="none" w:sz="0" w:space="0" w:color="auto"/>
      </w:divBdr>
    </w:div>
    <w:div w:id="643245121">
      <w:bodyDiv w:val="1"/>
      <w:marLeft w:val="0"/>
      <w:marRight w:val="0"/>
      <w:marTop w:val="0"/>
      <w:marBottom w:val="0"/>
      <w:divBdr>
        <w:top w:val="none" w:sz="0" w:space="0" w:color="auto"/>
        <w:left w:val="none" w:sz="0" w:space="0" w:color="auto"/>
        <w:bottom w:val="none" w:sz="0" w:space="0" w:color="auto"/>
        <w:right w:val="none" w:sz="0" w:space="0" w:color="auto"/>
      </w:divBdr>
    </w:div>
    <w:div w:id="643511010">
      <w:bodyDiv w:val="1"/>
      <w:marLeft w:val="0"/>
      <w:marRight w:val="0"/>
      <w:marTop w:val="0"/>
      <w:marBottom w:val="0"/>
      <w:divBdr>
        <w:top w:val="none" w:sz="0" w:space="0" w:color="auto"/>
        <w:left w:val="none" w:sz="0" w:space="0" w:color="auto"/>
        <w:bottom w:val="none" w:sz="0" w:space="0" w:color="auto"/>
        <w:right w:val="none" w:sz="0" w:space="0" w:color="auto"/>
      </w:divBdr>
    </w:div>
    <w:div w:id="643848240">
      <w:bodyDiv w:val="1"/>
      <w:marLeft w:val="0"/>
      <w:marRight w:val="0"/>
      <w:marTop w:val="0"/>
      <w:marBottom w:val="0"/>
      <w:divBdr>
        <w:top w:val="none" w:sz="0" w:space="0" w:color="auto"/>
        <w:left w:val="none" w:sz="0" w:space="0" w:color="auto"/>
        <w:bottom w:val="none" w:sz="0" w:space="0" w:color="auto"/>
        <w:right w:val="none" w:sz="0" w:space="0" w:color="auto"/>
      </w:divBdr>
    </w:div>
    <w:div w:id="643849058">
      <w:bodyDiv w:val="1"/>
      <w:marLeft w:val="0"/>
      <w:marRight w:val="0"/>
      <w:marTop w:val="0"/>
      <w:marBottom w:val="0"/>
      <w:divBdr>
        <w:top w:val="none" w:sz="0" w:space="0" w:color="auto"/>
        <w:left w:val="none" w:sz="0" w:space="0" w:color="auto"/>
        <w:bottom w:val="none" w:sz="0" w:space="0" w:color="auto"/>
        <w:right w:val="none" w:sz="0" w:space="0" w:color="auto"/>
      </w:divBdr>
    </w:div>
    <w:div w:id="646251970">
      <w:bodyDiv w:val="1"/>
      <w:marLeft w:val="0"/>
      <w:marRight w:val="0"/>
      <w:marTop w:val="0"/>
      <w:marBottom w:val="0"/>
      <w:divBdr>
        <w:top w:val="none" w:sz="0" w:space="0" w:color="auto"/>
        <w:left w:val="none" w:sz="0" w:space="0" w:color="auto"/>
        <w:bottom w:val="none" w:sz="0" w:space="0" w:color="auto"/>
        <w:right w:val="none" w:sz="0" w:space="0" w:color="auto"/>
      </w:divBdr>
    </w:div>
    <w:div w:id="648485348">
      <w:bodyDiv w:val="1"/>
      <w:marLeft w:val="0"/>
      <w:marRight w:val="0"/>
      <w:marTop w:val="0"/>
      <w:marBottom w:val="0"/>
      <w:divBdr>
        <w:top w:val="none" w:sz="0" w:space="0" w:color="auto"/>
        <w:left w:val="none" w:sz="0" w:space="0" w:color="auto"/>
        <w:bottom w:val="none" w:sz="0" w:space="0" w:color="auto"/>
        <w:right w:val="none" w:sz="0" w:space="0" w:color="auto"/>
      </w:divBdr>
    </w:div>
    <w:div w:id="649165772">
      <w:bodyDiv w:val="1"/>
      <w:marLeft w:val="0"/>
      <w:marRight w:val="0"/>
      <w:marTop w:val="0"/>
      <w:marBottom w:val="0"/>
      <w:divBdr>
        <w:top w:val="none" w:sz="0" w:space="0" w:color="auto"/>
        <w:left w:val="none" w:sz="0" w:space="0" w:color="auto"/>
        <w:bottom w:val="none" w:sz="0" w:space="0" w:color="auto"/>
        <w:right w:val="none" w:sz="0" w:space="0" w:color="auto"/>
      </w:divBdr>
    </w:div>
    <w:div w:id="649945750">
      <w:bodyDiv w:val="1"/>
      <w:marLeft w:val="0"/>
      <w:marRight w:val="0"/>
      <w:marTop w:val="0"/>
      <w:marBottom w:val="0"/>
      <w:divBdr>
        <w:top w:val="none" w:sz="0" w:space="0" w:color="auto"/>
        <w:left w:val="none" w:sz="0" w:space="0" w:color="auto"/>
        <w:bottom w:val="none" w:sz="0" w:space="0" w:color="auto"/>
        <w:right w:val="none" w:sz="0" w:space="0" w:color="auto"/>
      </w:divBdr>
    </w:div>
    <w:div w:id="652031358">
      <w:bodyDiv w:val="1"/>
      <w:marLeft w:val="0"/>
      <w:marRight w:val="0"/>
      <w:marTop w:val="0"/>
      <w:marBottom w:val="0"/>
      <w:divBdr>
        <w:top w:val="none" w:sz="0" w:space="0" w:color="auto"/>
        <w:left w:val="none" w:sz="0" w:space="0" w:color="auto"/>
        <w:bottom w:val="none" w:sz="0" w:space="0" w:color="auto"/>
        <w:right w:val="none" w:sz="0" w:space="0" w:color="auto"/>
      </w:divBdr>
    </w:div>
    <w:div w:id="653025691">
      <w:bodyDiv w:val="1"/>
      <w:marLeft w:val="0"/>
      <w:marRight w:val="0"/>
      <w:marTop w:val="0"/>
      <w:marBottom w:val="0"/>
      <w:divBdr>
        <w:top w:val="none" w:sz="0" w:space="0" w:color="auto"/>
        <w:left w:val="none" w:sz="0" w:space="0" w:color="auto"/>
        <w:bottom w:val="none" w:sz="0" w:space="0" w:color="auto"/>
        <w:right w:val="none" w:sz="0" w:space="0" w:color="auto"/>
      </w:divBdr>
    </w:div>
    <w:div w:id="656155010">
      <w:bodyDiv w:val="1"/>
      <w:marLeft w:val="0"/>
      <w:marRight w:val="0"/>
      <w:marTop w:val="0"/>
      <w:marBottom w:val="0"/>
      <w:divBdr>
        <w:top w:val="none" w:sz="0" w:space="0" w:color="auto"/>
        <w:left w:val="none" w:sz="0" w:space="0" w:color="auto"/>
        <w:bottom w:val="none" w:sz="0" w:space="0" w:color="auto"/>
        <w:right w:val="none" w:sz="0" w:space="0" w:color="auto"/>
      </w:divBdr>
    </w:div>
    <w:div w:id="656882072">
      <w:bodyDiv w:val="1"/>
      <w:marLeft w:val="0"/>
      <w:marRight w:val="0"/>
      <w:marTop w:val="0"/>
      <w:marBottom w:val="0"/>
      <w:divBdr>
        <w:top w:val="none" w:sz="0" w:space="0" w:color="auto"/>
        <w:left w:val="none" w:sz="0" w:space="0" w:color="auto"/>
        <w:bottom w:val="none" w:sz="0" w:space="0" w:color="auto"/>
        <w:right w:val="none" w:sz="0" w:space="0" w:color="auto"/>
      </w:divBdr>
    </w:div>
    <w:div w:id="658775665">
      <w:bodyDiv w:val="1"/>
      <w:marLeft w:val="0"/>
      <w:marRight w:val="0"/>
      <w:marTop w:val="0"/>
      <w:marBottom w:val="0"/>
      <w:divBdr>
        <w:top w:val="none" w:sz="0" w:space="0" w:color="auto"/>
        <w:left w:val="none" w:sz="0" w:space="0" w:color="auto"/>
        <w:bottom w:val="none" w:sz="0" w:space="0" w:color="auto"/>
        <w:right w:val="none" w:sz="0" w:space="0" w:color="auto"/>
      </w:divBdr>
    </w:div>
    <w:div w:id="659891661">
      <w:bodyDiv w:val="1"/>
      <w:marLeft w:val="0"/>
      <w:marRight w:val="0"/>
      <w:marTop w:val="0"/>
      <w:marBottom w:val="0"/>
      <w:divBdr>
        <w:top w:val="none" w:sz="0" w:space="0" w:color="auto"/>
        <w:left w:val="none" w:sz="0" w:space="0" w:color="auto"/>
        <w:bottom w:val="none" w:sz="0" w:space="0" w:color="auto"/>
        <w:right w:val="none" w:sz="0" w:space="0" w:color="auto"/>
      </w:divBdr>
    </w:div>
    <w:div w:id="663624481">
      <w:bodyDiv w:val="1"/>
      <w:marLeft w:val="0"/>
      <w:marRight w:val="0"/>
      <w:marTop w:val="0"/>
      <w:marBottom w:val="0"/>
      <w:divBdr>
        <w:top w:val="none" w:sz="0" w:space="0" w:color="auto"/>
        <w:left w:val="none" w:sz="0" w:space="0" w:color="auto"/>
        <w:bottom w:val="none" w:sz="0" w:space="0" w:color="auto"/>
        <w:right w:val="none" w:sz="0" w:space="0" w:color="auto"/>
      </w:divBdr>
    </w:div>
    <w:div w:id="665092002">
      <w:bodyDiv w:val="1"/>
      <w:marLeft w:val="0"/>
      <w:marRight w:val="0"/>
      <w:marTop w:val="0"/>
      <w:marBottom w:val="0"/>
      <w:divBdr>
        <w:top w:val="none" w:sz="0" w:space="0" w:color="auto"/>
        <w:left w:val="none" w:sz="0" w:space="0" w:color="auto"/>
        <w:bottom w:val="none" w:sz="0" w:space="0" w:color="auto"/>
        <w:right w:val="none" w:sz="0" w:space="0" w:color="auto"/>
      </w:divBdr>
    </w:div>
    <w:div w:id="665130362">
      <w:bodyDiv w:val="1"/>
      <w:marLeft w:val="0"/>
      <w:marRight w:val="0"/>
      <w:marTop w:val="0"/>
      <w:marBottom w:val="0"/>
      <w:divBdr>
        <w:top w:val="none" w:sz="0" w:space="0" w:color="auto"/>
        <w:left w:val="none" w:sz="0" w:space="0" w:color="auto"/>
        <w:bottom w:val="none" w:sz="0" w:space="0" w:color="auto"/>
        <w:right w:val="none" w:sz="0" w:space="0" w:color="auto"/>
      </w:divBdr>
    </w:div>
    <w:div w:id="665783963">
      <w:bodyDiv w:val="1"/>
      <w:marLeft w:val="0"/>
      <w:marRight w:val="0"/>
      <w:marTop w:val="0"/>
      <w:marBottom w:val="0"/>
      <w:divBdr>
        <w:top w:val="none" w:sz="0" w:space="0" w:color="auto"/>
        <w:left w:val="none" w:sz="0" w:space="0" w:color="auto"/>
        <w:bottom w:val="none" w:sz="0" w:space="0" w:color="auto"/>
        <w:right w:val="none" w:sz="0" w:space="0" w:color="auto"/>
      </w:divBdr>
    </w:div>
    <w:div w:id="669481297">
      <w:bodyDiv w:val="1"/>
      <w:marLeft w:val="0"/>
      <w:marRight w:val="0"/>
      <w:marTop w:val="0"/>
      <w:marBottom w:val="0"/>
      <w:divBdr>
        <w:top w:val="none" w:sz="0" w:space="0" w:color="auto"/>
        <w:left w:val="none" w:sz="0" w:space="0" w:color="auto"/>
        <w:bottom w:val="none" w:sz="0" w:space="0" w:color="auto"/>
        <w:right w:val="none" w:sz="0" w:space="0" w:color="auto"/>
      </w:divBdr>
    </w:div>
    <w:div w:id="672799884">
      <w:bodyDiv w:val="1"/>
      <w:marLeft w:val="0"/>
      <w:marRight w:val="0"/>
      <w:marTop w:val="0"/>
      <w:marBottom w:val="0"/>
      <w:divBdr>
        <w:top w:val="none" w:sz="0" w:space="0" w:color="auto"/>
        <w:left w:val="none" w:sz="0" w:space="0" w:color="auto"/>
        <w:bottom w:val="none" w:sz="0" w:space="0" w:color="auto"/>
        <w:right w:val="none" w:sz="0" w:space="0" w:color="auto"/>
      </w:divBdr>
    </w:div>
    <w:div w:id="672951347">
      <w:bodyDiv w:val="1"/>
      <w:marLeft w:val="0"/>
      <w:marRight w:val="0"/>
      <w:marTop w:val="0"/>
      <w:marBottom w:val="0"/>
      <w:divBdr>
        <w:top w:val="none" w:sz="0" w:space="0" w:color="auto"/>
        <w:left w:val="none" w:sz="0" w:space="0" w:color="auto"/>
        <w:bottom w:val="none" w:sz="0" w:space="0" w:color="auto"/>
        <w:right w:val="none" w:sz="0" w:space="0" w:color="auto"/>
      </w:divBdr>
    </w:div>
    <w:div w:id="673387473">
      <w:bodyDiv w:val="1"/>
      <w:marLeft w:val="0"/>
      <w:marRight w:val="0"/>
      <w:marTop w:val="0"/>
      <w:marBottom w:val="0"/>
      <w:divBdr>
        <w:top w:val="none" w:sz="0" w:space="0" w:color="auto"/>
        <w:left w:val="none" w:sz="0" w:space="0" w:color="auto"/>
        <w:bottom w:val="none" w:sz="0" w:space="0" w:color="auto"/>
        <w:right w:val="none" w:sz="0" w:space="0" w:color="auto"/>
      </w:divBdr>
    </w:div>
    <w:div w:id="679892493">
      <w:bodyDiv w:val="1"/>
      <w:marLeft w:val="0"/>
      <w:marRight w:val="0"/>
      <w:marTop w:val="0"/>
      <w:marBottom w:val="0"/>
      <w:divBdr>
        <w:top w:val="none" w:sz="0" w:space="0" w:color="auto"/>
        <w:left w:val="none" w:sz="0" w:space="0" w:color="auto"/>
        <w:bottom w:val="none" w:sz="0" w:space="0" w:color="auto"/>
        <w:right w:val="none" w:sz="0" w:space="0" w:color="auto"/>
      </w:divBdr>
    </w:div>
    <w:div w:id="681858633">
      <w:bodyDiv w:val="1"/>
      <w:marLeft w:val="0"/>
      <w:marRight w:val="0"/>
      <w:marTop w:val="0"/>
      <w:marBottom w:val="0"/>
      <w:divBdr>
        <w:top w:val="none" w:sz="0" w:space="0" w:color="auto"/>
        <w:left w:val="none" w:sz="0" w:space="0" w:color="auto"/>
        <w:bottom w:val="none" w:sz="0" w:space="0" w:color="auto"/>
        <w:right w:val="none" w:sz="0" w:space="0" w:color="auto"/>
      </w:divBdr>
    </w:div>
    <w:div w:id="682124746">
      <w:bodyDiv w:val="1"/>
      <w:marLeft w:val="0"/>
      <w:marRight w:val="0"/>
      <w:marTop w:val="0"/>
      <w:marBottom w:val="0"/>
      <w:divBdr>
        <w:top w:val="none" w:sz="0" w:space="0" w:color="auto"/>
        <w:left w:val="none" w:sz="0" w:space="0" w:color="auto"/>
        <w:bottom w:val="none" w:sz="0" w:space="0" w:color="auto"/>
        <w:right w:val="none" w:sz="0" w:space="0" w:color="auto"/>
      </w:divBdr>
    </w:div>
    <w:div w:id="684480234">
      <w:bodyDiv w:val="1"/>
      <w:marLeft w:val="0"/>
      <w:marRight w:val="0"/>
      <w:marTop w:val="0"/>
      <w:marBottom w:val="0"/>
      <w:divBdr>
        <w:top w:val="none" w:sz="0" w:space="0" w:color="auto"/>
        <w:left w:val="none" w:sz="0" w:space="0" w:color="auto"/>
        <w:bottom w:val="none" w:sz="0" w:space="0" w:color="auto"/>
        <w:right w:val="none" w:sz="0" w:space="0" w:color="auto"/>
      </w:divBdr>
    </w:div>
    <w:div w:id="686905582">
      <w:bodyDiv w:val="1"/>
      <w:marLeft w:val="0"/>
      <w:marRight w:val="0"/>
      <w:marTop w:val="0"/>
      <w:marBottom w:val="0"/>
      <w:divBdr>
        <w:top w:val="none" w:sz="0" w:space="0" w:color="auto"/>
        <w:left w:val="none" w:sz="0" w:space="0" w:color="auto"/>
        <w:bottom w:val="none" w:sz="0" w:space="0" w:color="auto"/>
        <w:right w:val="none" w:sz="0" w:space="0" w:color="auto"/>
      </w:divBdr>
    </w:div>
    <w:div w:id="691953379">
      <w:bodyDiv w:val="1"/>
      <w:marLeft w:val="0"/>
      <w:marRight w:val="0"/>
      <w:marTop w:val="0"/>
      <w:marBottom w:val="0"/>
      <w:divBdr>
        <w:top w:val="none" w:sz="0" w:space="0" w:color="auto"/>
        <w:left w:val="none" w:sz="0" w:space="0" w:color="auto"/>
        <w:bottom w:val="none" w:sz="0" w:space="0" w:color="auto"/>
        <w:right w:val="none" w:sz="0" w:space="0" w:color="auto"/>
      </w:divBdr>
    </w:div>
    <w:div w:id="693111638">
      <w:bodyDiv w:val="1"/>
      <w:marLeft w:val="0"/>
      <w:marRight w:val="0"/>
      <w:marTop w:val="0"/>
      <w:marBottom w:val="0"/>
      <w:divBdr>
        <w:top w:val="none" w:sz="0" w:space="0" w:color="auto"/>
        <w:left w:val="none" w:sz="0" w:space="0" w:color="auto"/>
        <w:bottom w:val="none" w:sz="0" w:space="0" w:color="auto"/>
        <w:right w:val="none" w:sz="0" w:space="0" w:color="auto"/>
      </w:divBdr>
    </w:div>
    <w:div w:id="693648652">
      <w:bodyDiv w:val="1"/>
      <w:marLeft w:val="0"/>
      <w:marRight w:val="0"/>
      <w:marTop w:val="0"/>
      <w:marBottom w:val="0"/>
      <w:divBdr>
        <w:top w:val="none" w:sz="0" w:space="0" w:color="auto"/>
        <w:left w:val="none" w:sz="0" w:space="0" w:color="auto"/>
        <w:bottom w:val="none" w:sz="0" w:space="0" w:color="auto"/>
        <w:right w:val="none" w:sz="0" w:space="0" w:color="auto"/>
      </w:divBdr>
    </w:div>
    <w:div w:id="693925962">
      <w:bodyDiv w:val="1"/>
      <w:marLeft w:val="0"/>
      <w:marRight w:val="0"/>
      <w:marTop w:val="0"/>
      <w:marBottom w:val="0"/>
      <w:divBdr>
        <w:top w:val="none" w:sz="0" w:space="0" w:color="auto"/>
        <w:left w:val="none" w:sz="0" w:space="0" w:color="auto"/>
        <w:bottom w:val="none" w:sz="0" w:space="0" w:color="auto"/>
        <w:right w:val="none" w:sz="0" w:space="0" w:color="auto"/>
      </w:divBdr>
    </w:div>
    <w:div w:id="695815269">
      <w:bodyDiv w:val="1"/>
      <w:marLeft w:val="0"/>
      <w:marRight w:val="0"/>
      <w:marTop w:val="0"/>
      <w:marBottom w:val="0"/>
      <w:divBdr>
        <w:top w:val="none" w:sz="0" w:space="0" w:color="auto"/>
        <w:left w:val="none" w:sz="0" w:space="0" w:color="auto"/>
        <w:bottom w:val="none" w:sz="0" w:space="0" w:color="auto"/>
        <w:right w:val="none" w:sz="0" w:space="0" w:color="auto"/>
      </w:divBdr>
    </w:div>
    <w:div w:id="699012189">
      <w:bodyDiv w:val="1"/>
      <w:marLeft w:val="0"/>
      <w:marRight w:val="0"/>
      <w:marTop w:val="0"/>
      <w:marBottom w:val="0"/>
      <w:divBdr>
        <w:top w:val="none" w:sz="0" w:space="0" w:color="auto"/>
        <w:left w:val="none" w:sz="0" w:space="0" w:color="auto"/>
        <w:bottom w:val="none" w:sz="0" w:space="0" w:color="auto"/>
        <w:right w:val="none" w:sz="0" w:space="0" w:color="auto"/>
      </w:divBdr>
    </w:div>
    <w:div w:id="702749447">
      <w:bodyDiv w:val="1"/>
      <w:marLeft w:val="0"/>
      <w:marRight w:val="0"/>
      <w:marTop w:val="0"/>
      <w:marBottom w:val="0"/>
      <w:divBdr>
        <w:top w:val="none" w:sz="0" w:space="0" w:color="auto"/>
        <w:left w:val="none" w:sz="0" w:space="0" w:color="auto"/>
        <w:bottom w:val="none" w:sz="0" w:space="0" w:color="auto"/>
        <w:right w:val="none" w:sz="0" w:space="0" w:color="auto"/>
      </w:divBdr>
    </w:div>
    <w:div w:id="705258272">
      <w:bodyDiv w:val="1"/>
      <w:marLeft w:val="0"/>
      <w:marRight w:val="0"/>
      <w:marTop w:val="0"/>
      <w:marBottom w:val="0"/>
      <w:divBdr>
        <w:top w:val="none" w:sz="0" w:space="0" w:color="auto"/>
        <w:left w:val="none" w:sz="0" w:space="0" w:color="auto"/>
        <w:bottom w:val="none" w:sz="0" w:space="0" w:color="auto"/>
        <w:right w:val="none" w:sz="0" w:space="0" w:color="auto"/>
      </w:divBdr>
    </w:div>
    <w:div w:id="706877089">
      <w:bodyDiv w:val="1"/>
      <w:marLeft w:val="0"/>
      <w:marRight w:val="0"/>
      <w:marTop w:val="0"/>
      <w:marBottom w:val="0"/>
      <w:divBdr>
        <w:top w:val="none" w:sz="0" w:space="0" w:color="auto"/>
        <w:left w:val="none" w:sz="0" w:space="0" w:color="auto"/>
        <w:bottom w:val="none" w:sz="0" w:space="0" w:color="auto"/>
        <w:right w:val="none" w:sz="0" w:space="0" w:color="auto"/>
      </w:divBdr>
    </w:div>
    <w:div w:id="707099739">
      <w:bodyDiv w:val="1"/>
      <w:marLeft w:val="0"/>
      <w:marRight w:val="0"/>
      <w:marTop w:val="0"/>
      <w:marBottom w:val="0"/>
      <w:divBdr>
        <w:top w:val="none" w:sz="0" w:space="0" w:color="auto"/>
        <w:left w:val="none" w:sz="0" w:space="0" w:color="auto"/>
        <w:bottom w:val="none" w:sz="0" w:space="0" w:color="auto"/>
        <w:right w:val="none" w:sz="0" w:space="0" w:color="auto"/>
      </w:divBdr>
    </w:div>
    <w:div w:id="707682882">
      <w:bodyDiv w:val="1"/>
      <w:marLeft w:val="0"/>
      <w:marRight w:val="0"/>
      <w:marTop w:val="0"/>
      <w:marBottom w:val="0"/>
      <w:divBdr>
        <w:top w:val="none" w:sz="0" w:space="0" w:color="auto"/>
        <w:left w:val="none" w:sz="0" w:space="0" w:color="auto"/>
        <w:bottom w:val="none" w:sz="0" w:space="0" w:color="auto"/>
        <w:right w:val="none" w:sz="0" w:space="0" w:color="auto"/>
      </w:divBdr>
    </w:div>
    <w:div w:id="711421682">
      <w:bodyDiv w:val="1"/>
      <w:marLeft w:val="0"/>
      <w:marRight w:val="0"/>
      <w:marTop w:val="0"/>
      <w:marBottom w:val="0"/>
      <w:divBdr>
        <w:top w:val="none" w:sz="0" w:space="0" w:color="auto"/>
        <w:left w:val="none" w:sz="0" w:space="0" w:color="auto"/>
        <w:bottom w:val="none" w:sz="0" w:space="0" w:color="auto"/>
        <w:right w:val="none" w:sz="0" w:space="0" w:color="auto"/>
      </w:divBdr>
    </w:div>
    <w:div w:id="712315659">
      <w:bodyDiv w:val="1"/>
      <w:marLeft w:val="0"/>
      <w:marRight w:val="0"/>
      <w:marTop w:val="0"/>
      <w:marBottom w:val="0"/>
      <w:divBdr>
        <w:top w:val="none" w:sz="0" w:space="0" w:color="auto"/>
        <w:left w:val="none" w:sz="0" w:space="0" w:color="auto"/>
        <w:bottom w:val="none" w:sz="0" w:space="0" w:color="auto"/>
        <w:right w:val="none" w:sz="0" w:space="0" w:color="auto"/>
      </w:divBdr>
    </w:div>
    <w:div w:id="713508504">
      <w:bodyDiv w:val="1"/>
      <w:marLeft w:val="0"/>
      <w:marRight w:val="0"/>
      <w:marTop w:val="0"/>
      <w:marBottom w:val="0"/>
      <w:divBdr>
        <w:top w:val="none" w:sz="0" w:space="0" w:color="auto"/>
        <w:left w:val="none" w:sz="0" w:space="0" w:color="auto"/>
        <w:bottom w:val="none" w:sz="0" w:space="0" w:color="auto"/>
        <w:right w:val="none" w:sz="0" w:space="0" w:color="auto"/>
      </w:divBdr>
    </w:div>
    <w:div w:id="714543024">
      <w:bodyDiv w:val="1"/>
      <w:marLeft w:val="0"/>
      <w:marRight w:val="0"/>
      <w:marTop w:val="0"/>
      <w:marBottom w:val="0"/>
      <w:divBdr>
        <w:top w:val="none" w:sz="0" w:space="0" w:color="auto"/>
        <w:left w:val="none" w:sz="0" w:space="0" w:color="auto"/>
        <w:bottom w:val="none" w:sz="0" w:space="0" w:color="auto"/>
        <w:right w:val="none" w:sz="0" w:space="0" w:color="auto"/>
      </w:divBdr>
    </w:div>
    <w:div w:id="715083821">
      <w:bodyDiv w:val="1"/>
      <w:marLeft w:val="0"/>
      <w:marRight w:val="0"/>
      <w:marTop w:val="0"/>
      <w:marBottom w:val="0"/>
      <w:divBdr>
        <w:top w:val="none" w:sz="0" w:space="0" w:color="auto"/>
        <w:left w:val="none" w:sz="0" w:space="0" w:color="auto"/>
        <w:bottom w:val="none" w:sz="0" w:space="0" w:color="auto"/>
        <w:right w:val="none" w:sz="0" w:space="0" w:color="auto"/>
      </w:divBdr>
    </w:div>
    <w:div w:id="717096992">
      <w:bodyDiv w:val="1"/>
      <w:marLeft w:val="0"/>
      <w:marRight w:val="0"/>
      <w:marTop w:val="0"/>
      <w:marBottom w:val="0"/>
      <w:divBdr>
        <w:top w:val="none" w:sz="0" w:space="0" w:color="auto"/>
        <w:left w:val="none" w:sz="0" w:space="0" w:color="auto"/>
        <w:bottom w:val="none" w:sz="0" w:space="0" w:color="auto"/>
        <w:right w:val="none" w:sz="0" w:space="0" w:color="auto"/>
      </w:divBdr>
    </w:div>
    <w:div w:id="717708548">
      <w:bodyDiv w:val="1"/>
      <w:marLeft w:val="0"/>
      <w:marRight w:val="0"/>
      <w:marTop w:val="0"/>
      <w:marBottom w:val="0"/>
      <w:divBdr>
        <w:top w:val="none" w:sz="0" w:space="0" w:color="auto"/>
        <w:left w:val="none" w:sz="0" w:space="0" w:color="auto"/>
        <w:bottom w:val="none" w:sz="0" w:space="0" w:color="auto"/>
        <w:right w:val="none" w:sz="0" w:space="0" w:color="auto"/>
      </w:divBdr>
    </w:div>
    <w:div w:id="718826732">
      <w:bodyDiv w:val="1"/>
      <w:marLeft w:val="0"/>
      <w:marRight w:val="0"/>
      <w:marTop w:val="0"/>
      <w:marBottom w:val="0"/>
      <w:divBdr>
        <w:top w:val="none" w:sz="0" w:space="0" w:color="auto"/>
        <w:left w:val="none" w:sz="0" w:space="0" w:color="auto"/>
        <w:bottom w:val="none" w:sz="0" w:space="0" w:color="auto"/>
        <w:right w:val="none" w:sz="0" w:space="0" w:color="auto"/>
      </w:divBdr>
    </w:div>
    <w:div w:id="720136682">
      <w:bodyDiv w:val="1"/>
      <w:marLeft w:val="0"/>
      <w:marRight w:val="0"/>
      <w:marTop w:val="0"/>
      <w:marBottom w:val="0"/>
      <w:divBdr>
        <w:top w:val="none" w:sz="0" w:space="0" w:color="auto"/>
        <w:left w:val="none" w:sz="0" w:space="0" w:color="auto"/>
        <w:bottom w:val="none" w:sz="0" w:space="0" w:color="auto"/>
        <w:right w:val="none" w:sz="0" w:space="0" w:color="auto"/>
      </w:divBdr>
    </w:div>
    <w:div w:id="720636590">
      <w:bodyDiv w:val="1"/>
      <w:marLeft w:val="0"/>
      <w:marRight w:val="0"/>
      <w:marTop w:val="0"/>
      <w:marBottom w:val="0"/>
      <w:divBdr>
        <w:top w:val="none" w:sz="0" w:space="0" w:color="auto"/>
        <w:left w:val="none" w:sz="0" w:space="0" w:color="auto"/>
        <w:bottom w:val="none" w:sz="0" w:space="0" w:color="auto"/>
        <w:right w:val="none" w:sz="0" w:space="0" w:color="auto"/>
      </w:divBdr>
    </w:div>
    <w:div w:id="721249592">
      <w:bodyDiv w:val="1"/>
      <w:marLeft w:val="0"/>
      <w:marRight w:val="0"/>
      <w:marTop w:val="0"/>
      <w:marBottom w:val="0"/>
      <w:divBdr>
        <w:top w:val="none" w:sz="0" w:space="0" w:color="auto"/>
        <w:left w:val="none" w:sz="0" w:space="0" w:color="auto"/>
        <w:bottom w:val="none" w:sz="0" w:space="0" w:color="auto"/>
        <w:right w:val="none" w:sz="0" w:space="0" w:color="auto"/>
      </w:divBdr>
    </w:div>
    <w:div w:id="726226568">
      <w:bodyDiv w:val="1"/>
      <w:marLeft w:val="0"/>
      <w:marRight w:val="0"/>
      <w:marTop w:val="0"/>
      <w:marBottom w:val="0"/>
      <w:divBdr>
        <w:top w:val="none" w:sz="0" w:space="0" w:color="auto"/>
        <w:left w:val="none" w:sz="0" w:space="0" w:color="auto"/>
        <w:bottom w:val="none" w:sz="0" w:space="0" w:color="auto"/>
        <w:right w:val="none" w:sz="0" w:space="0" w:color="auto"/>
      </w:divBdr>
    </w:div>
    <w:div w:id="726339673">
      <w:bodyDiv w:val="1"/>
      <w:marLeft w:val="0"/>
      <w:marRight w:val="0"/>
      <w:marTop w:val="0"/>
      <w:marBottom w:val="0"/>
      <w:divBdr>
        <w:top w:val="none" w:sz="0" w:space="0" w:color="auto"/>
        <w:left w:val="none" w:sz="0" w:space="0" w:color="auto"/>
        <w:bottom w:val="none" w:sz="0" w:space="0" w:color="auto"/>
        <w:right w:val="none" w:sz="0" w:space="0" w:color="auto"/>
      </w:divBdr>
    </w:div>
    <w:div w:id="727148505">
      <w:bodyDiv w:val="1"/>
      <w:marLeft w:val="0"/>
      <w:marRight w:val="0"/>
      <w:marTop w:val="0"/>
      <w:marBottom w:val="0"/>
      <w:divBdr>
        <w:top w:val="none" w:sz="0" w:space="0" w:color="auto"/>
        <w:left w:val="none" w:sz="0" w:space="0" w:color="auto"/>
        <w:bottom w:val="none" w:sz="0" w:space="0" w:color="auto"/>
        <w:right w:val="none" w:sz="0" w:space="0" w:color="auto"/>
      </w:divBdr>
    </w:div>
    <w:div w:id="728189417">
      <w:bodyDiv w:val="1"/>
      <w:marLeft w:val="0"/>
      <w:marRight w:val="0"/>
      <w:marTop w:val="0"/>
      <w:marBottom w:val="0"/>
      <w:divBdr>
        <w:top w:val="none" w:sz="0" w:space="0" w:color="auto"/>
        <w:left w:val="none" w:sz="0" w:space="0" w:color="auto"/>
        <w:bottom w:val="none" w:sz="0" w:space="0" w:color="auto"/>
        <w:right w:val="none" w:sz="0" w:space="0" w:color="auto"/>
      </w:divBdr>
    </w:div>
    <w:div w:id="728964420">
      <w:bodyDiv w:val="1"/>
      <w:marLeft w:val="0"/>
      <w:marRight w:val="0"/>
      <w:marTop w:val="0"/>
      <w:marBottom w:val="0"/>
      <w:divBdr>
        <w:top w:val="none" w:sz="0" w:space="0" w:color="auto"/>
        <w:left w:val="none" w:sz="0" w:space="0" w:color="auto"/>
        <w:bottom w:val="none" w:sz="0" w:space="0" w:color="auto"/>
        <w:right w:val="none" w:sz="0" w:space="0" w:color="auto"/>
      </w:divBdr>
    </w:div>
    <w:div w:id="730427958">
      <w:bodyDiv w:val="1"/>
      <w:marLeft w:val="0"/>
      <w:marRight w:val="0"/>
      <w:marTop w:val="0"/>
      <w:marBottom w:val="0"/>
      <w:divBdr>
        <w:top w:val="none" w:sz="0" w:space="0" w:color="auto"/>
        <w:left w:val="none" w:sz="0" w:space="0" w:color="auto"/>
        <w:bottom w:val="none" w:sz="0" w:space="0" w:color="auto"/>
        <w:right w:val="none" w:sz="0" w:space="0" w:color="auto"/>
      </w:divBdr>
    </w:div>
    <w:div w:id="734470675">
      <w:bodyDiv w:val="1"/>
      <w:marLeft w:val="0"/>
      <w:marRight w:val="0"/>
      <w:marTop w:val="0"/>
      <w:marBottom w:val="0"/>
      <w:divBdr>
        <w:top w:val="none" w:sz="0" w:space="0" w:color="auto"/>
        <w:left w:val="none" w:sz="0" w:space="0" w:color="auto"/>
        <w:bottom w:val="none" w:sz="0" w:space="0" w:color="auto"/>
        <w:right w:val="none" w:sz="0" w:space="0" w:color="auto"/>
      </w:divBdr>
    </w:div>
    <w:div w:id="735128754">
      <w:bodyDiv w:val="1"/>
      <w:marLeft w:val="0"/>
      <w:marRight w:val="0"/>
      <w:marTop w:val="0"/>
      <w:marBottom w:val="0"/>
      <w:divBdr>
        <w:top w:val="none" w:sz="0" w:space="0" w:color="auto"/>
        <w:left w:val="none" w:sz="0" w:space="0" w:color="auto"/>
        <w:bottom w:val="none" w:sz="0" w:space="0" w:color="auto"/>
        <w:right w:val="none" w:sz="0" w:space="0" w:color="auto"/>
      </w:divBdr>
    </w:div>
    <w:div w:id="735510862">
      <w:bodyDiv w:val="1"/>
      <w:marLeft w:val="0"/>
      <w:marRight w:val="0"/>
      <w:marTop w:val="0"/>
      <w:marBottom w:val="0"/>
      <w:divBdr>
        <w:top w:val="none" w:sz="0" w:space="0" w:color="auto"/>
        <w:left w:val="none" w:sz="0" w:space="0" w:color="auto"/>
        <w:bottom w:val="none" w:sz="0" w:space="0" w:color="auto"/>
        <w:right w:val="none" w:sz="0" w:space="0" w:color="auto"/>
      </w:divBdr>
    </w:div>
    <w:div w:id="735517555">
      <w:bodyDiv w:val="1"/>
      <w:marLeft w:val="0"/>
      <w:marRight w:val="0"/>
      <w:marTop w:val="0"/>
      <w:marBottom w:val="0"/>
      <w:divBdr>
        <w:top w:val="none" w:sz="0" w:space="0" w:color="auto"/>
        <w:left w:val="none" w:sz="0" w:space="0" w:color="auto"/>
        <w:bottom w:val="none" w:sz="0" w:space="0" w:color="auto"/>
        <w:right w:val="none" w:sz="0" w:space="0" w:color="auto"/>
      </w:divBdr>
    </w:div>
    <w:div w:id="735980856">
      <w:bodyDiv w:val="1"/>
      <w:marLeft w:val="0"/>
      <w:marRight w:val="0"/>
      <w:marTop w:val="0"/>
      <w:marBottom w:val="0"/>
      <w:divBdr>
        <w:top w:val="none" w:sz="0" w:space="0" w:color="auto"/>
        <w:left w:val="none" w:sz="0" w:space="0" w:color="auto"/>
        <w:bottom w:val="none" w:sz="0" w:space="0" w:color="auto"/>
        <w:right w:val="none" w:sz="0" w:space="0" w:color="auto"/>
      </w:divBdr>
    </w:div>
    <w:div w:id="737289240">
      <w:bodyDiv w:val="1"/>
      <w:marLeft w:val="0"/>
      <w:marRight w:val="0"/>
      <w:marTop w:val="0"/>
      <w:marBottom w:val="0"/>
      <w:divBdr>
        <w:top w:val="none" w:sz="0" w:space="0" w:color="auto"/>
        <w:left w:val="none" w:sz="0" w:space="0" w:color="auto"/>
        <w:bottom w:val="none" w:sz="0" w:space="0" w:color="auto"/>
        <w:right w:val="none" w:sz="0" w:space="0" w:color="auto"/>
      </w:divBdr>
    </w:div>
    <w:div w:id="738863692">
      <w:bodyDiv w:val="1"/>
      <w:marLeft w:val="0"/>
      <w:marRight w:val="0"/>
      <w:marTop w:val="0"/>
      <w:marBottom w:val="0"/>
      <w:divBdr>
        <w:top w:val="none" w:sz="0" w:space="0" w:color="auto"/>
        <w:left w:val="none" w:sz="0" w:space="0" w:color="auto"/>
        <w:bottom w:val="none" w:sz="0" w:space="0" w:color="auto"/>
        <w:right w:val="none" w:sz="0" w:space="0" w:color="auto"/>
      </w:divBdr>
    </w:div>
    <w:div w:id="739209129">
      <w:bodyDiv w:val="1"/>
      <w:marLeft w:val="0"/>
      <w:marRight w:val="0"/>
      <w:marTop w:val="0"/>
      <w:marBottom w:val="0"/>
      <w:divBdr>
        <w:top w:val="none" w:sz="0" w:space="0" w:color="auto"/>
        <w:left w:val="none" w:sz="0" w:space="0" w:color="auto"/>
        <w:bottom w:val="none" w:sz="0" w:space="0" w:color="auto"/>
        <w:right w:val="none" w:sz="0" w:space="0" w:color="auto"/>
      </w:divBdr>
    </w:div>
    <w:div w:id="740830425">
      <w:bodyDiv w:val="1"/>
      <w:marLeft w:val="0"/>
      <w:marRight w:val="0"/>
      <w:marTop w:val="0"/>
      <w:marBottom w:val="0"/>
      <w:divBdr>
        <w:top w:val="none" w:sz="0" w:space="0" w:color="auto"/>
        <w:left w:val="none" w:sz="0" w:space="0" w:color="auto"/>
        <w:bottom w:val="none" w:sz="0" w:space="0" w:color="auto"/>
        <w:right w:val="none" w:sz="0" w:space="0" w:color="auto"/>
      </w:divBdr>
    </w:div>
    <w:div w:id="742416858">
      <w:bodyDiv w:val="1"/>
      <w:marLeft w:val="0"/>
      <w:marRight w:val="0"/>
      <w:marTop w:val="0"/>
      <w:marBottom w:val="0"/>
      <w:divBdr>
        <w:top w:val="none" w:sz="0" w:space="0" w:color="auto"/>
        <w:left w:val="none" w:sz="0" w:space="0" w:color="auto"/>
        <w:bottom w:val="none" w:sz="0" w:space="0" w:color="auto"/>
        <w:right w:val="none" w:sz="0" w:space="0" w:color="auto"/>
      </w:divBdr>
    </w:div>
    <w:div w:id="742458573">
      <w:bodyDiv w:val="1"/>
      <w:marLeft w:val="0"/>
      <w:marRight w:val="0"/>
      <w:marTop w:val="0"/>
      <w:marBottom w:val="0"/>
      <w:divBdr>
        <w:top w:val="none" w:sz="0" w:space="0" w:color="auto"/>
        <w:left w:val="none" w:sz="0" w:space="0" w:color="auto"/>
        <w:bottom w:val="none" w:sz="0" w:space="0" w:color="auto"/>
        <w:right w:val="none" w:sz="0" w:space="0" w:color="auto"/>
      </w:divBdr>
    </w:div>
    <w:div w:id="745036261">
      <w:bodyDiv w:val="1"/>
      <w:marLeft w:val="0"/>
      <w:marRight w:val="0"/>
      <w:marTop w:val="0"/>
      <w:marBottom w:val="0"/>
      <w:divBdr>
        <w:top w:val="none" w:sz="0" w:space="0" w:color="auto"/>
        <w:left w:val="none" w:sz="0" w:space="0" w:color="auto"/>
        <w:bottom w:val="none" w:sz="0" w:space="0" w:color="auto"/>
        <w:right w:val="none" w:sz="0" w:space="0" w:color="auto"/>
      </w:divBdr>
    </w:div>
    <w:div w:id="748233628">
      <w:bodyDiv w:val="1"/>
      <w:marLeft w:val="0"/>
      <w:marRight w:val="0"/>
      <w:marTop w:val="0"/>
      <w:marBottom w:val="0"/>
      <w:divBdr>
        <w:top w:val="none" w:sz="0" w:space="0" w:color="auto"/>
        <w:left w:val="none" w:sz="0" w:space="0" w:color="auto"/>
        <w:bottom w:val="none" w:sz="0" w:space="0" w:color="auto"/>
        <w:right w:val="none" w:sz="0" w:space="0" w:color="auto"/>
      </w:divBdr>
    </w:div>
    <w:div w:id="748506163">
      <w:bodyDiv w:val="1"/>
      <w:marLeft w:val="0"/>
      <w:marRight w:val="0"/>
      <w:marTop w:val="0"/>
      <w:marBottom w:val="0"/>
      <w:divBdr>
        <w:top w:val="none" w:sz="0" w:space="0" w:color="auto"/>
        <w:left w:val="none" w:sz="0" w:space="0" w:color="auto"/>
        <w:bottom w:val="none" w:sz="0" w:space="0" w:color="auto"/>
        <w:right w:val="none" w:sz="0" w:space="0" w:color="auto"/>
      </w:divBdr>
    </w:div>
    <w:div w:id="748622716">
      <w:bodyDiv w:val="1"/>
      <w:marLeft w:val="0"/>
      <w:marRight w:val="0"/>
      <w:marTop w:val="0"/>
      <w:marBottom w:val="0"/>
      <w:divBdr>
        <w:top w:val="none" w:sz="0" w:space="0" w:color="auto"/>
        <w:left w:val="none" w:sz="0" w:space="0" w:color="auto"/>
        <w:bottom w:val="none" w:sz="0" w:space="0" w:color="auto"/>
        <w:right w:val="none" w:sz="0" w:space="0" w:color="auto"/>
      </w:divBdr>
    </w:div>
    <w:div w:id="749884031">
      <w:bodyDiv w:val="1"/>
      <w:marLeft w:val="0"/>
      <w:marRight w:val="0"/>
      <w:marTop w:val="0"/>
      <w:marBottom w:val="0"/>
      <w:divBdr>
        <w:top w:val="none" w:sz="0" w:space="0" w:color="auto"/>
        <w:left w:val="none" w:sz="0" w:space="0" w:color="auto"/>
        <w:bottom w:val="none" w:sz="0" w:space="0" w:color="auto"/>
        <w:right w:val="none" w:sz="0" w:space="0" w:color="auto"/>
      </w:divBdr>
    </w:div>
    <w:div w:id="751126442">
      <w:bodyDiv w:val="1"/>
      <w:marLeft w:val="0"/>
      <w:marRight w:val="0"/>
      <w:marTop w:val="0"/>
      <w:marBottom w:val="0"/>
      <w:divBdr>
        <w:top w:val="none" w:sz="0" w:space="0" w:color="auto"/>
        <w:left w:val="none" w:sz="0" w:space="0" w:color="auto"/>
        <w:bottom w:val="none" w:sz="0" w:space="0" w:color="auto"/>
        <w:right w:val="none" w:sz="0" w:space="0" w:color="auto"/>
      </w:divBdr>
    </w:div>
    <w:div w:id="752314381">
      <w:bodyDiv w:val="1"/>
      <w:marLeft w:val="0"/>
      <w:marRight w:val="0"/>
      <w:marTop w:val="0"/>
      <w:marBottom w:val="0"/>
      <w:divBdr>
        <w:top w:val="none" w:sz="0" w:space="0" w:color="auto"/>
        <w:left w:val="none" w:sz="0" w:space="0" w:color="auto"/>
        <w:bottom w:val="none" w:sz="0" w:space="0" w:color="auto"/>
        <w:right w:val="none" w:sz="0" w:space="0" w:color="auto"/>
      </w:divBdr>
    </w:div>
    <w:div w:id="754206302">
      <w:bodyDiv w:val="1"/>
      <w:marLeft w:val="0"/>
      <w:marRight w:val="0"/>
      <w:marTop w:val="0"/>
      <w:marBottom w:val="0"/>
      <w:divBdr>
        <w:top w:val="none" w:sz="0" w:space="0" w:color="auto"/>
        <w:left w:val="none" w:sz="0" w:space="0" w:color="auto"/>
        <w:bottom w:val="none" w:sz="0" w:space="0" w:color="auto"/>
        <w:right w:val="none" w:sz="0" w:space="0" w:color="auto"/>
      </w:divBdr>
    </w:div>
    <w:div w:id="755176142">
      <w:bodyDiv w:val="1"/>
      <w:marLeft w:val="0"/>
      <w:marRight w:val="0"/>
      <w:marTop w:val="0"/>
      <w:marBottom w:val="0"/>
      <w:divBdr>
        <w:top w:val="none" w:sz="0" w:space="0" w:color="auto"/>
        <w:left w:val="none" w:sz="0" w:space="0" w:color="auto"/>
        <w:bottom w:val="none" w:sz="0" w:space="0" w:color="auto"/>
        <w:right w:val="none" w:sz="0" w:space="0" w:color="auto"/>
      </w:divBdr>
    </w:div>
    <w:div w:id="755396624">
      <w:bodyDiv w:val="1"/>
      <w:marLeft w:val="0"/>
      <w:marRight w:val="0"/>
      <w:marTop w:val="0"/>
      <w:marBottom w:val="0"/>
      <w:divBdr>
        <w:top w:val="none" w:sz="0" w:space="0" w:color="auto"/>
        <w:left w:val="none" w:sz="0" w:space="0" w:color="auto"/>
        <w:bottom w:val="none" w:sz="0" w:space="0" w:color="auto"/>
        <w:right w:val="none" w:sz="0" w:space="0" w:color="auto"/>
      </w:divBdr>
    </w:div>
    <w:div w:id="755907579">
      <w:bodyDiv w:val="1"/>
      <w:marLeft w:val="0"/>
      <w:marRight w:val="0"/>
      <w:marTop w:val="0"/>
      <w:marBottom w:val="0"/>
      <w:divBdr>
        <w:top w:val="none" w:sz="0" w:space="0" w:color="auto"/>
        <w:left w:val="none" w:sz="0" w:space="0" w:color="auto"/>
        <w:bottom w:val="none" w:sz="0" w:space="0" w:color="auto"/>
        <w:right w:val="none" w:sz="0" w:space="0" w:color="auto"/>
      </w:divBdr>
    </w:div>
    <w:div w:id="764426551">
      <w:bodyDiv w:val="1"/>
      <w:marLeft w:val="0"/>
      <w:marRight w:val="0"/>
      <w:marTop w:val="0"/>
      <w:marBottom w:val="0"/>
      <w:divBdr>
        <w:top w:val="none" w:sz="0" w:space="0" w:color="auto"/>
        <w:left w:val="none" w:sz="0" w:space="0" w:color="auto"/>
        <w:bottom w:val="none" w:sz="0" w:space="0" w:color="auto"/>
        <w:right w:val="none" w:sz="0" w:space="0" w:color="auto"/>
      </w:divBdr>
    </w:div>
    <w:div w:id="765729644">
      <w:bodyDiv w:val="1"/>
      <w:marLeft w:val="0"/>
      <w:marRight w:val="0"/>
      <w:marTop w:val="0"/>
      <w:marBottom w:val="0"/>
      <w:divBdr>
        <w:top w:val="none" w:sz="0" w:space="0" w:color="auto"/>
        <w:left w:val="none" w:sz="0" w:space="0" w:color="auto"/>
        <w:bottom w:val="none" w:sz="0" w:space="0" w:color="auto"/>
        <w:right w:val="none" w:sz="0" w:space="0" w:color="auto"/>
      </w:divBdr>
    </w:div>
    <w:div w:id="770128380">
      <w:bodyDiv w:val="1"/>
      <w:marLeft w:val="0"/>
      <w:marRight w:val="0"/>
      <w:marTop w:val="0"/>
      <w:marBottom w:val="0"/>
      <w:divBdr>
        <w:top w:val="none" w:sz="0" w:space="0" w:color="auto"/>
        <w:left w:val="none" w:sz="0" w:space="0" w:color="auto"/>
        <w:bottom w:val="none" w:sz="0" w:space="0" w:color="auto"/>
        <w:right w:val="none" w:sz="0" w:space="0" w:color="auto"/>
      </w:divBdr>
    </w:div>
    <w:div w:id="772164200">
      <w:bodyDiv w:val="1"/>
      <w:marLeft w:val="0"/>
      <w:marRight w:val="0"/>
      <w:marTop w:val="0"/>
      <w:marBottom w:val="0"/>
      <w:divBdr>
        <w:top w:val="none" w:sz="0" w:space="0" w:color="auto"/>
        <w:left w:val="none" w:sz="0" w:space="0" w:color="auto"/>
        <w:bottom w:val="none" w:sz="0" w:space="0" w:color="auto"/>
        <w:right w:val="none" w:sz="0" w:space="0" w:color="auto"/>
      </w:divBdr>
    </w:div>
    <w:div w:id="773285905">
      <w:bodyDiv w:val="1"/>
      <w:marLeft w:val="0"/>
      <w:marRight w:val="0"/>
      <w:marTop w:val="0"/>
      <w:marBottom w:val="0"/>
      <w:divBdr>
        <w:top w:val="none" w:sz="0" w:space="0" w:color="auto"/>
        <w:left w:val="none" w:sz="0" w:space="0" w:color="auto"/>
        <w:bottom w:val="none" w:sz="0" w:space="0" w:color="auto"/>
        <w:right w:val="none" w:sz="0" w:space="0" w:color="auto"/>
      </w:divBdr>
    </w:div>
    <w:div w:id="781731880">
      <w:bodyDiv w:val="1"/>
      <w:marLeft w:val="0"/>
      <w:marRight w:val="0"/>
      <w:marTop w:val="0"/>
      <w:marBottom w:val="0"/>
      <w:divBdr>
        <w:top w:val="none" w:sz="0" w:space="0" w:color="auto"/>
        <w:left w:val="none" w:sz="0" w:space="0" w:color="auto"/>
        <w:bottom w:val="none" w:sz="0" w:space="0" w:color="auto"/>
        <w:right w:val="none" w:sz="0" w:space="0" w:color="auto"/>
      </w:divBdr>
    </w:div>
    <w:div w:id="783578909">
      <w:bodyDiv w:val="1"/>
      <w:marLeft w:val="0"/>
      <w:marRight w:val="0"/>
      <w:marTop w:val="0"/>
      <w:marBottom w:val="0"/>
      <w:divBdr>
        <w:top w:val="none" w:sz="0" w:space="0" w:color="auto"/>
        <w:left w:val="none" w:sz="0" w:space="0" w:color="auto"/>
        <w:bottom w:val="none" w:sz="0" w:space="0" w:color="auto"/>
        <w:right w:val="none" w:sz="0" w:space="0" w:color="auto"/>
      </w:divBdr>
    </w:div>
    <w:div w:id="786657848">
      <w:bodyDiv w:val="1"/>
      <w:marLeft w:val="0"/>
      <w:marRight w:val="0"/>
      <w:marTop w:val="0"/>
      <w:marBottom w:val="0"/>
      <w:divBdr>
        <w:top w:val="none" w:sz="0" w:space="0" w:color="auto"/>
        <w:left w:val="none" w:sz="0" w:space="0" w:color="auto"/>
        <w:bottom w:val="none" w:sz="0" w:space="0" w:color="auto"/>
        <w:right w:val="none" w:sz="0" w:space="0" w:color="auto"/>
      </w:divBdr>
    </w:div>
    <w:div w:id="786971875">
      <w:bodyDiv w:val="1"/>
      <w:marLeft w:val="0"/>
      <w:marRight w:val="0"/>
      <w:marTop w:val="0"/>
      <w:marBottom w:val="0"/>
      <w:divBdr>
        <w:top w:val="none" w:sz="0" w:space="0" w:color="auto"/>
        <w:left w:val="none" w:sz="0" w:space="0" w:color="auto"/>
        <w:bottom w:val="none" w:sz="0" w:space="0" w:color="auto"/>
        <w:right w:val="none" w:sz="0" w:space="0" w:color="auto"/>
      </w:divBdr>
    </w:div>
    <w:div w:id="787311314">
      <w:bodyDiv w:val="1"/>
      <w:marLeft w:val="0"/>
      <w:marRight w:val="0"/>
      <w:marTop w:val="0"/>
      <w:marBottom w:val="0"/>
      <w:divBdr>
        <w:top w:val="none" w:sz="0" w:space="0" w:color="auto"/>
        <w:left w:val="none" w:sz="0" w:space="0" w:color="auto"/>
        <w:bottom w:val="none" w:sz="0" w:space="0" w:color="auto"/>
        <w:right w:val="none" w:sz="0" w:space="0" w:color="auto"/>
      </w:divBdr>
    </w:div>
    <w:div w:id="787355036">
      <w:bodyDiv w:val="1"/>
      <w:marLeft w:val="0"/>
      <w:marRight w:val="0"/>
      <w:marTop w:val="0"/>
      <w:marBottom w:val="0"/>
      <w:divBdr>
        <w:top w:val="none" w:sz="0" w:space="0" w:color="auto"/>
        <w:left w:val="none" w:sz="0" w:space="0" w:color="auto"/>
        <w:bottom w:val="none" w:sz="0" w:space="0" w:color="auto"/>
        <w:right w:val="none" w:sz="0" w:space="0" w:color="auto"/>
      </w:divBdr>
    </w:div>
    <w:div w:id="788738009">
      <w:bodyDiv w:val="1"/>
      <w:marLeft w:val="0"/>
      <w:marRight w:val="0"/>
      <w:marTop w:val="0"/>
      <w:marBottom w:val="0"/>
      <w:divBdr>
        <w:top w:val="none" w:sz="0" w:space="0" w:color="auto"/>
        <w:left w:val="none" w:sz="0" w:space="0" w:color="auto"/>
        <w:bottom w:val="none" w:sz="0" w:space="0" w:color="auto"/>
        <w:right w:val="none" w:sz="0" w:space="0" w:color="auto"/>
      </w:divBdr>
    </w:div>
    <w:div w:id="789592793">
      <w:bodyDiv w:val="1"/>
      <w:marLeft w:val="0"/>
      <w:marRight w:val="0"/>
      <w:marTop w:val="0"/>
      <w:marBottom w:val="0"/>
      <w:divBdr>
        <w:top w:val="none" w:sz="0" w:space="0" w:color="auto"/>
        <w:left w:val="none" w:sz="0" w:space="0" w:color="auto"/>
        <w:bottom w:val="none" w:sz="0" w:space="0" w:color="auto"/>
        <w:right w:val="none" w:sz="0" w:space="0" w:color="auto"/>
      </w:divBdr>
    </w:div>
    <w:div w:id="790172204">
      <w:bodyDiv w:val="1"/>
      <w:marLeft w:val="0"/>
      <w:marRight w:val="0"/>
      <w:marTop w:val="0"/>
      <w:marBottom w:val="0"/>
      <w:divBdr>
        <w:top w:val="none" w:sz="0" w:space="0" w:color="auto"/>
        <w:left w:val="none" w:sz="0" w:space="0" w:color="auto"/>
        <w:bottom w:val="none" w:sz="0" w:space="0" w:color="auto"/>
        <w:right w:val="none" w:sz="0" w:space="0" w:color="auto"/>
      </w:divBdr>
    </w:div>
    <w:div w:id="791945330">
      <w:bodyDiv w:val="1"/>
      <w:marLeft w:val="0"/>
      <w:marRight w:val="0"/>
      <w:marTop w:val="0"/>
      <w:marBottom w:val="0"/>
      <w:divBdr>
        <w:top w:val="none" w:sz="0" w:space="0" w:color="auto"/>
        <w:left w:val="none" w:sz="0" w:space="0" w:color="auto"/>
        <w:bottom w:val="none" w:sz="0" w:space="0" w:color="auto"/>
        <w:right w:val="none" w:sz="0" w:space="0" w:color="auto"/>
      </w:divBdr>
    </w:div>
    <w:div w:id="792406672">
      <w:bodyDiv w:val="1"/>
      <w:marLeft w:val="0"/>
      <w:marRight w:val="0"/>
      <w:marTop w:val="0"/>
      <w:marBottom w:val="0"/>
      <w:divBdr>
        <w:top w:val="none" w:sz="0" w:space="0" w:color="auto"/>
        <w:left w:val="none" w:sz="0" w:space="0" w:color="auto"/>
        <w:bottom w:val="none" w:sz="0" w:space="0" w:color="auto"/>
        <w:right w:val="none" w:sz="0" w:space="0" w:color="auto"/>
      </w:divBdr>
    </w:div>
    <w:div w:id="795220789">
      <w:bodyDiv w:val="1"/>
      <w:marLeft w:val="0"/>
      <w:marRight w:val="0"/>
      <w:marTop w:val="0"/>
      <w:marBottom w:val="0"/>
      <w:divBdr>
        <w:top w:val="none" w:sz="0" w:space="0" w:color="auto"/>
        <w:left w:val="none" w:sz="0" w:space="0" w:color="auto"/>
        <w:bottom w:val="none" w:sz="0" w:space="0" w:color="auto"/>
        <w:right w:val="none" w:sz="0" w:space="0" w:color="auto"/>
      </w:divBdr>
    </w:div>
    <w:div w:id="797993802">
      <w:bodyDiv w:val="1"/>
      <w:marLeft w:val="0"/>
      <w:marRight w:val="0"/>
      <w:marTop w:val="0"/>
      <w:marBottom w:val="0"/>
      <w:divBdr>
        <w:top w:val="none" w:sz="0" w:space="0" w:color="auto"/>
        <w:left w:val="none" w:sz="0" w:space="0" w:color="auto"/>
        <w:bottom w:val="none" w:sz="0" w:space="0" w:color="auto"/>
        <w:right w:val="none" w:sz="0" w:space="0" w:color="auto"/>
      </w:divBdr>
    </w:div>
    <w:div w:id="798063575">
      <w:bodyDiv w:val="1"/>
      <w:marLeft w:val="0"/>
      <w:marRight w:val="0"/>
      <w:marTop w:val="0"/>
      <w:marBottom w:val="0"/>
      <w:divBdr>
        <w:top w:val="none" w:sz="0" w:space="0" w:color="auto"/>
        <w:left w:val="none" w:sz="0" w:space="0" w:color="auto"/>
        <w:bottom w:val="none" w:sz="0" w:space="0" w:color="auto"/>
        <w:right w:val="none" w:sz="0" w:space="0" w:color="auto"/>
      </w:divBdr>
    </w:div>
    <w:div w:id="801535698">
      <w:bodyDiv w:val="1"/>
      <w:marLeft w:val="0"/>
      <w:marRight w:val="0"/>
      <w:marTop w:val="0"/>
      <w:marBottom w:val="0"/>
      <w:divBdr>
        <w:top w:val="none" w:sz="0" w:space="0" w:color="auto"/>
        <w:left w:val="none" w:sz="0" w:space="0" w:color="auto"/>
        <w:bottom w:val="none" w:sz="0" w:space="0" w:color="auto"/>
        <w:right w:val="none" w:sz="0" w:space="0" w:color="auto"/>
      </w:divBdr>
    </w:div>
    <w:div w:id="802045504">
      <w:bodyDiv w:val="1"/>
      <w:marLeft w:val="0"/>
      <w:marRight w:val="0"/>
      <w:marTop w:val="0"/>
      <w:marBottom w:val="0"/>
      <w:divBdr>
        <w:top w:val="none" w:sz="0" w:space="0" w:color="auto"/>
        <w:left w:val="none" w:sz="0" w:space="0" w:color="auto"/>
        <w:bottom w:val="none" w:sz="0" w:space="0" w:color="auto"/>
        <w:right w:val="none" w:sz="0" w:space="0" w:color="auto"/>
      </w:divBdr>
    </w:div>
    <w:div w:id="806049051">
      <w:bodyDiv w:val="1"/>
      <w:marLeft w:val="0"/>
      <w:marRight w:val="0"/>
      <w:marTop w:val="0"/>
      <w:marBottom w:val="0"/>
      <w:divBdr>
        <w:top w:val="none" w:sz="0" w:space="0" w:color="auto"/>
        <w:left w:val="none" w:sz="0" w:space="0" w:color="auto"/>
        <w:bottom w:val="none" w:sz="0" w:space="0" w:color="auto"/>
        <w:right w:val="none" w:sz="0" w:space="0" w:color="auto"/>
      </w:divBdr>
    </w:div>
    <w:div w:id="806245063">
      <w:bodyDiv w:val="1"/>
      <w:marLeft w:val="0"/>
      <w:marRight w:val="0"/>
      <w:marTop w:val="0"/>
      <w:marBottom w:val="0"/>
      <w:divBdr>
        <w:top w:val="none" w:sz="0" w:space="0" w:color="auto"/>
        <w:left w:val="none" w:sz="0" w:space="0" w:color="auto"/>
        <w:bottom w:val="none" w:sz="0" w:space="0" w:color="auto"/>
        <w:right w:val="none" w:sz="0" w:space="0" w:color="auto"/>
      </w:divBdr>
    </w:div>
    <w:div w:id="807943539">
      <w:bodyDiv w:val="1"/>
      <w:marLeft w:val="0"/>
      <w:marRight w:val="0"/>
      <w:marTop w:val="0"/>
      <w:marBottom w:val="0"/>
      <w:divBdr>
        <w:top w:val="none" w:sz="0" w:space="0" w:color="auto"/>
        <w:left w:val="none" w:sz="0" w:space="0" w:color="auto"/>
        <w:bottom w:val="none" w:sz="0" w:space="0" w:color="auto"/>
        <w:right w:val="none" w:sz="0" w:space="0" w:color="auto"/>
      </w:divBdr>
    </w:div>
    <w:div w:id="810828785">
      <w:bodyDiv w:val="1"/>
      <w:marLeft w:val="0"/>
      <w:marRight w:val="0"/>
      <w:marTop w:val="0"/>
      <w:marBottom w:val="0"/>
      <w:divBdr>
        <w:top w:val="none" w:sz="0" w:space="0" w:color="auto"/>
        <w:left w:val="none" w:sz="0" w:space="0" w:color="auto"/>
        <w:bottom w:val="none" w:sz="0" w:space="0" w:color="auto"/>
        <w:right w:val="none" w:sz="0" w:space="0" w:color="auto"/>
      </w:divBdr>
    </w:div>
    <w:div w:id="811674794">
      <w:bodyDiv w:val="1"/>
      <w:marLeft w:val="0"/>
      <w:marRight w:val="0"/>
      <w:marTop w:val="0"/>
      <w:marBottom w:val="0"/>
      <w:divBdr>
        <w:top w:val="none" w:sz="0" w:space="0" w:color="auto"/>
        <w:left w:val="none" w:sz="0" w:space="0" w:color="auto"/>
        <w:bottom w:val="none" w:sz="0" w:space="0" w:color="auto"/>
        <w:right w:val="none" w:sz="0" w:space="0" w:color="auto"/>
      </w:divBdr>
    </w:div>
    <w:div w:id="811795616">
      <w:bodyDiv w:val="1"/>
      <w:marLeft w:val="0"/>
      <w:marRight w:val="0"/>
      <w:marTop w:val="0"/>
      <w:marBottom w:val="0"/>
      <w:divBdr>
        <w:top w:val="none" w:sz="0" w:space="0" w:color="auto"/>
        <w:left w:val="none" w:sz="0" w:space="0" w:color="auto"/>
        <w:bottom w:val="none" w:sz="0" w:space="0" w:color="auto"/>
        <w:right w:val="none" w:sz="0" w:space="0" w:color="auto"/>
      </w:divBdr>
    </w:div>
    <w:div w:id="811867769">
      <w:bodyDiv w:val="1"/>
      <w:marLeft w:val="0"/>
      <w:marRight w:val="0"/>
      <w:marTop w:val="0"/>
      <w:marBottom w:val="0"/>
      <w:divBdr>
        <w:top w:val="none" w:sz="0" w:space="0" w:color="auto"/>
        <w:left w:val="none" w:sz="0" w:space="0" w:color="auto"/>
        <w:bottom w:val="none" w:sz="0" w:space="0" w:color="auto"/>
        <w:right w:val="none" w:sz="0" w:space="0" w:color="auto"/>
      </w:divBdr>
    </w:div>
    <w:div w:id="812143126">
      <w:bodyDiv w:val="1"/>
      <w:marLeft w:val="0"/>
      <w:marRight w:val="0"/>
      <w:marTop w:val="0"/>
      <w:marBottom w:val="0"/>
      <w:divBdr>
        <w:top w:val="none" w:sz="0" w:space="0" w:color="auto"/>
        <w:left w:val="none" w:sz="0" w:space="0" w:color="auto"/>
        <w:bottom w:val="none" w:sz="0" w:space="0" w:color="auto"/>
        <w:right w:val="none" w:sz="0" w:space="0" w:color="auto"/>
      </w:divBdr>
    </w:div>
    <w:div w:id="815414720">
      <w:bodyDiv w:val="1"/>
      <w:marLeft w:val="0"/>
      <w:marRight w:val="0"/>
      <w:marTop w:val="0"/>
      <w:marBottom w:val="0"/>
      <w:divBdr>
        <w:top w:val="none" w:sz="0" w:space="0" w:color="auto"/>
        <w:left w:val="none" w:sz="0" w:space="0" w:color="auto"/>
        <w:bottom w:val="none" w:sz="0" w:space="0" w:color="auto"/>
        <w:right w:val="none" w:sz="0" w:space="0" w:color="auto"/>
      </w:divBdr>
    </w:div>
    <w:div w:id="816383460">
      <w:bodyDiv w:val="1"/>
      <w:marLeft w:val="0"/>
      <w:marRight w:val="0"/>
      <w:marTop w:val="0"/>
      <w:marBottom w:val="0"/>
      <w:divBdr>
        <w:top w:val="none" w:sz="0" w:space="0" w:color="auto"/>
        <w:left w:val="none" w:sz="0" w:space="0" w:color="auto"/>
        <w:bottom w:val="none" w:sz="0" w:space="0" w:color="auto"/>
        <w:right w:val="none" w:sz="0" w:space="0" w:color="auto"/>
      </w:divBdr>
    </w:div>
    <w:div w:id="819232049">
      <w:bodyDiv w:val="1"/>
      <w:marLeft w:val="0"/>
      <w:marRight w:val="0"/>
      <w:marTop w:val="0"/>
      <w:marBottom w:val="0"/>
      <w:divBdr>
        <w:top w:val="none" w:sz="0" w:space="0" w:color="auto"/>
        <w:left w:val="none" w:sz="0" w:space="0" w:color="auto"/>
        <w:bottom w:val="none" w:sz="0" w:space="0" w:color="auto"/>
        <w:right w:val="none" w:sz="0" w:space="0" w:color="auto"/>
      </w:divBdr>
    </w:div>
    <w:div w:id="820736471">
      <w:bodyDiv w:val="1"/>
      <w:marLeft w:val="0"/>
      <w:marRight w:val="0"/>
      <w:marTop w:val="0"/>
      <w:marBottom w:val="0"/>
      <w:divBdr>
        <w:top w:val="none" w:sz="0" w:space="0" w:color="auto"/>
        <w:left w:val="none" w:sz="0" w:space="0" w:color="auto"/>
        <w:bottom w:val="none" w:sz="0" w:space="0" w:color="auto"/>
        <w:right w:val="none" w:sz="0" w:space="0" w:color="auto"/>
      </w:divBdr>
    </w:div>
    <w:div w:id="824318050">
      <w:bodyDiv w:val="1"/>
      <w:marLeft w:val="0"/>
      <w:marRight w:val="0"/>
      <w:marTop w:val="0"/>
      <w:marBottom w:val="0"/>
      <w:divBdr>
        <w:top w:val="none" w:sz="0" w:space="0" w:color="auto"/>
        <w:left w:val="none" w:sz="0" w:space="0" w:color="auto"/>
        <w:bottom w:val="none" w:sz="0" w:space="0" w:color="auto"/>
        <w:right w:val="none" w:sz="0" w:space="0" w:color="auto"/>
      </w:divBdr>
    </w:div>
    <w:div w:id="824705847">
      <w:bodyDiv w:val="1"/>
      <w:marLeft w:val="0"/>
      <w:marRight w:val="0"/>
      <w:marTop w:val="0"/>
      <w:marBottom w:val="0"/>
      <w:divBdr>
        <w:top w:val="none" w:sz="0" w:space="0" w:color="auto"/>
        <w:left w:val="none" w:sz="0" w:space="0" w:color="auto"/>
        <w:bottom w:val="none" w:sz="0" w:space="0" w:color="auto"/>
        <w:right w:val="none" w:sz="0" w:space="0" w:color="auto"/>
      </w:divBdr>
    </w:div>
    <w:div w:id="826021969">
      <w:bodyDiv w:val="1"/>
      <w:marLeft w:val="0"/>
      <w:marRight w:val="0"/>
      <w:marTop w:val="0"/>
      <w:marBottom w:val="0"/>
      <w:divBdr>
        <w:top w:val="none" w:sz="0" w:space="0" w:color="auto"/>
        <w:left w:val="none" w:sz="0" w:space="0" w:color="auto"/>
        <w:bottom w:val="none" w:sz="0" w:space="0" w:color="auto"/>
        <w:right w:val="none" w:sz="0" w:space="0" w:color="auto"/>
      </w:divBdr>
    </w:div>
    <w:div w:id="827020465">
      <w:bodyDiv w:val="1"/>
      <w:marLeft w:val="0"/>
      <w:marRight w:val="0"/>
      <w:marTop w:val="0"/>
      <w:marBottom w:val="0"/>
      <w:divBdr>
        <w:top w:val="none" w:sz="0" w:space="0" w:color="auto"/>
        <w:left w:val="none" w:sz="0" w:space="0" w:color="auto"/>
        <w:bottom w:val="none" w:sz="0" w:space="0" w:color="auto"/>
        <w:right w:val="none" w:sz="0" w:space="0" w:color="auto"/>
      </w:divBdr>
    </w:div>
    <w:div w:id="827096819">
      <w:bodyDiv w:val="1"/>
      <w:marLeft w:val="0"/>
      <w:marRight w:val="0"/>
      <w:marTop w:val="0"/>
      <w:marBottom w:val="0"/>
      <w:divBdr>
        <w:top w:val="none" w:sz="0" w:space="0" w:color="auto"/>
        <w:left w:val="none" w:sz="0" w:space="0" w:color="auto"/>
        <w:bottom w:val="none" w:sz="0" w:space="0" w:color="auto"/>
        <w:right w:val="none" w:sz="0" w:space="0" w:color="auto"/>
      </w:divBdr>
    </w:div>
    <w:div w:id="828403816">
      <w:bodyDiv w:val="1"/>
      <w:marLeft w:val="0"/>
      <w:marRight w:val="0"/>
      <w:marTop w:val="0"/>
      <w:marBottom w:val="0"/>
      <w:divBdr>
        <w:top w:val="none" w:sz="0" w:space="0" w:color="auto"/>
        <w:left w:val="none" w:sz="0" w:space="0" w:color="auto"/>
        <w:bottom w:val="none" w:sz="0" w:space="0" w:color="auto"/>
        <w:right w:val="none" w:sz="0" w:space="0" w:color="auto"/>
      </w:divBdr>
    </w:div>
    <w:div w:id="828442560">
      <w:bodyDiv w:val="1"/>
      <w:marLeft w:val="0"/>
      <w:marRight w:val="0"/>
      <w:marTop w:val="0"/>
      <w:marBottom w:val="0"/>
      <w:divBdr>
        <w:top w:val="none" w:sz="0" w:space="0" w:color="auto"/>
        <w:left w:val="none" w:sz="0" w:space="0" w:color="auto"/>
        <w:bottom w:val="none" w:sz="0" w:space="0" w:color="auto"/>
        <w:right w:val="none" w:sz="0" w:space="0" w:color="auto"/>
      </w:divBdr>
    </w:div>
    <w:div w:id="828864630">
      <w:bodyDiv w:val="1"/>
      <w:marLeft w:val="0"/>
      <w:marRight w:val="0"/>
      <w:marTop w:val="0"/>
      <w:marBottom w:val="0"/>
      <w:divBdr>
        <w:top w:val="none" w:sz="0" w:space="0" w:color="auto"/>
        <w:left w:val="none" w:sz="0" w:space="0" w:color="auto"/>
        <w:bottom w:val="none" w:sz="0" w:space="0" w:color="auto"/>
        <w:right w:val="none" w:sz="0" w:space="0" w:color="auto"/>
      </w:divBdr>
    </w:div>
    <w:div w:id="836188868">
      <w:bodyDiv w:val="1"/>
      <w:marLeft w:val="0"/>
      <w:marRight w:val="0"/>
      <w:marTop w:val="0"/>
      <w:marBottom w:val="0"/>
      <w:divBdr>
        <w:top w:val="none" w:sz="0" w:space="0" w:color="auto"/>
        <w:left w:val="none" w:sz="0" w:space="0" w:color="auto"/>
        <w:bottom w:val="none" w:sz="0" w:space="0" w:color="auto"/>
        <w:right w:val="none" w:sz="0" w:space="0" w:color="auto"/>
      </w:divBdr>
    </w:div>
    <w:div w:id="837426091">
      <w:bodyDiv w:val="1"/>
      <w:marLeft w:val="0"/>
      <w:marRight w:val="0"/>
      <w:marTop w:val="0"/>
      <w:marBottom w:val="0"/>
      <w:divBdr>
        <w:top w:val="none" w:sz="0" w:space="0" w:color="auto"/>
        <w:left w:val="none" w:sz="0" w:space="0" w:color="auto"/>
        <w:bottom w:val="none" w:sz="0" w:space="0" w:color="auto"/>
        <w:right w:val="none" w:sz="0" w:space="0" w:color="auto"/>
      </w:divBdr>
    </w:div>
    <w:div w:id="839849583">
      <w:bodyDiv w:val="1"/>
      <w:marLeft w:val="0"/>
      <w:marRight w:val="0"/>
      <w:marTop w:val="0"/>
      <w:marBottom w:val="0"/>
      <w:divBdr>
        <w:top w:val="none" w:sz="0" w:space="0" w:color="auto"/>
        <w:left w:val="none" w:sz="0" w:space="0" w:color="auto"/>
        <w:bottom w:val="none" w:sz="0" w:space="0" w:color="auto"/>
        <w:right w:val="none" w:sz="0" w:space="0" w:color="auto"/>
      </w:divBdr>
    </w:div>
    <w:div w:id="841894109">
      <w:bodyDiv w:val="1"/>
      <w:marLeft w:val="0"/>
      <w:marRight w:val="0"/>
      <w:marTop w:val="0"/>
      <w:marBottom w:val="0"/>
      <w:divBdr>
        <w:top w:val="none" w:sz="0" w:space="0" w:color="auto"/>
        <w:left w:val="none" w:sz="0" w:space="0" w:color="auto"/>
        <w:bottom w:val="none" w:sz="0" w:space="0" w:color="auto"/>
        <w:right w:val="none" w:sz="0" w:space="0" w:color="auto"/>
      </w:divBdr>
    </w:div>
    <w:div w:id="845365247">
      <w:bodyDiv w:val="1"/>
      <w:marLeft w:val="0"/>
      <w:marRight w:val="0"/>
      <w:marTop w:val="0"/>
      <w:marBottom w:val="0"/>
      <w:divBdr>
        <w:top w:val="none" w:sz="0" w:space="0" w:color="auto"/>
        <w:left w:val="none" w:sz="0" w:space="0" w:color="auto"/>
        <w:bottom w:val="none" w:sz="0" w:space="0" w:color="auto"/>
        <w:right w:val="none" w:sz="0" w:space="0" w:color="auto"/>
      </w:divBdr>
    </w:div>
    <w:div w:id="845903601">
      <w:bodyDiv w:val="1"/>
      <w:marLeft w:val="0"/>
      <w:marRight w:val="0"/>
      <w:marTop w:val="0"/>
      <w:marBottom w:val="0"/>
      <w:divBdr>
        <w:top w:val="none" w:sz="0" w:space="0" w:color="auto"/>
        <w:left w:val="none" w:sz="0" w:space="0" w:color="auto"/>
        <w:bottom w:val="none" w:sz="0" w:space="0" w:color="auto"/>
        <w:right w:val="none" w:sz="0" w:space="0" w:color="auto"/>
      </w:divBdr>
    </w:div>
    <w:div w:id="846478995">
      <w:bodyDiv w:val="1"/>
      <w:marLeft w:val="0"/>
      <w:marRight w:val="0"/>
      <w:marTop w:val="0"/>
      <w:marBottom w:val="0"/>
      <w:divBdr>
        <w:top w:val="none" w:sz="0" w:space="0" w:color="auto"/>
        <w:left w:val="none" w:sz="0" w:space="0" w:color="auto"/>
        <w:bottom w:val="none" w:sz="0" w:space="0" w:color="auto"/>
        <w:right w:val="none" w:sz="0" w:space="0" w:color="auto"/>
      </w:divBdr>
    </w:div>
    <w:div w:id="847526272">
      <w:bodyDiv w:val="1"/>
      <w:marLeft w:val="0"/>
      <w:marRight w:val="0"/>
      <w:marTop w:val="0"/>
      <w:marBottom w:val="0"/>
      <w:divBdr>
        <w:top w:val="none" w:sz="0" w:space="0" w:color="auto"/>
        <w:left w:val="none" w:sz="0" w:space="0" w:color="auto"/>
        <w:bottom w:val="none" w:sz="0" w:space="0" w:color="auto"/>
        <w:right w:val="none" w:sz="0" w:space="0" w:color="auto"/>
      </w:divBdr>
    </w:div>
    <w:div w:id="849297448">
      <w:bodyDiv w:val="1"/>
      <w:marLeft w:val="0"/>
      <w:marRight w:val="0"/>
      <w:marTop w:val="0"/>
      <w:marBottom w:val="0"/>
      <w:divBdr>
        <w:top w:val="none" w:sz="0" w:space="0" w:color="auto"/>
        <w:left w:val="none" w:sz="0" w:space="0" w:color="auto"/>
        <w:bottom w:val="none" w:sz="0" w:space="0" w:color="auto"/>
        <w:right w:val="none" w:sz="0" w:space="0" w:color="auto"/>
      </w:divBdr>
    </w:div>
    <w:div w:id="849955070">
      <w:bodyDiv w:val="1"/>
      <w:marLeft w:val="0"/>
      <w:marRight w:val="0"/>
      <w:marTop w:val="0"/>
      <w:marBottom w:val="0"/>
      <w:divBdr>
        <w:top w:val="none" w:sz="0" w:space="0" w:color="auto"/>
        <w:left w:val="none" w:sz="0" w:space="0" w:color="auto"/>
        <w:bottom w:val="none" w:sz="0" w:space="0" w:color="auto"/>
        <w:right w:val="none" w:sz="0" w:space="0" w:color="auto"/>
      </w:divBdr>
    </w:div>
    <w:div w:id="850417534">
      <w:bodyDiv w:val="1"/>
      <w:marLeft w:val="0"/>
      <w:marRight w:val="0"/>
      <w:marTop w:val="0"/>
      <w:marBottom w:val="0"/>
      <w:divBdr>
        <w:top w:val="none" w:sz="0" w:space="0" w:color="auto"/>
        <w:left w:val="none" w:sz="0" w:space="0" w:color="auto"/>
        <w:bottom w:val="none" w:sz="0" w:space="0" w:color="auto"/>
        <w:right w:val="none" w:sz="0" w:space="0" w:color="auto"/>
      </w:divBdr>
    </w:div>
    <w:div w:id="851653132">
      <w:bodyDiv w:val="1"/>
      <w:marLeft w:val="0"/>
      <w:marRight w:val="0"/>
      <w:marTop w:val="0"/>
      <w:marBottom w:val="0"/>
      <w:divBdr>
        <w:top w:val="none" w:sz="0" w:space="0" w:color="auto"/>
        <w:left w:val="none" w:sz="0" w:space="0" w:color="auto"/>
        <w:bottom w:val="none" w:sz="0" w:space="0" w:color="auto"/>
        <w:right w:val="none" w:sz="0" w:space="0" w:color="auto"/>
      </w:divBdr>
    </w:div>
    <w:div w:id="854349848">
      <w:bodyDiv w:val="1"/>
      <w:marLeft w:val="0"/>
      <w:marRight w:val="0"/>
      <w:marTop w:val="0"/>
      <w:marBottom w:val="0"/>
      <w:divBdr>
        <w:top w:val="none" w:sz="0" w:space="0" w:color="auto"/>
        <w:left w:val="none" w:sz="0" w:space="0" w:color="auto"/>
        <w:bottom w:val="none" w:sz="0" w:space="0" w:color="auto"/>
        <w:right w:val="none" w:sz="0" w:space="0" w:color="auto"/>
      </w:divBdr>
    </w:div>
    <w:div w:id="854467341">
      <w:bodyDiv w:val="1"/>
      <w:marLeft w:val="0"/>
      <w:marRight w:val="0"/>
      <w:marTop w:val="0"/>
      <w:marBottom w:val="0"/>
      <w:divBdr>
        <w:top w:val="none" w:sz="0" w:space="0" w:color="auto"/>
        <w:left w:val="none" w:sz="0" w:space="0" w:color="auto"/>
        <w:bottom w:val="none" w:sz="0" w:space="0" w:color="auto"/>
        <w:right w:val="none" w:sz="0" w:space="0" w:color="auto"/>
      </w:divBdr>
    </w:div>
    <w:div w:id="856164102">
      <w:bodyDiv w:val="1"/>
      <w:marLeft w:val="0"/>
      <w:marRight w:val="0"/>
      <w:marTop w:val="0"/>
      <w:marBottom w:val="0"/>
      <w:divBdr>
        <w:top w:val="none" w:sz="0" w:space="0" w:color="auto"/>
        <w:left w:val="none" w:sz="0" w:space="0" w:color="auto"/>
        <w:bottom w:val="none" w:sz="0" w:space="0" w:color="auto"/>
        <w:right w:val="none" w:sz="0" w:space="0" w:color="auto"/>
      </w:divBdr>
    </w:div>
    <w:div w:id="862208870">
      <w:bodyDiv w:val="1"/>
      <w:marLeft w:val="0"/>
      <w:marRight w:val="0"/>
      <w:marTop w:val="0"/>
      <w:marBottom w:val="0"/>
      <w:divBdr>
        <w:top w:val="none" w:sz="0" w:space="0" w:color="auto"/>
        <w:left w:val="none" w:sz="0" w:space="0" w:color="auto"/>
        <w:bottom w:val="none" w:sz="0" w:space="0" w:color="auto"/>
        <w:right w:val="none" w:sz="0" w:space="0" w:color="auto"/>
      </w:divBdr>
    </w:div>
    <w:div w:id="864319948">
      <w:bodyDiv w:val="1"/>
      <w:marLeft w:val="0"/>
      <w:marRight w:val="0"/>
      <w:marTop w:val="0"/>
      <w:marBottom w:val="0"/>
      <w:divBdr>
        <w:top w:val="none" w:sz="0" w:space="0" w:color="auto"/>
        <w:left w:val="none" w:sz="0" w:space="0" w:color="auto"/>
        <w:bottom w:val="none" w:sz="0" w:space="0" w:color="auto"/>
        <w:right w:val="none" w:sz="0" w:space="0" w:color="auto"/>
      </w:divBdr>
    </w:div>
    <w:div w:id="864714529">
      <w:bodyDiv w:val="1"/>
      <w:marLeft w:val="0"/>
      <w:marRight w:val="0"/>
      <w:marTop w:val="0"/>
      <w:marBottom w:val="0"/>
      <w:divBdr>
        <w:top w:val="none" w:sz="0" w:space="0" w:color="auto"/>
        <w:left w:val="none" w:sz="0" w:space="0" w:color="auto"/>
        <w:bottom w:val="none" w:sz="0" w:space="0" w:color="auto"/>
        <w:right w:val="none" w:sz="0" w:space="0" w:color="auto"/>
      </w:divBdr>
    </w:div>
    <w:div w:id="865019201">
      <w:bodyDiv w:val="1"/>
      <w:marLeft w:val="0"/>
      <w:marRight w:val="0"/>
      <w:marTop w:val="0"/>
      <w:marBottom w:val="0"/>
      <w:divBdr>
        <w:top w:val="none" w:sz="0" w:space="0" w:color="auto"/>
        <w:left w:val="none" w:sz="0" w:space="0" w:color="auto"/>
        <w:bottom w:val="none" w:sz="0" w:space="0" w:color="auto"/>
        <w:right w:val="none" w:sz="0" w:space="0" w:color="auto"/>
      </w:divBdr>
    </w:div>
    <w:div w:id="870535434">
      <w:bodyDiv w:val="1"/>
      <w:marLeft w:val="0"/>
      <w:marRight w:val="0"/>
      <w:marTop w:val="0"/>
      <w:marBottom w:val="0"/>
      <w:divBdr>
        <w:top w:val="none" w:sz="0" w:space="0" w:color="auto"/>
        <w:left w:val="none" w:sz="0" w:space="0" w:color="auto"/>
        <w:bottom w:val="none" w:sz="0" w:space="0" w:color="auto"/>
        <w:right w:val="none" w:sz="0" w:space="0" w:color="auto"/>
      </w:divBdr>
    </w:div>
    <w:div w:id="871042761">
      <w:bodyDiv w:val="1"/>
      <w:marLeft w:val="0"/>
      <w:marRight w:val="0"/>
      <w:marTop w:val="0"/>
      <w:marBottom w:val="0"/>
      <w:divBdr>
        <w:top w:val="none" w:sz="0" w:space="0" w:color="auto"/>
        <w:left w:val="none" w:sz="0" w:space="0" w:color="auto"/>
        <w:bottom w:val="none" w:sz="0" w:space="0" w:color="auto"/>
        <w:right w:val="none" w:sz="0" w:space="0" w:color="auto"/>
      </w:divBdr>
    </w:div>
    <w:div w:id="871915801">
      <w:bodyDiv w:val="1"/>
      <w:marLeft w:val="0"/>
      <w:marRight w:val="0"/>
      <w:marTop w:val="0"/>
      <w:marBottom w:val="0"/>
      <w:divBdr>
        <w:top w:val="none" w:sz="0" w:space="0" w:color="auto"/>
        <w:left w:val="none" w:sz="0" w:space="0" w:color="auto"/>
        <w:bottom w:val="none" w:sz="0" w:space="0" w:color="auto"/>
        <w:right w:val="none" w:sz="0" w:space="0" w:color="auto"/>
      </w:divBdr>
    </w:div>
    <w:div w:id="871959000">
      <w:bodyDiv w:val="1"/>
      <w:marLeft w:val="0"/>
      <w:marRight w:val="0"/>
      <w:marTop w:val="0"/>
      <w:marBottom w:val="0"/>
      <w:divBdr>
        <w:top w:val="none" w:sz="0" w:space="0" w:color="auto"/>
        <w:left w:val="none" w:sz="0" w:space="0" w:color="auto"/>
        <w:bottom w:val="none" w:sz="0" w:space="0" w:color="auto"/>
        <w:right w:val="none" w:sz="0" w:space="0" w:color="auto"/>
      </w:divBdr>
    </w:div>
    <w:div w:id="874738359">
      <w:bodyDiv w:val="1"/>
      <w:marLeft w:val="0"/>
      <w:marRight w:val="0"/>
      <w:marTop w:val="0"/>
      <w:marBottom w:val="0"/>
      <w:divBdr>
        <w:top w:val="none" w:sz="0" w:space="0" w:color="auto"/>
        <w:left w:val="none" w:sz="0" w:space="0" w:color="auto"/>
        <w:bottom w:val="none" w:sz="0" w:space="0" w:color="auto"/>
        <w:right w:val="none" w:sz="0" w:space="0" w:color="auto"/>
      </w:divBdr>
    </w:div>
    <w:div w:id="875387955">
      <w:bodyDiv w:val="1"/>
      <w:marLeft w:val="0"/>
      <w:marRight w:val="0"/>
      <w:marTop w:val="0"/>
      <w:marBottom w:val="0"/>
      <w:divBdr>
        <w:top w:val="none" w:sz="0" w:space="0" w:color="auto"/>
        <w:left w:val="none" w:sz="0" w:space="0" w:color="auto"/>
        <w:bottom w:val="none" w:sz="0" w:space="0" w:color="auto"/>
        <w:right w:val="none" w:sz="0" w:space="0" w:color="auto"/>
      </w:divBdr>
    </w:div>
    <w:div w:id="876308674">
      <w:bodyDiv w:val="1"/>
      <w:marLeft w:val="0"/>
      <w:marRight w:val="0"/>
      <w:marTop w:val="0"/>
      <w:marBottom w:val="0"/>
      <w:divBdr>
        <w:top w:val="none" w:sz="0" w:space="0" w:color="auto"/>
        <w:left w:val="none" w:sz="0" w:space="0" w:color="auto"/>
        <w:bottom w:val="none" w:sz="0" w:space="0" w:color="auto"/>
        <w:right w:val="none" w:sz="0" w:space="0" w:color="auto"/>
      </w:divBdr>
    </w:div>
    <w:div w:id="876357632">
      <w:bodyDiv w:val="1"/>
      <w:marLeft w:val="0"/>
      <w:marRight w:val="0"/>
      <w:marTop w:val="0"/>
      <w:marBottom w:val="0"/>
      <w:divBdr>
        <w:top w:val="none" w:sz="0" w:space="0" w:color="auto"/>
        <w:left w:val="none" w:sz="0" w:space="0" w:color="auto"/>
        <w:bottom w:val="none" w:sz="0" w:space="0" w:color="auto"/>
        <w:right w:val="none" w:sz="0" w:space="0" w:color="auto"/>
      </w:divBdr>
    </w:div>
    <w:div w:id="877425330">
      <w:bodyDiv w:val="1"/>
      <w:marLeft w:val="0"/>
      <w:marRight w:val="0"/>
      <w:marTop w:val="0"/>
      <w:marBottom w:val="0"/>
      <w:divBdr>
        <w:top w:val="none" w:sz="0" w:space="0" w:color="auto"/>
        <w:left w:val="none" w:sz="0" w:space="0" w:color="auto"/>
        <w:bottom w:val="none" w:sz="0" w:space="0" w:color="auto"/>
        <w:right w:val="none" w:sz="0" w:space="0" w:color="auto"/>
      </w:divBdr>
    </w:div>
    <w:div w:id="879515501">
      <w:bodyDiv w:val="1"/>
      <w:marLeft w:val="0"/>
      <w:marRight w:val="0"/>
      <w:marTop w:val="0"/>
      <w:marBottom w:val="0"/>
      <w:divBdr>
        <w:top w:val="none" w:sz="0" w:space="0" w:color="auto"/>
        <w:left w:val="none" w:sz="0" w:space="0" w:color="auto"/>
        <w:bottom w:val="none" w:sz="0" w:space="0" w:color="auto"/>
        <w:right w:val="none" w:sz="0" w:space="0" w:color="auto"/>
      </w:divBdr>
    </w:div>
    <w:div w:id="880900619">
      <w:bodyDiv w:val="1"/>
      <w:marLeft w:val="0"/>
      <w:marRight w:val="0"/>
      <w:marTop w:val="0"/>
      <w:marBottom w:val="0"/>
      <w:divBdr>
        <w:top w:val="none" w:sz="0" w:space="0" w:color="auto"/>
        <w:left w:val="none" w:sz="0" w:space="0" w:color="auto"/>
        <w:bottom w:val="none" w:sz="0" w:space="0" w:color="auto"/>
        <w:right w:val="none" w:sz="0" w:space="0" w:color="auto"/>
      </w:divBdr>
    </w:div>
    <w:div w:id="881096405">
      <w:bodyDiv w:val="1"/>
      <w:marLeft w:val="0"/>
      <w:marRight w:val="0"/>
      <w:marTop w:val="0"/>
      <w:marBottom w:val="0"/>
      <w:divBdr>
        <w:top w:val="none" w:sz="0" w:space="0" w:color="auto"/>
        <w:left w:val="none" w:sz="0" w:space="0" w:color="auto"/>
        <w:bottom w:val="none" w:sz="0" w:space="0" w:color="auto"/>
        <w:right w:val="none" w:sz="0" w:space="0" w:color="auto"/>
      </w:divBdr>
    </w:div>
    <w:div w:id="882517556">
      <w:bodyDiv w:val="1"/>
      <w:marLeft w:val="0"/>
      <w:marRight w:val="0"/>
      <w:marTop w:val="0"/>
      <w:marBottom w:val="0"/>
      <w:divBdr>
        <w:top w:val="none" w:sz="0" w:space="0" w:color="auto"/>
        <w:left w:val="none" w:sz="0" w:space="0" w:color="auto"/>
        <w:bottom w:val="none" w:sz="0" w:space="0" w:color="auto"/>
        <w:right w:val="none" w:sz="0" w:space="0" w:color="auto"/>
      </w:divBdr>
    </w:div>
    <w:div w:id="882594026">
      <w:bodyDiv w:val="1"/>
      <w:marLeft w:val="0"/>
      <w:marRight w:val="0"/>
      <w:marTop w:val="0"/>
      <w:marBottom w:val="0"/>
      <w:divBdr>
        <w:top w:val="none" w:sz="0" w:space="0" w:color="auto"/>
        <w:left w:val="none" w:sz="0" w:space="0" w:color="auto"/>
        <w:bottom w:val="none" w:sz="0" w:space="0" w:color="auto"/>
        <w:right w:val="none" w:sz="0" w:space="0" w:color="auto"/>
      </w:divBdr>
    </w:div>
    <w:div w:id="883910655">
      <w:bodyDiv w:val="1"/>
      <w:marLeft w:val="0"/>
      <w:marRight w:val="0"/>
      <w:marTop w:val="0"/>
      <w:marBottom w:val="0"/>
      <w:divBdr>
        <w:top w:val="none" w:sz="0" w:space="0" w:color="auto"/>
        <w:left w:val="none" w:sz="0" w:space="0" w:color="auto"/>
        <w:bottom w:val="none" w:sz="0" w:space="0" w:color="auto"/>
        <w:right w:val="none" w:sz="0" w:space="0" w:color="auto"/>
      </w:divBdr>
    </w:div>
    <w:div w:id="885022954">
      <w:bodyDiv w:val="1"/>
      <w:marLeft w:val="0"/>
      <w:marRight w:val="0"/>
      <w:marTop w:val="0"/>
      <w:marBottom w:val="0"/>
      <w:divBdr>
        <w:top w:val="none" w:sz="0" w:space="0" w:color="auto"/>
        <w:left w:val="none" w:sz="0" w:space="0" w:color="auto"/>
        <w:bottom w:val="none" w:sz="0" w:space="0" w:color="auto"/>
        <w:right w:val="none" w:sz="0" w:space="0" w:color="auto"/>
      </w:divBdr>
    </w:div>
    <w:div w:id="886451088">
      <w:bodyDiv w:val="1"/>
      <w:marLeft w:val="0"/>
      <w:marRight w:val="0"/>
      <w:marTop w:val="0"/>
      <w:marBottom w:val="0"/>
      <w:divBdr>
        <w:top w:val="none" w:sz="0" w:space="0" w:color="auto"/>
        <w:left w:val="none" w:sz="0" w:space="0" w:color="auto"/>
        <w:bottom w:val="none" w:sz="0" w:space="0" w:color="auto"/>
        <w:right w:val="none" w:sz="0" w:space="0" w:color="auto"/>
      </w:divBdr>
    </w:div>
    <w:div w:id="886600089">
      <w:bodyDiv w:val="1"/>
      <w:marLeft w:val="0"/>
      <w:marRight w:val="0"/>
      <w:marTop w:val="0"/>
      <w:marBottom w:val="0"/>
      <w:divBdr>
        <w:top w:val="none" w:sz="0" w:space="0" w:color="auto"/>
        <w:left w:val="none" w:sz="0" w:space="0" w:color="auto"/>
        <w:bottom w:val="none" w:sz="0" w:space="0" w:color="auto"/>
        <w:right w:val="none" w:sz="0" w:space="0" w:color="auto"/>
      </w:divBdr>
    </w:div>
    <w:div w:id="887377783">
      <w:bodyDiv w:val="1"/>
      <w:marLeft w:val="0"/>
      <w:marRight w:val="0"/>
      <w:marTop w:val="0"/>
      <w:marBottom w:val="0"/>
      <w:divBdr>
        <w:top w:val="none" w:sz="0" w:space="0" w:color="auto"/>
        <w:left w:val="none" w:sz="0" w:space="0" w:color="auto"/>
        <w:bottom w:val="none" w:sz="0" w:space="0" w:color="auto"/>
        <w:right w:val="none" w:sz="0" w:space="0" w:color="auto"/>
      </w:divBdr>
    </w:div>
    <w:div w:id="890187564">
      <w:bodyDiv w:val="1"/>
      <w:marLeft w:val="0"/>
      <w:marRight w:val="0"/>
      <w:marTop w:val="0"/>
      <w:marBottom w:val="0"/>
      <w:divBdr>
        <w:top w:val="none" w:sz="0" w:space="0" w:color="auto"/>
        <w:left w:val="none" w:sz="0" w:space="0" w:color="auto"/>
        <w:bottom w:val="none" w:sz="0" w:space="0" w:color="auto"/>
        <w:right w:val="none" w:sz="0" w:space="0" w:color="auto"/>
      </w:divBdr>
    </w:div>
    <w:div w:id="890464602">
      <w:bodyDiv w:val="1"/>
      <w:marLeft w:val="0"/>
      <w:marRight w:val="0"/>
      <w:marTop w:val="0"/>
      <w:marBottom w:val="0"/>
      <w:divBdr>
        <w:top w:val="none" w:sz="0" w:space="0" w:color="auto"/>
        <w:left w:val="none" w:sz="0" w:space="0" w:color="auto"/>
        <w:bottom w:val="none" w:sz="0" w:space="0" w:color="auto"/>
        <w:right w:val="none" w:sz="0" w:space="0" w:color="auto"/>
      </w:divBdr>
    </w:div>
    <w:div w:id="890730849">
      <w:bodyDiv w:val="1"/>
      <w:marLeft w:val="0"/>
      <w:marRight w:val="0"/>
      <w:marTop w:val="0"/>
      <w:marBottom w:val="0"/>
      <w:divBdr>
        <w:top w:val="none" w:sz="0" w:space="0" w:color="auto"/>
        <w:left w:val="none" w:sz="0" w:space="0" w:color="auto"/>
        <w:bottom w:val="none" w:sz="0" w:space="0" w:color="auto"/>
        <w:right w:val="none" w:sz="0" w:space="0" w:color="auto"/>
      </w:divBdr>
    </w:div>
    <w:div w:id="891234338">
      <w:bodyDiv w:val="1"/>
      <w:marLeft w:val="0"/>
      <w:marRight w:val="0"/>
      <w:marTop w:val="0"/>
      <w:marBottom w:val="0"/>
      <w:divBdr>
        <w:top w:val="none" w:sz="0" w:space="0" w:color="auto"/>
        <w:left w:val="none" w:sz="0" w:space="0" w:color="auto"/>
        <w:bottom w:val="none" w:sz="0" w:space="0" w:color="auto"/>
        <w:right w:val="none" w:sz="0" w:space="0" w:color="auto"/>
      </w:divBdr>
    </w:div>
    <w:div w:id="894394408">
      <w:bodyDiv w:val="1"/>
      <w:marLeft w:val="0"/>
      <w:marRight w:val="0"/>
      <w:marTop w:val="0"/>
      <w:marBottom w:val="0"/>
      <w:divBdr>
        <w:top w:val="none" w:sz="0" w:space="0" w:color="auto"/>
        <w:left w:val="none" w:sz="0" w:space="0" w:color="auto"/>
        <w:bottom w:val="none" w:sz="0" w:space="0" w:color="auto"/>
        <w:right w:val="none" w:sz="0" w:space="0" w:color="auto"/>
      </w:divBdr>
    </w:div>
    <w:div w:id="896018369">
      <w:bodyDiv w:val="1"/>
      <w:marLeft w:val="0"/>
      <w:marRight w:val="0"/>
      <w:marTop w:val="0"/>
      <w:marBottom w:val="0"/>
      <w:divBdr>
        <w:top w:val="none" w:sz="0" w:space="0" w:color="auto"/>
        <w:left w:val="none" w:sz="0" w:space="0" w:color="auto"/>
        <w:bottom w:val="none" w:sz="0" w:space="0" w:color="auto"/>
        <w:right w:val="none" w:sz="0" w:space="0" w:color="auto"/>
      </w:divBdr>
    </w:div>
    <w:div w:id="896356623">
      <w:bodyDiv w:val="1"/>
      <w:marLeft w:val="0"/>
      <w:marRight w:val="0"/>
      <w:marTop w:val="0"/>
      <w:marBottom w:val="0"/>
      <w:divBdr>
        <w:top w:val="none" w:sz="0" w:space="0" w:color="auto"/>
        <w:left w:val="none" w:sz="0" w:space="0" w:color="auto"/>
        <w:bottom w:val="none" w:sz="0" w:space="0" w:color="auto"/>
        <w:right w:val="none" w:sz="0" w:space="0" w:color="auto"/>
      </w:divBdr>
    </w:div>
    <w:div w:id="896472605">
      <w:bodyDiv w:val="1"/>
      <w:marLeft w:val="0"/>
      <w:marRight w:val="0"/>
      <w:marTop w:val="0"/>
      <w:marBottom w:val="0"/>
      <w:divBdr>
        <w:top w:val="none" w:sz="0" w:space="0" w:color="auto"/>
        <w:left w:val="none" w:sz="0" w:space="0" w:color="auto"/>
        <w:bottom w:val="none" w:sz="0" w:space="0" w:color="auto"/>
        <w:right w:val="none" w:sz="0" w:space="0" w:color="auto"/>
      </w:divBdr>
    </w:div>
    <w:div w:id="898632579">
      <w:bodyDiv w:val="1"/>
      <w:marLeft w:val="0"/>
      <w:marRight w:val="0"/>
      <w:marTop w:val="0"/>
      <w:marBottom w:val="0"/>
      <w:divBdr>
        <w:top w:val="none" w:sz="0" w:space="0" w:color="auto"/>
        <w:left w:val="none" w:sz="0" w:space="0" w:color="auto"/>
        <w:bottom w:val="none" w:sz="0" w:space="0" w:color="auto"/>
        <w:right w:val="none" w:sz="0" w:space="0" w:color="auto"/>
      </w:divBdr>
    </w:div>
    <w:div w:id="898858917">
      <w:bodyDiv w:val="1"/>
      <w:marLeft w:val="0"/>
      <w:marRight w:val="0"/>
      <w:marTop w:val="0"/>
      <w:marBottom w:val="0"/>
      <w:divBdr>
        <w:top w:val="none" w:sz="0" w:space="0" w:color="auto"/>
        <w:left w:val="none" w:sz="0" w:space="0" w:color="auto"/>
        <w:bottom w:val="none" w:sz="0" w:space="0" w:color="auto"/>
        <w:right w:val="none" w:sz="0" w:space="0" w:color="auto"/>
      </w:divBdr>
    </w:div>
    <w:div w:id="901717247">
      <w:bodyDiv w:val="1"/>
      <w:marLeft w:val="0"/>
      <w:marRight w:val="0"/>
      <w:marTop w:val="0"/>
      <w:marBottom w:val="0"/>
      <w:divBdr>
        <w:top w:val="none" w:sz="0" w:space="0" w:color="auto"/>
        <w:left w:val="none" w:sz="0" w:space="0" w:color="auto"/>
        <w:bottom w:val="none" w:sz="0" w:space="0" w:color="auto"/>
        <w:right w:val="none" w:sz="0" w:space="0" w:color="auto"/>
      </w:divBdr>
    </w:div>
    <w:div w:id="901910741">
      <w:bodyDiv w:val="1"/>
      <w:marLeft w:val="0"/>
      <w:marRight w:val="0"/>
      <w:marTop w:val="0"/>
      <w:marBottom w:val="0"/>
      <w:divBdr>
        <w:top w:val="none" w:sz="0" w:space="0" w:color="auto"/>
        <w:left w:val="none" w:sz="0" w:space="0" w:color="auto"/>
        <w:bottom w:val="none" w:sz="0" w:space="0" w:color="auto"/>
        <w:right w:val="none" w:sz="0" w:space="0" w:color="auto"/>
      </w:divBdr>
    </w:div>
    <w:div w:id="903563607">
      <w:bodyDiv w:val="1"/>
      <w:marLeft w:val="0"/>
      <w:marRight w:val="0"/>
      <w:marTop w:val="0"/>
      <w:marBottom w:val="0"/>
      <w:divBdr>
        <w:top w:val="none" w:sz="0" w:space="0" w:color="auto"/>
        <w:left w:val="none" w:sz="0" w:space="0" w:color="auto"/>
        <w:bottom w:val="none" w:sz="0" w:space="0" w:color="auto"/>
        <w:right w:val="none" w:sz="0" w:space="0" w:color="auto"/>
      </w:divBdr>
    </w:div>
    <w:div w:id="904529545">
      <w:bodyDiv w:val="1"/>
      <w:marLeft w:val="0"/>
      <w:marRight w:val="0"/>
      <w:marTop w:val="0"/>
      <w:marBottom w:val="0"/>
      <w:divBdr>
        <w:top w:val="none" w:sz="0" w:space="0" w:color="auto"/>
        <w:left w:val="none" w:sz="0" w:space="0" w:color="auto"/>
        <w:bottom w:val="none" w:sz="0" w:space="0" w:color="auto"/>
        <w:right w:val="none" w:sz="0" w:space="0" w:color="auto"/>
      </w:divBdr>
    </w:div>
    <w:div w:id="905603397">
      <w:bodyDiv w:val="1"/>
      <w:marLeft w:val="0"/>
      <w:marRight w:val="0"/>
      <w:marTop w:val="0"/>
      <w:marBottom w:val="0"/>
      <w:divBdr>
        <w:top w:val="none" w:sz="0" w:space="0" w:color="auto"/>
        <w:left w:val="none" w:sz="0" w:space="0" w:color="auto"/>
        <w:bottom w:val="none" w:sz="0" w:space="0" w:color="auto"/>
        <w:right w:val="none" w:sz="0" w:space="0" w:color="auto"/>
      </w:divBdr>
    </w:div>
    <w:div w:id="905728818">
      <w:bodyDiv w:val="1"/>
      <w:marLeft w:val="0"/>
      <w:marRight w:val="0"/>
      <w:marTop w:val="0"/>
      <w:marBottom w:val="0"/>
      <w:divBdr>
        <w:top w:val="none" w:sz="0" w:space="0" w:color="auto"/>
        <w:left w:val="none" w:sz="0" w:space="0" w:color="auto"/>
        <w:bottom w:val="none" w:sz="0" w:space="0" w:color="auto"/>
        <w:right w:val="none" w:sz="0" w:space="0" w:color="auto"/>
      </w:divBdr>
    </w:div>
    <w:div w:id="907301558">
      <w:bodyDiv w:val="1"/>
      <w:marLeft w:val="0"/>
      <w:marRight w:val="0"/>
      <w:marTop w:val="0"/>
      <w:marBottom w:val="0"/>
      <w:divBdr>
        <w:top w:val="none" w:sz="0" w:space="0" w:color="auto"/>
        <w:left w:val="none" w:sz="0" w:space="0" w:color="auto"/>
        <w:bottom w:val="none" w:sz="0" w:space="0" w:color="auto"/>
        <w:right w:val="none" w:sz="0" w:space="0" w:color="auto"/>
      </w:divBdr>
    </w:div>
    <w:div w:id="909845778">
      <w:bodyDiv w:val="1"/>
      <w:marLeft w:val="0"/>
      <w:marRight w:val="0"/>
      <w:marTop w:val="0"/>
      <w:marBottom w:val="0"/>
      <w:divBdr>
        <w:top w:val="none" w:sz="0" w:space="0" w:color="auto"/>
        <w:left w:val="none" w:sz="0" w:space="0" w:color="auto"/>
        <w:bottom w:val="none" w:sz="0" w:space="0" w:color="auto"/>
        <w:right w:val="none" w:sz="0" w:space="0" w:color="auto"/>
      </w:divBdr>
    </w:div>
    <w:div w:id="912665820">
      <w:bodyDiv w:val="1"/>
      <w:marLeft w:val="0"/>
      <w:marRight w:val="0"/>
      <w:marTop w:val="0"/>
      <w:marBottom w:val="0"/>
      <w:divBdr>
        <w:top w:val="none" w:sz="0" w:space="0" w:color="auto"/>
        <w:left w:val="none" w:sz="0" w:space="0" w:color="auto"/>
        <w:bottom w:val="none" w:sz="0" w:space="0" w:color="auto"/>
        <w:right w:val="none" w:sz="0" w:space="0" w:color="auto"/>
      </w:divBdr>
    </w:div>
    <w:div w:id="912858910">
      <w:bodyDiv w:val="1"/>
      <w:marLeft w:val="0"/>
      <w:marRight w:val="0"/>
      <w:marTop w:val="0"/>
      <w:marBottom w:val="0"/>
      <w:divBdr>
        <w:top w:val="none" w:sz="0" w:space="0" w:color="auto"/>
        <w:left w:val="none" w:sz="0" w:space="0" w:color="auto"/>
        <w:bottom w:val="none" w:sz="0" w:space="0" w:color="auto"/>
        <w:right w:val="none" w:sz="0" w:space="0" w:color="auto"/>
      </w:divBdr>
    </w:div>
    <w:div w:id="919213225">
      <w:bodyDiv w:val="1"/>
      <w:marLeft w:val="0"/>
      <w:marRight w:val="0"/>
      <w:marTop w:val="0"/>
      <w:marBottom w:val="0"/>
      <w:divBdr>
        <w:top w:val="none" w:sz="0" w:space="0" w:color="auto"/>
        <w:left w:val="none" w:sz="0" w:space="0" w:color="auto"/>
        <w:bottom w:val="none" w:sz="0" w:space="0" w:color="auto"/>
        <w:right w:val="none" w:sz="0" w:space="0" w:color="auto"/>
      </w:divBdr>
    </w:div>
    <w:div w:id="920525110">
      <w:bodyDiv w:val="1"/>
      <w:marLeft w:val="0"/>
      <w:marRight w:val="0"/>
      <w:marTop w:val="0"/>
      <w:marBottom w:val="0"/>
      <w:divBdr>
        <w:top w:val="none" w:sz="0" w:space="0" w:color="auto"/>
        <w:left w:val="none" w:sz="0" w:space="0" w:color="auto"/>
        <w:bottom w:val="none" w:sz="0" w:space="0" w:color="auto"/>
        <w:right w:val="none" w:sz="0" w:space="0" w:color="auto"/>
      </w:divBdr>
    </w:div>
    <w:div w:id="922564767">
      <w:bodyDiv w:val="1"/>
      <w:marLeft w:val="0"/>
      <w:marRight w:val="0"/>
      <w:marTop w:val="0"/>
      <w:marBottom w:val="0"/>
      <w:divBdr>
        <w:top w:val="none" w:sz="0" w:space="0" w:color="auto"/>
        <w:left w:val="none" w:sz="0" w:space="0" w:color="auto"/>
        <w:bottom w:val="none" w:sz="0" w:space="0" w:color="auto"/>
        <w:right w:val="none" w:sz="0" w:space="0" w:color="auto"/>
      </w:divBdr>
    </w:div>
    <w:div w:id="923153145">
      <w:bodyDiv w:val="1"/>
      <w:marLeft w:val="0"/>
      <w:marRight w:val="0"/>
      <w:marTop w:val="0"/>
      <w:marBottom w:val="0"/>
      <w:divBdr>
        <w:top w:val="none" w:sz="0" w:space="0" w:color="auto"/>
        <w:left w:val="none" w:sz="0" w:space="0" w:color="auto"/>
        <w:bottom w:val="none" w:sz="0" w:space="0" w:color="auto"/>
        <w:right w:val="none" w:sz="0" w:space="0" w:color="auto"/>
      </w:divBdr>
    </w:div>
    <w:div w:id="923951987">
      <w:bodyDiv w:val="1"/>
      <w:marLeft w:val="0"/>
      <w:marRight w:val="0"/>
      <w:marTop w:val="0"/>
      <w:marBottom w:val="0"/>
      <w:divBdr>
        <w:top w:val="none" w:sz="0" w:space="0" w:color="auto"/>
        <w:left w:val="none" w:sz="0" w:space="0" w:color="auto"/>
        <w:bottom w:val="none" w:sz="0" w:space="0" w:color="auto"/>
        <w:right w:val="none" w:sz="0" w:space="0" w:color="auto"/>
      </w:divBdr>
    </w:div>
    <w:div w:id="924609382">
      <w:bodyDiv w:val="1"/>
      <w:marLeft w:val="0"/>
      <w:marRight w:val="0"/>
      <w:marTop w:val="0"/>
      <w:marBottom w:val="0"/>
      <w:divBdr>
        <w:top w:val="none" w:sz="0" w:space="0" w:color="auto"/>
        <w:left w:val="none" w:sz="0" w:space="0" w:color="auto"/>
        <w:bottom w:val="none" w:sz="0" w:space="0" w:color="auto"/>
        <w:right w:val="none" w:sz="0" w:space="0" w:color="auto"/>
      </w:divBdr>
    </w:div>
    <w:div w:id="924654588">
      <w:bodyDiv w:val="1"/>
      <w:marLeft w:val="0"/>
      <w:marRight w:val="0"/>
      <w:marTop w:val="0"/>
      <w:marBottom w:val="0"/>
      <w:divBdr>
        <w:top w:val="none" w:sz="0" w:space="0" w:color="auto"/>
        <w:left w:val="none" w:sz="0" w:space="0" w:color="auto"/>
        <w:bottom w:val="none" w:sz="0" w:space="0" w:color="auto"/>
        <w:right w:val="none" w:sz="0" w:space="0" w:color="auto"/>
      </w:divBdr>
    </w:div>
    <w:div w:id="928318062">
      <w:bodyDiv w:val="1"/>
      <w:marLeft w:val="0"/>
      <w:marRight w:val="0"/>
      <w:marTop w:val="0"/>
      <w:marBottom w:val="0"/>
      <w:divBdr>
        <w:top w:val="none" w:sz="0" w:space="0" w:color="auto"/>
        <w:left w:val="none" w:sz="0" w:space="0" w:color="auto"/>
        <w:bottom w:val="none" w:sz="0" w:space="0" w:color="auto"/>
        <w:right w:val="none" w:sz="0" w:space="0" w:color="auto"/>
      </w:divBdr>
    </w:div>
    <w:div w:id="928346634">
      <w:bodyDiv w:val="1"/>
      <w:marLeft w:val="0"/>
      <w:marRight w:val="0"/>
      <w:marTop w:val="0"/>
      <w:marBottom w:val="0"/>
      <w:divBdr>
        <w:top w:val="none" w:sz="0" w:space="0" w:color="auto"/>
        <w:left w:val="none" w:sz="0" w:space="0" w:color="auto"/>
        <w:bottom w:val="none" w:sz="0" w:space="0" w:color="auto"/>
        <w:right w:val="none" w:sz="0" w:space="0" w:color="auto"/>
      </w:divBdr>
    </w:div>
    <w:div w:id="928930791">
      <w:bodyDiv w:val="1"/>
      <w:marLeft w:val="0"/>
      <w:marRight w:val="0"/>
      <w:marTop w:val="0"/>
      <w:marBottom w:val="0"/>
      <w:divBdr>
        <w:top w:val="none" w:sz="0" w:space="0" w:color="auto"/>
        <w:left w:val="none" w:sz="0" w:space="0" w:color="auto"/>
        <w:bottom w:val="none" w:sz="0" w:space="0" w:color="auto"/>
        <w:right w:val="none" w:sz="0" w:space="0" w:color="auto"/>
      </w:divBdr>
    </w:div>
    <w:div w:id="929705677">
      <w:bodyDiv w:val="1"/>
      <w:marLeft w:val="0"/>
      <w:marRight w:val="0"/>
      <w:marTop w:val="0"/>
      <w:marBottom w:val="0"/>
      <w:divBdr>
        <w:top w:val="none" w:sz="0" w:space="0" w:color="auto"/>
        <w:left w:val="none" w:sz="0" w:space="0" w:color="auto"/>
        <w:bottom w:val="none" w:sz="0" w:space="0" w:color="auto"/>
        <w:right w:val="none" w:sz="0" w:space="0" w:color="auto"/>
      </w:divBdr>
    </w:div>
    <w:div w:id="929893912">
      <w:bodyDiv w:val="1"/>
      <w:marLeft w:val="0"/>
      <w:marRight w:val="0"/>
      <w:marTop w:val="0"/>
      <w:marBottom w:val="0"/>
      <w:divBdr>
        <w:top w:val="none" w:sz="0" w:space="0" w:color="auto"/>
        <w:left w:val="none" w:sz="0" w:space="0" w:color="auto"/>
        <w:bottom w:val="none" w:sz="0" w:space="0" w:color="auto"/>
        <w:right w:val="none" w:sz="0" w:space="0" w:color="auto"/>
      </w:divBdr>
    </w:div>
    <w:div w:id="935289446">
      <w:bodyDiv w:val="1"/>
      <w:marLeft w:val="0"/>
      <w:marRight w:val="0"/>
      <w:marTop w:val="0"/>
      <w:marBottom w:val="0"/>
      <w:divBdr>
        <w:top w:val="none" w:sz="0" w:space="0" w:color="auto"/>
        <w:left w:val="none" w:sz="0" w:space="0" w:color="auto"/>
        <w:bottom w:val="none" w:sz="0" w:space="0" w:color="auto"/>
        <w:right w:val="none" w:sz="0" w:space="0" w:color="auto"/>
      </w:divBdr>
    </w:div>
    <w:div w:id="935596284">
      <w:bodyDiv w:val="1"/>
      <w:marLeft w:val="0"/>
      <w:marRight w:val="0"/>
      <w:marTop w:val="0"/>
      <w:marBottom w:val="0"/>
      <w:divBdr>
        <w:top w:val="none" w:sz="0" w:space="0" w:color="auto"/>
        <w:left w:val="none" w:sz="0" w:space="0" w:color="auto"/>
        <w:bottom w:val="none" w:sz="0" w:space="0" w:color="auto"/>
        <w:right w:val="none" w:sz="0" w:space="0" w:color="auto"/>
      </w:divBdr>
    </w:div>
    <w:div w:id="936206860">
      <w:bodyDiv w:val="1"/>
      <w:marLeft w:val="0"/>
      <w:marRight w:val="0"/>
      <w:marTop w:val="0"/>
      <w:marBottom w:val="0"/>
      <w:divBdr>
        <w:top w:val="none" w:sz="0" w:space="0" w:color="auto"/>
        <w:left w:val="none" w:sz="0" w:space="0" w:color="auto"/>
        <w:bottom w:val="none" w:sz="0" w:space="0" w:color="auto"/>
        <w:right w:val="none" w:sz="0" w:space="0" w:color="auto"/>
      </w:divBdr>
    </w:div>
    <w:div w:id="937834845">
      <w:bodyDiv w:val="1"/>
      <w:marLeft w:val="0"/>
      <w:marRight w:val="0"/>
      <w:marTop w:val="0"/>
      <w:marBottom w:val="0"/>
      <w:divBdr>
        <w:top w:val="none" w:sz="0" w:space="0" w:color="auto"/>
        <w:left w:val="none" w:sz="0" w:space="0" w:color="auto"/>
        <w:bottom w:val="none" w:sz="0" w:space="0" w:color="auto"/>
        <w:right w:val="none" w:sz="0" w:space="0" w:color="auto"/>
      </w:divBdr>
    </w:div>
    <w:div w:id="939752335">
      <w:bodyDiv w:val="1"/>
      <w:marLeft w:val="0"/>
      <w:marRight w:val="0"/>
      <w:marTop w:val="0"/>
      <w:marBottom w:val="0"/>
      <w:divBdr>
        <w:top w:val="none" w:sz="0" w:space="0" w:color="auto"/>
        <w:left w:val="none" w:sz="0" w:space="0" w:color="auto"/>
        <w:bottom w:val="none" w:sz="0" w:space="0" w:color="auto"/>
        <w:right w:val="none" w:sz="0" w:space="0" w:color="auto"/>
      </w:divBdr>
    </w:div>
    <w:div w:id="941884467">
      <w:bodyDiv w:val="1"/>
      <w:marLeft w:val="0"/>
      <w:marRight w:val="0"/>
      <w:marTop w:val="0"/>
      <w:marBottom w:val="0"/>
      <w:divBdr>
        <w:top w:val="none" w:sz="0" w:space="0" w:color="auto"/>
        <w:left w:val="none" w:sz="0" w:space="0" w:color="auto"/>
        <w:bottom w:val="none" w:sz="0" w:space="0" w:color="auto"/>
        <w:right w:val="none" w:sz="0" w:space="0" w:color="auto"/>
      </w:divBdr>
    </w:div>
    <w:div w:id="942611862">
      <w:bodyDiv w:val="1"/>
      <w:marLeft w:val="0"/>
      <w:marRight w:val="0"/>
      <w:marTop w:val="0"/>
      <w:marBottom w:val="0"/>
      <w:divBdr>
        <w:top w:val="none" w:sz="0" w:space="0" w:color="auto"/>
        <w:left w:val="none" w:sz="0" w:space="0" w:color="auto"/>
        <w:bottom w:val="none" w:sz="0" w:space="0" w:color="auto"/>
        <w:right w:val="none" w:sz="0" w:space="0" w:color="auto"/>
      </w:divBdr>
    </w:div>
    <w:div w:id="944456209">
      <w:bodyDiv w:val="1"/>
      <w:marLeft w:val="0"/>
      <w:marRight w:val="0"/>
      <w:marTop w:val="0"/>
      <w:marBottom w:val="0"/>
      <w:divBdr>
        <w:top w:val="none" w:sz="0" w:space="0" w:color="auto"/>
        <w:left w:val="none" w:sz="0" w:space="0" w:color="auto"/>
        <w:bottom w:val="none" w:sz="0" w:space="0" w:color="auto"/>
        <w:right w:val="none" w:sz="0" w:space="0" w:color="auto"/>
      </w:divBdr>
    </w:div>
    <w:div w:id="945767694">
      <w:bodyDiv w:val="1"/>
      <w:marLeft w:val="0"/>
      <w:marRight w:val="0"/>
      <w:marTop w:val="0"/>
      <w:marBottom w:val="0"/>
      <w:divBdr>
        <w:top w:val="none" w:sz="0" w:space="0" w:color="auto"/>
        <w:left w:val="none" w:sz="0" w:space="0" w:color="auto"/>
        <w:bottom w:val="none" w:sz="0" w:space="0" w:color="auto"/>
        <w:right w:val="none" w:sz="0" w:space="0" w:color="auto"/>
      </w:divBdr>
    </w:div>
    <w:div w:id="947466501">
      <w:bodyDiv w:val="1"/>
      <w:marLeft w:val="0"/>
      <w:marRight w:val="0"/>
      <w:marTop w:val="0"/>
      <w:marBottom w:val="0"/>
      <w:divBdr>
        <w:top w:val="none" w:sz="0" w:space="0" w:color="auto"/>
        <w:left w:val="none" w:sz="0" w:space="0" w:color="auto"/>
        <w:bottom w:val="none" w:sz="0" w:space="0" w:color="auto"/>
        <w:right w:val="none" w:sz="0" w:space="0" w:color="auto"/>
      </w:divBdr>
    </w:div>
    <w:div w:id="949236572">
      <w:bodyDiv w:val="1"/>
      <w:marLeft w:val="0"/>
      <w:marRight w:val="0"/>
      <w:marTop w:val="0"/>
      <w:marBottom w:val="0"/>
      <w:divBdr>
        <w:top w:val="none" w:sz="0" w:space="0" w:color="auto"/>
        <w:left w:val="none" w:sz="0" w:space="0" w:color="auto"/>
        <w:bottom w:val="none" w:sz="0" w:space="0" w:color="auto"/>
        <w:right w:val="none" w:sz="0" w:space="0" w:color="auto"/>
      </w:divBdr>
    </w:div>
    <w:div w:id="951477476">
      <w:bodyDiv w:val="1"/>
      <w:marLeft w:val="0"/>
      <w:marRight w:val="0"/>
      <w:marTop w:val="0"/>
      <w:marBottom w:val="0"/>
      <w:divBdr>
        <w:top w:val="none" w:sz="0" w:space="0" w:color="auto"/>
        <w:left w:val="none" w:sz="0" w:space="0" w:color="auto"/>
        <w:bottom w:val="none" w:sz="0" w:space="0" w:color="auto"/>
        <w:right w:val="none" w:sz="0" w:space="0" w:color="auto"/>
      </w:divBdr>
    </w:div>
    <w:div w:id="952900036">
      <w:bodyDiv w:val="1"/>
      <w:marLeft w:val="0"/>
      <w:marRight w:val="0"/>
      <w:marTop w:val="0"/>
      <w:marBottom w:val="0"/>
      <w:divBdr>
        <w:top w:val="none" w:sz="0" w:space="0" w:color="auto"/>
        <w:left w:val="none" w:sz="0" w:space="0" w:color="auto"/>
        <w:bottom w:val="none" w:sz="0" w:space="0" w:color="auto"/>
        <w:right w:val="none" w:sz="0" w:space="0" w:color="auto"/>
      </w:divBdr>
    </w:div>
    <w:div w:id="954825773">
      <w:bodyDiv w:val="1"/>
      <w:marLeft w:val="0"/>
      <w:marRight w:val="0"/>
      <w:marTop w:val="0"/>
      <w:marBottom w:val="0"/>
      <w:divBdr>
        <w:top w:val="none" w:sz="0" w:space="0" w:color="auto"/>
        <w:left w:val="none" w:sz="0" w:space="0" w:color="auto"/>
        <w:bottom w:val="none" w:sz="0" w:space="0" w:color="auto"/>
        <w:right w:val="none" w:sz="0" w:space="0" w:color="auto"/>
      </w:divBdr>
    </w:div>
    <w:div w:id="958726648">
      <w:bodyDiv w:val="1"/>
      <w:marLeft w:val="0"/>
      <w:marRight w:val="0"/>
      <w:marTop w:val="0"/>
      <w:marBottom w:val="0"/>
      <w:divBdr>
        <w:top w:val="none" w:sz="0" w:space="0" w:color="auto"/>
        <w:left w:val="none" w:sz="0" w:space="0" w:color="auto"/>
        <w:bottom w:val="none" w:sz="0" w:space="0" w:color="auto"/>
        <w:right w:val="none" w:sz="0" w:space="0" w:color="auto"/>
      </w:divBdr>
    </w:div>
    <w:div w:id="960233910">
      <w:bodyDiv w:val="1"/>
      <w:marLeft w:val="0"/>
      <w:marRight w:val="0"/>
      <w:marTop w:val="0"/>
      <w:marBottom w:val="0"/>
      <w:divBdr>
        <w:top w:val="none" w:sz="0" w:space="0" w:color="auto"/>
        <w:left w:val="none" w:sz="0" w:space="0" w:color="auto"/>
        <w:bottom w:val="none" w:sz="0" w:space="0" w:color="auto"/>
        <w:right w:val="none" w:sz="0" w:space="0" w:color="auto"/>
      </w:divBdr>
    </w:div>
    <w:div w:id="962615874">
      <w:bodyDiv w:val="1"/>
      <w:marLeft w:val="0"/>
      <w:marRight w:val="0"/>
      <w:marTop w:val="0"/>
      <w:marBottom w:val="0"/>
      <w:divBdr>
        <w:top w:val="none" w:sz="0" w:space="0" w:color="auto"/>
        <w:left w:val="none" w:sz="0" w:space="0" w:color="auto"/>
        <w:bottom w:val="none" w:sz="0" w:space="0" w:color="auto"/>
        <w:right w:val="none" w:sz="0" w:space="0" w:color="auto"/>
      </w:divBdr>
    </w:div>
    <w:div w:id="962729081">
      <w:bodyDiv w:val="1"/>
      <w:marLeft w:val="0"/>
      <w:marRight w:val="0"/>
      <w:marTop w:val="0"/>
      <w:marBottom w:val="0"/>
      <w:divBdr>
        <w:top w:val="none" w:sz="0" w:space="0" w:color="auto"/>
        <w:left w:val="none" w:sz="0" w:space="0" w:color="auto"/>
        <w:bottom w:val="none" w:sz="0" w:space="0" w:color="auto"/>
        <w:right w:val="none" w:sz="0" w:space="0" w:color="auto"/>
      </w:divBdr>
    </w:div>
    <w:div w:id="962855566">
      <w:bodyDiv w:val="1"/>
      <w:marLeft w:val="0"/>
      <w:marRight w:val="0"/>
      <w:marTop w:val="0"/>
      <w:marBottom w:val="0"/>
      <w:divBdr>
        <w:top w:val="none" w:sz="0" w:space="0" w:color="auto"/>
        <w:left w:val="none" w:sz="0" w:space="0" w:color="auto"/>
        <w:bottom w:val="none" w:sz="0" w:space="0" w:color="auto"/>
        <w:right w:val="none" w:sz="0" w:space="0" w:color="auto"/>
      </w:divBdr>
    </w:div>
    <w:div w:id="964117248">
      <w:bodyDiv w:val="1"/>
      <w:marLeft w:val="0"/>
      <w:marRight w:val="0"/>
      <w:marTop w:val="0"/>
      <w:marBottom w:val="0"/>
      <w:divBdr>
        <w:top w:val="none" w:sz="0" w:space="0" w:color="auto"/>
        <w:left w:val="none" w:sz="0" w:space="0" w:color="auto"/>
        <w:bottom w:val="none" w:sz="0" w:space="0" w:color="auto"/>
        <w:right w:val="none" w:sz="0" w:space="0" w:color="auto"/>
      </w:divBdr>
    </w:div>
    <w:div w:id="964389537">
      <w:bodyDiv w:val="1"/>
      <w:marLeft w:val="0"/>
      <w:marRight w:val="0"/>
      <w:marTop w:val="0"/>
      <w:marBottom w:val="0"/>
      <w:divBdr>
        <w:top w:val="none" w:sz="0" w:space="0" w:color="auto"/>
        <w:left w:val="none" w:sz="0" w:space="0" w:color="auto"/>
        <w:bottom w:val="none" w:sz="0" w:space="0" w:color="auto"/>
        <w:right w:val="none" w:sz="0" w:space="0" w:color="auto"/>
      </w:divBdr>
    </w:div>
    <w:div w:id="965816405">
      <w:bodyDiv w:val="1"/>
      <w:marLeft w:val="0"/>
      <w:marRight w:val="0"/>
      <w:marTop w:val="0"/>
      <w:marBottom w:val="0"/>
      <w:divBdr>
        <w:top w:val="none" w:sz="0" w:space="0" w:color="auto"/>
        <w:left w:val="none" w:sz="0" w:space="0" w:color="auto"/>
        <w:bottom w:val="none" w:sz="0" w:space="0" w:color="auto"/>
        <w:right w:val="none" w:sz="0" w:space="0" w:color="auto"/>
      </w:divBdr>
    </w:div>
    <w:div w:id="968707987">
      <w:bodyDiv w:val="1"/>
      <w:marLeft w:val="0"/>
      <w:marRight w:val="0"/>
      <w:marTop w:val="0"/>
      <w:marBottom w:val="0"/>
      <w:divBdr>
        <w:top w:val="none" w:sz="0" w:space="0" w:color="auto"/>
        <w:left w:val="none" w:sz="0" w:space="0" w:color="auto"/>
        <w:bottom w:val="none" w:sz="0" w:space="0" w:color="auto"/>
        <w:right w:val="none" w:sz="0" w:space="0" w:color="auto"/>
      </w:divBdr>
    </w:div>
    <w:div w:id="970867816">
      <w:bodyDiv w:val="1"/>
      <w:marLeft w:val="0"/>
      <w:marRight w:val="0"/>
      <w:marTop w:val="0"/>
      <w:marBottom w:val="0"/>
      <w:divBdr>
        <w:top w:val="none" w:sz="0" w:space="0" w:color="auto"/>
        <w:left w:val="none" w:sz="0" w:space="0" w:color="auto"/>
        <w:bottom w:val="none" w:sz="0" w:space="0" w:color="auto"/>
        <w:right w:val="none" w:sz="0" w:space="0" w:color="auto"/>
      </w:divBdr>
    </w:div>
    <w:div w:id="971522617">
      <w:bodyDiv w:val="1"/>
      <w:marLeft w:val="0"/>
      <w:marRight w:val="0"/>
      <w:marTop w:val="0"/>
      <w:marBottom w:val="0"/>
      <w:divBdr>
        <w:top w:val="none" w:sz="0" w:space="0" w:color="auto"/>
        <w:left w:val="none" w:sz="0" w:space="0" w:color="auto"/>
        <w:bottom w:val="none" w:sz="0" w:space="0" w:color="auto"/>
        <w:right w:val="none" w:sz="0" w:space="0" w:color="auto"/>
      </w:divBdr>
    </w:div>
    <w:div w:id="972176548">
      <w:bodyDiv w:val="1"/>
      <w:marLeft w:val="0"/>
      <w:marRight w:val="0"/>
      <w:marTop w:val="0"/>
      <w:marBottom w:val="0"/>
      <w:divBdr>
        <w:top w:val="none" w:sz="0" w:space="0" w:color="auto"/>
        <w:left w:val="none" w:sz="0" w:space="0" w:color="auto"/>
        <w:bottom w:val="none" w:sz="0" w:space="0" w:color="auto"/>
        <w:right w:val="none" w:sz="0" w:space="0" w:color="auto"/>
      </w:divBdr>
    </w:div>
    <w:div w:id="976179202">
      <w:bodyDiv w:val="1"/>
      <w:marLeft w:val="0"/>
      <w:marRight w:val="0"/>
      <w:marTop w:val="0"/>
      <w:marBottom w:val="0"/>
      <w:divBdr>
        <w:top w:val="none" w:sz="0" w:space="0" w:color="auto"/>
        <w:left w:val="none" w:sz="0" w:space="0" w:color="auto"/>
        <w:bottom w:val="none" w:sz="0" w:space="0" w:color="auto"/>
        <w:right w:val="none" w:sz="0" w:space="0" w:color="auto"/>
      </w:divBdr>
    </w:div>
    <w:div w:id="978613832">
      <w:bodyDiv w:val="1"/>
      <w:marLeft w:val="0"/>
      <w:marRight w:val="0"/>
      <w:marTop w:val="0"/>
      <w:marBottom w:val="0"/>
      <w:divBdr>
        <w:top w:val="none" w:sz="0" w:space="0" w:color="auto"/>
        <w:left w:val="none" w:sz="0" w:space="0" w:color="auto"/>
        <w:bottom w:val="none" w:sz="0" w:space="0" w:color="auto"/>
        <w:right w:val="none" w:sz="0" w:space="0" w:color="auto"/>
      </w:divBdr>
    </w:div>
    <w:div w:id="985160247">
      <w:bodyDiv w:val="1"/>
      <w:marLeft w:val="0"/>
      <w:marRight w:val="0"/>
      <w:marTop w:val="0"/>
      <w:marBottom w:val="0"/>
      <w:divBdr>
        <w:top w:val="none" w:sz="0" w:space="0" w:color="auto"/>
        <w:left w:val="none" w:sz="0" w:space="0" w:color="auto"/>
        <w:bottom w:val="none" w:sz="0" w:space="0" w:color="auto"/>
        <w:right w:val="none" w:sz="0" w:space="0" w:color="auto"/>
      </w:divBdr>
    </w:div>
    <w:div w:id="986127672">
      <w:bodyDiv w:val="1"/>
      <w:marLeft w:val="0"/>
      <w:marRight w:val="0"/>
      <w:marTop w:val="0"/>
      <w:marBottom w:val="0"/>
      <w:divBdr>
        <w:top w:val="none" w:sz="0" w:space="0" w:color="auto"/>
        <w:left w:val="none" w:sz="0" w:space="0" w:color="auto"/>
        <w:bottom w:val="none" w:sz="0" w:space="0" w:color="auto"/>
        <w:right w:val="none" w:sz="0" w:space="0" w:color="auto"/>
      </w:divBdr>
    </w:div>
    <w:div w:id="987442650">
      <w:bodyDiv w:val="1"/>
      <w:marLeft w:val="0"/>
      <w:marRight w:val="0"/>
      <w:marTop w:val="0"/>
      <w:marBottom w:val="0"/>
      <w:divBdr>
        <w:top w:val="none" w:sz="0" w:space="0" w:color="auto"/>
        <w:left w:val="none" w:sz="0" w:space="0" w:color="auto"/>
        <w:bottom w:val="none" w:sz="0" w:space="0" w:color="auto"/>
        <w:right w:val="none" w:sz="0" w:space="0" w:color="auto"/>
      </w:divBdr>
    </w:div>
    <w:div w:id="990400775">
      <w:bodyDiv w:val="1"/>
      <w:marLeft w:val="0"/>
      <w:marRight w:val="0"/>
      <w:marTop w:val="0"/>
      <w:marBottom w:val="0"/>
      <w:divBdr>
        <w:top w:val="none" w:sz="0" w:space="0" w:color="auto"/>
        <w:left w:val="none" w:sz="0" w:space="0" w:color="auto"/>
        <w:bottom w:val="none" w:sz="0" w:space="0" w:color="auto"/>
        <w:right w:val="none" w:sz="0" w:space="0" w:color="auto"/>
      </w:divBdr>
    </w:div>
    <w:div w:id="991373257">
      <w:bodyDiv w:val="1"/>
      <w:marLeft w:val="0"/>
      <w:marRight w:val="0"/>
      <w:marTop w:val="0"/>
      <w:marBottom w:val="0"/>
      <w:divBdr>
        <w:top w:val="none" w:sz="0" w:space="0" w:color="auto"/>
        <w:left w:val="none" w:sz="0" w:space="0" w:color="auto"/>
        <w:bottom w:val="none" w:sz="0" w:space="0" w:color="auto"/>
        <w:right w:val="none" w:sz="0" w:space="0" w:color="auto"/>
      </w:divBdr>
    </w:div>
    <w:div w:id="994140773">
      <w:bodyDiv w:val="1"/>
      <w:marLeft w:val="0"/>
      <w:marRight w:val="0"/>
      <w:marTop w:val="0"/>
      <w:marBottom w:val="0"/>
      <w:divBdr>
        <w:top w:val="none" w:sz="0" w:space="0" w:color="auto"/>
        <w:left w:val="none" w:sz="0" w:space="0" w:color="auto"/>
        <w:bottom w:val="none" w:sz="0" w:space="0" w:color="auto"/>
        <w:right w:val="none" w:sz="0" w:space="0" w:color="auto"/>
      </w:divBdr>
    </w:div>
    <w:div w:id="994990027">
      <w:bodyDiv w:val="1"/>
      <w:marLeft w:val="0"/>
      <w:marRight w:val="0"/>
      <w:marTop w:val="0"/>
      <w:marBottom w:val="0"/>
      <w:divBdr>
        <w:top w:val="none" w:sz="0" w:space="0" w:color="auto"/>
        <w:left w:val="none" w:sz="0" w:space="0" w:color="auto"/>
        <w:bottom w:val="none" w:sz="0" w:space="0" w:color="auto"/>
        <w:right w:val="none" w:sz="0" w:space="0" w:color="auto"/>
      </w:divBdr>
    </w:div>
    <w:div w:id="1000498683">
      <w:bodyDiv w:val="1"/>
      <w:marLeft w:val="0"/>
      <w:marRight w:val="0"/>
      <w:marTop w:val="0"/>
      <w:marBottom w:val="0"/>
      <w:divBdr>
        <w:top w:val="none" w:sz="0" w:space="0" w:color="auto"/>
        <w:left w:val="none" w:sz="0" w:space="0" w:color="auto"/>
        <w:bottom w:val="none" w:sz="0" w:space="0" w:color="auto"/>
        <w:right w:val="none" w:sz="0" w:space="0" w:color="auto"/>
      </w:divBdr>
    </w:div>
    <w:div w:id="1004095155">
      <w:bodyDiv w:val="1"/>
      <w:marLeft w:val="0"/>
      <w:marRight w:val="0"/>
      <w:marTop w:val="0"/>
      <w:marBottom w:val="0"/>
      <w:divBdr>
        <w:top w:val="none" w:sz="0" w:space="0" w:color="auto"/>
        <w:left w:val="none" w:sz="0" w:space="0" w:color="auto"/>
        <w:bottom w:val="none" w:sz="0" w:space="0" w:color="auto"/>
        <w:right w:val="none" w:sz="0" w:space="0" w:color="auto"/>
      </w:divBdr>
    </w:div>
    <w:div w:id="1006782923">
      <w:bodyDiv w:val="1"/>
      <w:marLeft w:val="0"/>
      <w:marRight w:val="0"/>
      <w:marTop w:val="0"/>
      <w:marBottom w:val="0"/>
      <w:divBdr>
        <w:top w:val="none" w:sz="0" w:space="0" w:color="auto"/>
        <w:left w:val="none" w:sz="0" w:space="0" w:color="auto"/>
        <w:bottom w:val="none" w:sz="0" w:space="0" w:color="auto"/>
        <w:right w:val="none" w:sz="0" w:space="0" w:color="auto"/>
      </w:divBdr>
    </w:div>
    <w:div w:id="1007098066">
      <w:bodyDiv w:val="1"/>
      <w:marLeft w:val="0"/>
      <w:marRight w:val="0"/>
      <w:marTop w:val="0"/>
      <w:marBottom w:val="0"/>
      <w:divBdr>
        <w:top w:val="none" w:sz="0" w:space="0" w:color="auto"/>
        <w:left w:val="none" w:sz="0" w:space="0" w:color="auto"/>
        <w:bottom w:val="none" w:sz="0" w:space="0" w:color="auto"/>
        <w:right w:val="none" w:sz="0" w:space="0" w:color="auto"/>
      </w:divBdr>
    </w:div>
    <w:div w:id="1009059601">
      <w:bodyDiv w:val="1"/>
      <w:marLeft w:val="0"/>
      <w:marRight w:val="0"/>
      <w:marTop w:val="0"/>
      <w:marBottom w:val="0"/>
      <w:divBdr>
        <w:top w:val="none" w:sz="0" w:space="0" w:color="auto"/>
        <w:left w:val="none" w:sz="0" w:space="0" w:color="auto"/>
        <w:bottom w:val="none" w:sz="0" w:space="0" w:color="auto"/>
        <w:right w:val="none" w:sz="0" w:space="0" w:color="auto"/>
      </w:divBdr>
    </w:div>
    <w:div w:id="1009329185">
      <w:bodyDiv w:val="1"/>
      <w:marLeft w:val="0"/>
      <w:marRight w:val="0"/>
      <w:marTop w:val="0"/>
      <w:marBottom w:val="0"/>
      <w:divBdr>
        <w:top w:val="none" w:sz="0" w:space="0" w:color="auto"/>
        <w:left w:val="none" w:sz="0" w:space="0" w:color="auto"/>
        <w:bottom w:val="none" w:sz="0" w:space="0" w:color="auto"/>
        <w:right w:val="none" w:sz="0" w:space="0" w:color="auto"/>
      </w:divBdr>
    </w:div>
    <w:div w:id="1014041010">
      <w:bodyDiv w:val="1"/>
      <w:marLeft w:val="0"/>
      <w:marRight w:val="0"/>
      <w:marTop w:val="0"/>
      <w:marBottom w:val="0"/>
      <w:divBdr>
        <w:top w:val="none" w:sz="0" w:space="0" w:color="auto"/>
        <w:left w:val="none" w:sz="0" w:space="0" w:color="auto"/>
        <w:bottom w:val="none" w:sz="0" w:space="0" w:color="auto"/>
        <w:right w:val="none" w:sz="0" w:space="0" w:color="auto"/>
      </w:divBdr>
    </w:div>
    <w:div w:id="1015619271">
      <w:bodyDiv w:val="1"/>
      <w:marLeft w:val="0"/>
      <w:marRight w:val="0"/>
      <w:marTop w:val="0"/>
      <w:marBottom w:val="0"/>
      <w:divBdr>
        <w:top w:val="none" w:sz="0" w:space="0" w:color="auto"/>
        <w:left w:val="none" w:sz="0" w:space="0" w:color="auto"/>
        <w:bottom w:val="none" w:sz="0" w:space="0" w:color="auto"/>
        <w:right w:val="none" w:sz="0" w:space="0" w:color="auto"/>
      </w:divBdr>
    </w:div>
    <w:div w:id="1017579098">
      <w:bodyDiv w:val="1"/>
      <w:marLeft w:val="0"/>
      <w:marRight w:val="0"/>
      <w:marTop w:val="0"/>
      <w:marBottom w:val="0"/>
      <w:divBdr>
        <w:top w:val="none" w:sz="0" w:space="0" w:color="auto"/>
        <w:left w:val="none" w:sz="0" w:space="0" w:color="auto"/>
        <w:bottom w:val="none" w:sz="0" w:space="0" w:color="auto"/>
        <w:right w:val="none" w:sz="0" w:space="0" w:color="auto"/>
      </w:divBdr>
    </w:div>
    <w:div w:id="1018195819">
      <w:bodyDiv w:val="1"/>
      <w:marLeft w:val="0"/>
      <w:marRight w:val="0"/>
      <w:marTop w:val="0"/>
      <w:marBottom w:val="0"/>
      <w:divBdr>
        <w:top w:val="none" w:sz="0" w:space="0" w:color="auto"/>
        <w:left w:val="none" w:sz="0" w:space="0" w:color="auto"/>
        <w:bottom w:val="none" w:sz="0" w:space="0" w:color="auto"/>
        <w:right w:val="none" w:sz="0" w:space="0" w:color="auto"/>
      </w:divBdr>
    </w:div>
    <w:div w:id="1022049580">
      <w:bodyDiv w:val="1"/>
      <w:marLeft w:val="0"/>
      <w:marRight w:val="0"/>
      <w:marTop w:val="0"/>
      <w:marBottom w:val="0"/>
      <w:divBdr>
        <w:top w:val="none" w:sz="0" w:space="0" w:color="auto"/>
        <w:left w:val="none" w:sz="0" w:space="0" w:color="auto"/>
        <w:bottom w:val="none" w:sz="0" w:space="0" w:color="auto"/>
        <w:right w:val="none" w:sz="0" w:space="0" w:color="auto"/>
      </w:divBdr>
    </w:div>
    <w:div w:id="1022976487">
      <w:bodyDiv w:val="1"/>
      <w:marLeft w:val="0"/>
      <w:marRight w:val="0"/>
      <w:marTop w:val="0"/>
      <w:marBottom w:val="0"/>
      <w:divBdr>
        <w:top w:val="none" w:sz="0" w:space="0" w:color="auto"/>
        <w:left w:val="none" w:sz="0" w:space="0" w:color="auto"/>
        <w:bottom w:val="none" w:sz="0" w:space="0" w:color="auto"/>
        <w:right w:val="none" w:sz="0" w:space="0" w:color="auto"/>
      </w:divBdr>
    </w:div>
    <w:div w:id="1027605145">
      <w:bodyDiv w:val="1"/>
      <w:marLeft w:val="0"/>
      <w:marRight w:val="0"/>
      <w:marTop w:val="0"/>
      <w:marBottom w:val="0"/>
      <w:divBdr>
        <w:top w:val="none" w:sz="0" w:space="0" w:color="auto"/>
        <w:left w:val="none" w:sz="0" w:space="0" w:color="auto"/>
        <w:bottom w:val="none" w:sz="0" w:space="0" w:color="auto"/>
        <w:right w:val="none" w:sz="0" w:space="0" w:color="auto"/>
      </w:divBdr>
    </w:div>
    <w:div w:id="1027833571">
      <w:bodyDiv w:val="1"/>
      <w:marLeft w:val="0"/>
      <w:marRight w:val="0"/>
      <w:marTop w:val="0"/>
      <w:marBottom w:val="0"/>
      <w:divBdr>
        <w:top w:val="none" w:sz="0" w:space="0" w:color="auto"/>
        <w:left w:val="none" w:sz="0" w:space="0" w:color="auto"/>
        <w:bottom w:val="none" w:sz="0" w:space="0" w:color="auto"/>
        <w:right w:val="none" w:sz="0" w:space="0" w:color="auto"/>
      </w:divBdr>
    </w:div>
    <w:div w:id="1030300740">
      <w:bodyDiv w:val="1"/>
      <w:marLeft w:val="0"/>
      <w:marRight w:val="0"/>
      <w:marTop w:val="0"/>
      <w:marBottom w:val="0"/>
      <w:divBdr>
        <w:top w:val="none" w:sz="0" w:space="0" w:color="auto"/>
        <w:left w:val="none" w:sz="0" w:space="0" w:color="auto"/>
        <w:bottom w:val="none" w:sz="0" w:space="0" w:color="auto"/>
        <w:right w:val="none" w:sz="0" w:space="0" w:color="auto"/>
      </w:divBdr>
    </w:div>
    <w:div w:id="1030569076">
      <w:bodyDiv w:val="1"/>
      <w:marLeft w:val="0"/>
      <w:marRight w:val="0"/>
      <w:marTop w:val="0"/>
      <w:marBottom w:val="0"/>
      <w:divBdr>
        <w:top w:val="none" w:sz="0" w:space="0" w:color="auto"/>
        <w:left w:val="none" w:sz="0" w:space="0" w:color="auto"/>
        <w:bottom w:val="none" w:sz="0" w:space="0" w:color="auto"/>
        <w:right w:val="none" w:sz="0" w:space="0" w:color="auto"/>
      </w:divBdr>
    </w:div>
    <w:div w:id="1031149008">
      <w:bodyDiv w:val="1"/>
      <w:marLeft w:val="0"/>
      <w:marRight w:val="0"/>
      <w:marTop w:val="0"/>
      <w:marBottom w:val="0"/>
      <w:divBdr>
        <w:top w:val="none" w:sz="0" w:space="0" w:color="auto"/>
        <w:left w:val="none" w:sz="0" w:space="0" w:color="auto"/>
        <w:bottom w:val="none" w:sz="0" w:space="0" w:color="auto"/>
        <w:right w:val="none" w:sz="0" w:space="0" w:color="auto"/>
      </w:divBdr>
    </w:div>
    <w:div w:id="1031803938">
      <w:bodyDiv w:val="1"/>
      <w:marLeft w:val="0"/>
      <w:marRight w:val="0"/>
      <w:marTop w:val="0"/>
      <w:marBottom w:val="0"/>
      <w:divBdr>
        <w:top w:val="none" w:sz="0" w:space="0" w:color="auto"/>
        <w:left w:val="none" w:sz="0" w:space="0" w:color="auto"/>
        <w:bottom w:val="none" w:sz="0" w:space="0" w:color="auto"/>
        <w:right w:val="none" w:sz="0" w:space="0" w:color="auto"/>
      </w:divBdr>
    </w:div>
    <w:div w:id="1033191795">
      <w:bodyDiv w:val="1"/>
      <w:marLeft w:val="0"/>
      <w:marRight w:val="0"/>
      <w:marTop w:val="0"/>
      <w:marBottom w:val="0"/>
      <w:divBdr>
        <w:top w:val="none" w:sz="0" w:space="0" w:color="auto"/>
        <w:left w:val="none" w:sz="0" w:space="0" w:color="auto"/>
        <w:bottom w:val="none" w:sz="0" w:space="0" w:color="auto"/>
        <w:right w:val="none" w:sz="0" w:space="0" w:color="auto"/>
      </w:divBdr>
    </w:div>
    <w:div w:id="1036739252">
      <w:bodyDiv w:val="1"/>
      <w:marLeft w:val="0"/>
      <w:marRight w:val="0"/>
      <w:marTop w:val="0"/>
      <w:marBottom w:val="0"/>
      <w:divBdr>
        <w:top w:val="none" w:sz="0" w:space="0" w:color="auto"/>
        <w:left w:val="none" w:sz="0" w:space="0" w:color="auto"/>
        <w:bottom w:val="none" w:sz="0" w:space="0" w:color="auto"/>
        <w:right w:val="none" w:sz="0" w:space="0" w:color="auto"/>
      </w:divBdr>
    </w:div>
    <w:div w:id="1037588813">
      <w:bodyDiv w:val="1"/>
      <w:marLeft w:val="0"/>
      <w:marRight w:val="0"/>
      <w:marTop w:val="0"/>
      <w:marBottom w:val="0"/>
      <w:divBdr>
        <w:top w:val="none" w:sz="0" w:space="0" w:color="auto"/>
        <w:left w:val="none" w:sz="0" w:space="0" w:color="auto"/>
        <w:bottom w:val="none" w:sz="0" w:space="0" w:color="auto"/>
        <w:right w:val="none" w:sz="0" w:space="0" w:color="auto"/>
      </w:divBdr>
    </w:div>
    <w:div w:id="1040057034">
      <w:bodyDiv w:val="1"/>
      <w:marLeft w:val="0"/>
      <w:marRight w:val="0"/>
      <w:marTop w:val="0"/>
      <w:marBottom w:val="0"/>
      <w:divBdr>
        <w:top w:val="none" w:sz="0" w:space="0" w:color="auto"/>
        <w:left w:val="none" w:sz="0" w:space="0" w:color="auto"/>
        <w:bottom w:val="none" w:sz="0" w:space="0" w:color="auto"/>
        <w:right w:val="none" w:sz="0" w:space="0" w:color="auto"/>
      </w:divBdr>
    </w:div>
    <w:div w:id="1041638711">
      <w:bodyDiv w:val="1"/>
      <w:marLeft w:val="0"/>
      <w:marRight w:val="0"/>
      <w:marTop w:val="0"/>
      <w:marBottom w:val="0"/>
      <w:divBdr>
        <w:top w:val="none" w:sz="0" w:space="0" w:color="auto"/>
        <w:left w:val="none" w:sz="0" w:space="0" w:color="auto"/>
        <w:bottom w:val="none" w:sz="0" w:space="0" w:color="auto"/>
        <w:right w:val="none" w:sz="0" w:space="0" w:color="auto"/>
      </w:divBdr>
    </w:div>
    <w:div w:id="1041780284">
      <w:bodyDiv w:val="1"/>
      <w:marLeft w:val="0"/>
      <w:marRight w:val="0"/>
      <w:marTop w:val="0"/>
      <w:marBottom w:val="0"/>
      <w:divBdr>
        <w:top w:val="none" w:sz="0" w:space="0" w:color="auto"/>
        <w:left w:val="none" w:sz="0" w:space="0" w:color="auto"/>
        <w:bottom w:val="none" w:sz="0" w:space="0" w:color="auto"/>
        <w:right w:val="none" w:sz="0" w:space="0" w:color="auto"/>
      </w:divBdr>
    </w:div>
    <w:div w:id="1042025084">
      <w:bodyDiv w:val="1"/>
      <w:marLeft w:val="0"/>
      <w:marRight w:val="0"/>
      <w:marTop w:val="0"/>
      <w:marBottom w:val="0"/>
      <w:divBdr>
        <w:top w:val="none" w:sz="0" w:space="0" w:color="auto"/>
        <w:left w:val="none" w:sz="0" w:space="0" w:color="auto"/>
        <w:bottom w:val="none" w:sz="0" w:space="0" w:color="auto"/>
        <w:right w:val="none" w:sz="0" w:space="0" w:color="auto"/>
      </w:divBdr>
    </w:div>
    <w:div w:id="1042746420">
      <w:bodyDiv w:val="1"/>
      <w:marLeft w:val="0"/>
      <w:marRight w:val="0"/>
      <w:marTop w:val="0"/>
      <w:marBottom w:val="0"/>
      <w:divBdr>
        <w:top w:val="none" w:sz="0" w:space="0" w:color="auto"/>
        <w:left w:val="none" w:sz="0" w:space="0" w:color="auto"/>
        <w:bottom w:val="none" w:sz="0" w:space="0" w:color="auto"/>
        <w:right w:val="none" w:sz="0" w:space="0" w:color="auto"/>
      </w:divBdr>
    </w:div>
    <w:div w:id="1044401772">
      <w:bodyDiv w:val="1"/>
      <w:marLeft w:val="0"/>
      <w:marRight w:val="0"/>
      <w:marTop w:val="0"/>
      <w:marBottom w:val="0"/>
      <w:divBdr>
        <w:top w:val="none" w:sz="0" w:space="0" w:color="auto"/>
        <w:left w:val="none" w:sz="0" w:space="0" w:color="auto"/>
        <w:bottom w:val="none" w:sz="0" w:space="0" w:color="auto"/>
        <w:right w:val="none" w:sz="0" w:space="0" w:color="auto"/>
      </w:divBdr>
    </w:div>
    <w:div w:id="1045059705">
      <w:bodyDiv w:val="1"/>
      <w:marLeft w:val="0"/>
      <w:marRight w:val="0"/>
      <w:marTop w:val="0"/>
      <w:marBottom w:val="0"/>
      <w:divBdr>
        <w:top w:val="none" w:sz="0" w:space="0" w:color="auto"/>
        <w:left w:val="none" w:sz="0" w:space="0" w:color="auto"/>
        <w:bottom w:val="none" w:sz="0" w:space="0" w:color="auto"/>
        <w:right w:val="none" w:sz="0" w:space="0" w:color="auto"/>
      </w:divBdr>
    </w:div>
    <w:div w:id="1046222468">
      <w:bodyDiv w:val="1"/>
      <w:marLeft w:val="0"/>
      <w:marRight w:val="0"/>
      <w:marTop w:val="0"/>
      <w:marBottom w:val="0"/>
      <w:divBdr>
        <w:top w:val="none" w:sz="0" w:space="0" w:color="auto"/>
        <w:left w:val="none" w:sz="0" w:space="0" w:color="auto"/>
        <w:bottom w:val="none" w:sz="0" w:space="0" w:color="auto"/>
        <w:right w:val="none" w:sz="0" w:space="0" w:color="auto"/>
      </w:divBdr>
    </w:div>
    <w:div w:id="1047948318">
      <w:bodyDiv w:val="1"/>
      <w:marLeft w:val="0"/>
      <w:marRight w:val="0"/>
      <w:marTop w:val="0"/>
      <w:marBottom w:val="0"/>
      <w:divBdr>
        <w:top w:val="none" w:sz="0" w:space="0" w:color="auto"/>
        <w:left w:val="none" w:sz="0" w:space="0" w:color="auto"/>
        <w:bottom w:val="none" w:sz="0" w:space="0" w:color="auto"/>
        <w:right w:val="none" w:sz="0" w:space="0" w:color="auto"/>
      </w:divBdr>
    </w:div>
    <w:div w:id="1048577749">
      <w:bodyDiv w:val="1"/>
      <w:marLeft w:val="0"/>
      <w:marRight w:val="0"/>
      <w:marTop w:val="0"/>
      <w:marBottom w:val="0"/>
      <w:divBdr>
        <w:top w:val="none" w:sz="0" w:space="0" w:color="auto"/>
        <w:left w:val="none" w:sz="0" w:space="0" w:color="auto"/>
        <w:bottom w:val="none" w:sz="0" w:space="0" w:color="auto"/>
        <w:right w:val="none" w:sz="0" w:space="0" w:color="auto"/>
      </w:divBdr>
    </w:div>
    <w:div w:id="1051613106">
      <w:bodyDiv w:val="1"/>
      <w:marLeft w:val="0"/>
      <w:marRight w:val="0"/>
      <w:marTop w:val="0"/>
      <w:marBottom w:val="0"/>
      <w:divBdr>
        <w:top w:val="none" w:sz="0" w:space="0" w:color="auto"/>
        <w:left w:val="none" w:sz="0" w:space="0" w:color="auto"/>
        <w:bottom w:val="none" w:sz="0" w:space="0" w:color="auto"/>
        <w:right w:val="none" w:sz="0" w:space="0" w:color="auto"/>
      </w:divBdr>
    </w:div>
    <w:div w:id="1056246423">
      <w:bodyDiv w:val="1"/>
      <w:marLeft w:val="0"/>
      <w:marRight w:val="0"/>
      <w:marTop w:val="0"/>
      <w:marBottom w:val="0"/>
      <w:divBdr>
        <w:top w:val="none" w:sz="0" w:space="0" w:color="auto"/>
        <w:left w:val="none" w:sz="0" w:space="0" w:color="auto"/>
        <w:bottom w:val="none" w:sz="0" w:space="0" w:color="auto"/>
        <w:right w:val="none" w:sz="0" w:space="0" w:color="auto"/>
      </w:divBdr>
    </w:div>
    <w:div w:id="1058747600">
      <w:bodyDiv w:val="1"/>
      <w:marLeft w:val="0"/>
      <w:marRight w:val="0"/>
      <w:marTop w:val="0"/>
      <w:marBottom w:val="0"/>
      <w:divBdr>
        <w:top w:val="none" w:sz="0" w:space="0" w:color="auto"/>
        <w:left w:val="none" w:sz="0" w:space="0" w:color="auto"/>
        <w:bottom w:val="none" w:sz="0" w:space="0" w:color="auto"/>
        <w:right w:val="none" w:sz="0" w:space="0" w:color="auto"/>
      </w:divBdr>
    </w:div>
    <w:div w:id="1061059356">
      <w:bodyDiv w:val="1"/>
      <w:marLeft w:val="0"/>
      <w:marRight w:val="0"/>
      <w:marTop w:val="0"/>
      <w:marBottom w:val="0"/>
      <w:divBdr>
        <w:top w:val="none" w:sz="0" w:space="0" w:color="auto"/>
        <w:left w:val="none" w:sz="0" w:space="0" w:color="auto"/>
        <w:bottom w:val="none" w:sz="0" w:space="0" w:color="auto"/>
        <w:right w:val="none" w:sz="0" w:space="0" w:color="auto"/>
      </w:divBdr>
    </w:div>
    <w:div w:id="1061445002">
      <w:bodyDiv w:val="1"/>
      <w:marLeft w:val="0"/>
      <w:marRight w:val="0"/>
      <w:marTop w:val="0"/>
      <w:marBottom w:val="0"/>
      <w:divBdr>
        <w:top w:val="none" w:sz="0" w:space="0" w:color="auto"/>
        <w:left w:val="none" w:sz="0" w:space="0" w:color="auto"/>
        <w:bottom w:val="none" w:sz="0" w:space="0" w:color="auto"/>
        <w:right w:val="none" w:sz="0" w:space="0" w:color="auto"/>
      </w:divBdr>
    </w:div>
    <w:div w:id="1061715374">
      <w:bodyDiv w:val="1"/>
      <w:marLeft w:val="0"/>
      <w:marRight w:val="0"/>
      <w:marTop w:val="0"/>
      <w:marBottom w:val="0"/>
      <w:divBdr>
        <w:top w:val="none" w:sz="0" w:space="0" w:color="auto"/>
        <w:left w:val="none" w:sz="0" w:space="0" w:color="auto"/>
        <w:bottom w:val="none" w:sz="0" w:space="0" w:color="auto"/>
        <w:right w:val="none" w:sz="0" w:space="0" w:color="auto"/>
      </w:divBdr>
    </w:div>
    <w:div w:id="1061749552">
      <w:bodyDiv w:val="1"/>
      <w:marLeft w:val="0"/>
      <w:marRight w:val="0"/>
      <w:marTop w:val="0"/>
      <w:marBottom w:val="0"/>
      <w:divBdr>
        <w:top w:val="none" w:sz="0" w:space="0" w:color="auto"/>
        <w:left w:val="none" w:sz="0" w:space="0" w:color="auto"/>
        <w:bottom w:val="none" w:sz="0" w:space="0" w:color="auto"/>
        <w:right w:val="none" w:sz="0" w:space="0" w:color="auto"/>
      </w:divBdr>
    </w:div>
    <w:div w:id="1062866646">
      <w:bodyDiv w:val="1"/>
      <w:marLeft w:val="0"/>
      <w:marRight w:val="0"/>
      <w:marTop w:val="0"/>
      <w:marBottom w:val="0"/>
      <w:divBdr>
        <w:top w:val="none" w:sz="0" w:space="0" w:color="auto"/>
        <w:left w:val="none" w:sz="0" w:space="0" w:color="auto"/>
        <w:bottom w:val="none" w:sz="0" w:space="0" w:color="auto"/>
        <w:right w:val="none" w:sz="0" w:space="0" w:color="auto"/>
      </w:divBdr>
    </w:div>
    <w:div w:id="1066225279">
      <w:bodyDiv w:val="1"/>
      <w:marLeft w:val="0"/>
      <w:marRight w:val="0"/>
      <w:marTop w:val="0"/>
      <w:marBottom w:val="0"/>
      <w:divBdr>
        <w:top w:val="none" w:sz="0" w:space="0" w:color="auto"/>
        <w:left w:val="none" w:sz="0" w:space="0" w:color="auto"/>
        <w:bottom w:val="none" w:sz="0" w:space="0" w:color="auto"/>
        <w:right w:val="none" w:sz="0" w:space="0" w:color="auto"/>
      </w:divBdr>
    </w:div>
    <w:div w:id="1068765870">
      <w:bodyDiv w:val="1"/>
      <w:marLeft w:val="0"/>
      <w:marRight w:val="0"/>
      <w:marTop w:val="0"/>
      <w:marBottom w:val="0"/>
      <w:divBdr>
        <w:top w:val="none" w:sz="0" w:space="0" w:color="auto"/>
        <w:left w:val="none" w:sz="0" w:space="0" w:color="auto"/>
        <w:bottom w:val="none" w:sz="0" w:space="0" w:color="auto"/>
        <w:right w:val="none" w:sz="0" w:space="0" w:color="auto"/>
      </w:divBdr>
    </w:div>
    <w:div w:id="1069496856">
      <w:bodyDiv w:val="1"/>
      <w:marLeft w:val="0"/>
      <w:marRight w:val="0"/>
      <w:marTop w:val="0"/>
      <w:marBottom w:val="0"/>
      <w:divBdr>
        <w:top w:val="none" w:sz="0" w:space="0" w:color="auto"/>
        <w:left w:val="none" w:sz="0" w:space="0" w:color="auto"/>
        <w:bottom w:val="none" w:sz="0" w:space="0" w:color="auto"/>
        <w:right w:val="none" w:sz="0" w:space="0" w:color="auto"/>
      </w:divBdr>
    </w:div>
    <w:div w:id="1070813611">
      <w:bodyDiv w:val="1"/>
      <w:marLeft w:val="0"/>
      <w:marRight w:val="0"/>
      <w:marTop w:val="0"/>
      <w:marBottom w:val="0"/>
      <w:divBdr>
        <w:top w:val="none" w:sz="0" w:space="0" w:color="auto"/>
        <w:left w:val="none" w:sz="0" w:space="0" w:color="auto"/>
        <w:bottom w:val="none" w:sz="0" w:space="0" w:color="auto"/>
        <w:right w:val="none" w:sz="0" w:space="0" w:color="auto"/>
      </w:divBdr>
    </w:div>
    <w:div w:id="1072047654">
      <w:bodyDiv w:val="1"/>
      <w:marLeft w:val="0"/>
      <w:marRight w:val="0"/>
      <w:marTop w:val="0"/>
      <w:marBottom w:val="0"/>
      <w:divBdr>
        <w:top w:val="none" w:sz="0" w:space="0" w:color="auto"/>
        <w:left w:val="none" w:sz="0" w:space="0" w:color="auto"/>
        <w:bottom w:val="none" w:sz="0" w:space="0" w:color="auto"/>
        <w:right w:val="none" w:sz="0" w:space="0" w:color="auto"/>
      </w:divBdr>
    </w:div>
    <w:div w:id="1073044089">
      <w:bodyDiv w:val="1"/>
      <w:marLeft w:val="0"/>
      <w:marRight w:val="0"/>
      <w:marTop w:val="0"/>
      <w:marBottom w:val="0"/>
      <w:divBdr>
        <w:top w:val="none" w:sz="0" w:space="0" w:color="auto"/>
        <w:left w:val="none" w:sz="0" w:space="0" w:color="auto"/>
        <w:bottom w:val="none" w:sz="0" w:space="0" w:color="auto"/>
        <w:right w:val="none" w:sz="0" w:space="0" w:color="auto"/>
      </w:divBdr>
    </w:div>
    <w:div w:id="1077434487">
      <w:bodyDiv w:val="1"/>
      <w:marLeft w:val="0"/>
      <w:marRight w:val="0"/>
      <w:marTop w:val="0"/>
      <w:marBottom w:val="0"/>
      <w:divBdr>
        <w:top w:val="none" w:sz="0" w:space="0" w:color="auto"/>
        <w:left w:val="none" w:sz="0" w:space="0" w:color="auto"/>
        <w:bottom w:val="none" w:sz="0" w:space="0" w:color="auto"/>
        <w:right w:val="none" w:sz="0" w:space="0" w:color="auto"/>
      </w:divBdr>
    </w:div>
    <w:div w:id="1078482289">
      <w:bodyDiv w:val="1"/>
      <w:marLeft w:val="0"/>
      <w:marRight w:val="0"/>
      <w:marTop w:val="0"/>
      <w:marBottom w:val="0"/>
      <w:divBdr>
        <w:top w:val="none" w:sz="0" w:space="0" w:color="auto"/>
        <w:left w:val="none" w:sz="0" w:space="0" w:color="auto"/>
        <w:bottom w:val="none" w:sz="0" w:space="0" w:color="auto"/>
        <w:right w:val="none" w:sz="0" w:space="0" w:color="auto"/>
      </w:divBdr>
    </w:div>
    <w:div w:id="1084109602">
      <w:bodyDiv w:val="1"/>
      <w:marLeft w:val="0"/>
      <w:marRight w:val="0"/>
      <w:marTop w:val="0"/>
      <w:marBottom w:val="0"/>
      <w:divBdr>
        <w:top w:val="none" w:sz="0" w:space="0" w:color="auto"/>
        <w:left w:val="none" w:sz="0" w:space="0" w:color="auto"/>
        <w:bottom w:val="none" w:sz="0" w:space="0" w:color="auto"/>
        <w:right w:val="none" w:sz="0" w:space="0" w:color="auto"/>
      </w:divBdr>
    </w:div>
    <w:div w:id="1084760991">
      <w:bodyDiv w:val="1"/>
      <w:marLeft w:val="0"/>
      <w:marRight w:val="0"/>
      <w:marTop w:val="0"/>
      <w:marBottom w:val="0"/>
      <w:divBdr>
        <w:top w:val="none" w:sz="0" w:space="0" w:color="auto"/>
        <w:left w:val="none" w:sz="0" w:space="0" w:color="auto"/>
        <w:bottom w:val="none" w:sz="0" w:space="0" w:color="auto"/>
        <w:right w:val="none" w:sz="0" w:space="0" w:color="auto"/>
      </w:divBdr>
    </w:div>
    <w:div w:id="1086537228">
      <w:bodyDiv w:val="1"/>
      <w:marLeft w:val="0"/>
      <w:marRight w:val="0"/>
      <w:marTop w:val="0"/>
      <w:marBottom w:val="0"/>
      <w:divBdr>
        <w:top w:val="none" w:sz="0" w:space="0" w:color="auto"/>
        <w:left w:val="none" w:sz="0" w:space="0" w:color="auto"/>
        <w:bottom w:val="none" w:sz="0" w:space="0" w:color="auto"/>
        <w:right w:val="none" w:sz="0" w:space="0" w:color="auto"/>
      </w:divBdr>
    </w:div>
    <w:div w:id="1088312651">
      <w:bodyDiv w:val="1"/>
      <w:marLeft w:val="0"/>
      <w:marRight w:val="0"/>
      <w:marTop w:val="0"/>
      <w:marBottom w:val="0"/>
      <w:divBdr>
        <w:top w:val="none" w:sz="0" w:space="0" w:color="auto"/>
        <w:left w:val="none" w:sz="0" w:space="0" w:color="auto"/>
        <w:bottom w:val="none" w:sz="0" w:space="0" w:color="auto"/>
        <w:right w:val="none" w:sz="0" w:space="0" w:color="auto"/>
      </w:divBdr>
    </w:div>
    <w:div w:id="1089620210">
      <w:bodyDiv w:val="1"/>
      <w:marLeft w:val="0"/>
      <w:marRight w:val="0"/>
      <w:marTop w:val="0"/>
      <w:marBottom w:val="0"/>
      <w:divBdr>
        <w:top w:val="none" w:sz="0" w:space="0" w:color="auto"/>
        <w:left w:val="none" w:sz="0" w:space="0" w:color="auto"/>
        <w:bottom w:val="none" w:sz="0" w:space="0" w:color="auto"/>
        <w:right w:val="none" w:sz="0" w:space="0" w:color="auto"/>
      </w:divBdr>
    </w:div>
    <w:div w:id="1093165131">
      <w:bodyDiv w:val="1"/>
      <w:marLeft w:val="0"/>
      <w:marRight w:val="0"/>
      <w:marTop w:val="0"/>
      <w:marBottom w:val="0"/>
      <w:divBdr>
        <w:top w:val="none" w:sz="0" w:space="0" w:color="auto"/>
        <w:left w:val="none" w:sz="0" w:space="0" w:color="auto"/>
        <w:bottom w:val="none" w:sz="0" w:space="0" w:color="auto"/>
        <w:right w:val="none" w:sz="0" w:space="0" w:color="auto"/>
      </w:divBdr>
    </w:div>
    <w:div w:id="1094210206">
      <w:bodyDiv w:val="1"/>
      <w:marLeft w:val="0"/>
      <w:marRight w:val="0"/>
      <w:marTop w:val="0"/>
      <w:marBottom w:val="0"/>
      <w:divBdr>
        <w:top w:val="none" w:sz="0" w:space="0" w:color="auto"/>
        <w:left w:val="none" w:sz="0" w:space="0" w:color="auto"/>
        <w:bottom w:val="none" w:sz="0" w:space="0" w:color="auto"/>
        <w:right w:val="none" w:sz="0" w:space="0" w:color="auto"/>
      </w:divBdr>
    </w:div>
    <w:div w:id="1097405258">
      <w:bodyDiv w:val="1"/>
      <w:marLeft w:val="0"/>
      <w:marRight w:val="0"/>
      <w:marTop w:val="0"/>
      <w:marBottom w:val="0"/>
      <w:divBdr>
        <w:top w:val="none" w:sz="0" w:space="0" w:color="auto"/>
        <w:left w:val="none" w:sz="0" w:space="0" w:color="auto"/>
        <w:bottom w:val="none" w:sz="0" w:space="0" w:color="auto"/>
        <w:right w:val="none" w:sz="0" w:space="0" w:color="auto"/>
      </w:divBdr>
    </w:div>
    <w:div w:id="1103652422">
      <w:bodyDiv w:val="1"/>
      <w:marLeft w:val="0"/>
      <w:marRight w:val="0"/>
      <w:marTop w:val="0"/>
      <w:marBottom w:val="0"/>
      <w:divBdr>
        <w:top w:val="none" w:sz="0" w:space="0" w:color="auto"/>
        <w:left w:val="none" w:sz="0" w:space="0" w:color="auto"/>
        <w:bottom w:val="none" w:sz="0" w:space="0" w:color="auto"/>
        <w:right w:val="none" w:sz="0" w:space="0" w:color="auto"/>
      </w:divBdr>
    </w:div>
    <w:div w:id="1105619206">
      <w:bodyDiv w:val="1"/>
      <w:marLeft w:val="0"/>
      <w:marRight w:val="0"/>
      <w:marTop w:val="0"/>
      <w:marBottom w:val="0"/>
      <w:divBdr>
        <w:top w:val="none" w:sz="0" w:space="0" w:color="auto"/>
        <w:left w:val="none" w:sz="0" w:space="0" w:color="auto"/>
        <w:bottom w:val="none" w:sz="0" w:space="0" w:color="auto"/>
        <w:right w:val="none" w:sz="0" w:space="0" w:color="auto"/>
      </w:divBdr>
    </w:div>
    <w:div w:id="1106074882">
      <w:bodyDiv w:val="1"/>
      <w:marLeft w:val="0"/>
      <w:marRight w:val="0"/>
      <w:marTop w:val="0"/>
      <w:marBottom w:val="0"/>
      <w:divBdr>
        <w:top w:val="none" w:sz="0" w:space="0" w:color="auto"/>
        <w:left w:val="none" w:sz="0" w:space="0" w:color="auto"/>
        <w:bottom w:val="none" w:sz="0" w:space="0" w:color="auto"/>
        <w:right w:val="none" w:sz="0" w:space="0" w:color="auto"/>
      </w:divBdr>
    </w:div>
    <w:div w:id="1109736019">
      <w:bodyDiv w:val="1"/>
      <w:marLeft w:val="0"/>
      <w:marRight w:val="0"/>
      <w:marTop w:val="0"/>
      <w:marBottom w:val="0"/>
      <w:divBdr>
        <w:top w:val="none" w:sz="0" w:space="0" w:color="auto"/>
        <w:left w:val="none" w:sz="0" w:space="0" w:color="auto"/>
        <w:bottom w:val="none" w:sz="0" w:space="0" w:color="auto"/>
        <w:right w:val="none" w:sz="0" w:space="0" w:color="auto"/>
      </w:divBdr>
    </w:div>
    <w:div w:id="1110470206">
      <w:bodyDiv w:val="1"/>
      <w:marLeft w:val="0"/>
      <w:marRight w:val="0"/>
      <w:marTop w:val="0"/>
      <w:marBottom w:val="0"/>
      <w:divBdr>
        <w:top w:val="none" w:sz="0" w:space="0" w:color="auto"/>
        <w:left w:val="none" w:sz="0" w:space="0" w:color="auto"/>
        <w:bottom w:val="none" w:sz="0" w:space="0" w:color="auto"/>
        <w:right w:val="none" w:sz="0" w:space="0" w:color="auto"/>
      </w:divBdr>
    </w:div>
    <w:div w:id="1110658982">
      <w:bodyDiv w:val="1"/>
      <w:marLeft w:val="0"/>
      <w:marRight w:val="0"/>
      <w:marTop w:val="0"/>
      <w:marBottom w:val="0"/>
      <w:divBdr>
        <w:top w:val="none" w:sz="0" w:space="0" w:color="auto"/>
        <w:left w:val="none" w:sz="0" w:space="0" w:color="auto"/>
        <w:bottom w:val="none" w:sz="0" w:space="0" w:color="auto"/>
        <w:right w:val="none" w:sz="0" w:space="0" w:color="auto"/>
      </w:divBdr>
    </w:div>
    <w:div w:id="1111432615">
      <w:bodyDiv w:val="1"/>
      <w:marLeft w:val="0"/>
      <w:marRight w:val="0"/>
      <w:marTop w:val="0"/>
      <w:marBottom w:val="0"/>
      <w:divBdr>
        <w:top w:val="none" w:sz="0" w:space="0" w:color="auto"/>
        <w:left w:val="none" w:sz="0" w:space="0" w:color="auto"/>
        <w:bottom w:val="none" w:sz="0" w:space="0" w:color="auto"/>
        <w:right w:val="none" w:sz="0" w:space="0" w:color="auto"/>
      </w:divBdr>
    </w:div>
    <w:div w:id="1111584681">
      <w:bodyDiv w:val="1"/>
      <w:marLeft w:val="0"/>
      <w:marRight w:val="0"/>
      <w:marTop w:val="0"/>
      <w:marBottom w:val="0"/>
      <w:divBdr>
        <w:top w:val="none" w:sz="0" w:space="0" w:color="auto"/>
        <w:left w:val="none" w:sz="0" w:space="0" w:color="auto"/>
        <w:bottom w:val="none" w:sz="0" w:space="0" w:color="auto"/>
        <w:right w:val="none" w:sz="0" w:space="0" w:color="auto"/>
      </w:divBdr>
    </w:div>
    <w:div w:id="1112551928">
      <w:bodyDiv w:val="1"/>
      <w:marLeft w:val="0"/>
      <w:marRight w:val="0"/>
      <w:marTop w:val="0"/>
      <w:marBottom w:val="0"/>
      <w:divBdr>
        <w:top w:val="none" w:sz="0" w:space="0" w:color="auto"/>
        <w:left w:val="none" w:sz="0" w:space="0" w:color="auto"/>
        <w:bottom w:val="none" w:sz="0" w:space="0" w:color="auto"/>
        <w:right w:val="none" w:sz="0" w:space="0" w:color="auto"/>
      </w:divBdr>
    </w:div>
    <w:div w:id="1114129238">
      <w:bodyDiv w:val="1"/>
      <w:marLeft w:val="0"/>
      <w:marRight w:val="0"/>
      <w:marTop w:val="0"/>
      <w:marBottom w:val="0"/>
      <w:divBdr>
        <w:top w:val="none" w:sz="0" w:space="0" w:color="auto"/>
        <w:left w:val="none" w:sz="0" w:space="0" w:color="auto"/>
        <w:bottom w:val="none" w:sz="0" w:space="0" w:color="auto"/>
        <w:right w:val="none" w:sz="0" w:space="0" w:color="auto"/>
      </w:divBdr>
    </w:div>
    <w:div w:id="1116489911">
      <w:bodyDiv w:val="1"/>
      <w:marLeft w:val="0"/>
      <w:marRight w:val="0"/>
      <w:marTop w:val="0"/>
      <w:marBottom w:val="0"/>
      <w:divBdr>
        <w:top w:val="none" w:sz="0" w:space="0" w:color="auto"/>
        <w:left w:val="none" w:sz="0" w:space="0" w:color="auto"/>
        <w:bottom w:val="none" w:sz="0" w:space="0" w:color="auto"/>
        <w:right w:val="none" w:sz="0" w:space="0" w:color="auto"/>
      </w:divBdr>
    </w:div>
    <w:div w:id="1118451971">
      <w:bodyDiv w:val="1"/>
      <w:marLeft w:val="0"/>
      <w:marRight w:val="0"/>
      <w:marTop w:val="0"/>
      <w:marBottom w:val="0"/>
      <w:divBdr>
        <w:top w:val="none" w:sz="0" w:space="0" w:color="auto"/>
        <w:left w:val="none" w:sz="0" w:space="0" w:color="auto"/>
        <w:bottom w:val="none" w:sz="0" w:space="0" w:color="auto"/>
        <w:right w:val="none" w:sz="0" w:space="0" w:color="auto"/>
      </w:divBdr>
    </w:div>
    <w:div w:id="1119495949">
      <w:bodyDiv w:val="1"/>
      <w:marLeft w:val="0"/>
      <w:marRight w:val="0"/>
      <w:marTop w:val="0"/>
      <w:marBottom w:val="0"/>
      <w:divBdr>
        <w:top w:val="none" w:sz="0" w:space="0" w:color="auto"/>
        <w:left w:val="none" w:sz="0" w:space="0" w:color="auto"/>
        <w:bottom w:val="none" w:sz="0" w:space="0" w:color="auto"/>
        <w:right w:val="none" w:sz="0" w:space="0" w:color="auto"/>
      </w:divBdr>
    </w:div>
    <w:div w:id="1119954105">
      <w:bodyDiv w:val="1"/>
      <w:marLeft w:val="0"/>
      <w:marRight w:val="0"/>
      <w:marTop w:val="0"/>
      <w:marBottom w:val="0"/>
      <w:divBdr>
        <w:top w:val="none" w:sz="0" w:space="0" w:color="auto"/>
        <w:left w:val="none" w:sz="0" w:space="0" w:color="auto"/>
        <w:bottom w:val="none" w:sz="0" w:space="0" w:color="auto"/>
        <w:right w:val="none" w:sz="0" w:space="0" w:color="auto"/>
      </w:divBdr>
    </w:div>
    <w:div w:id="1124352099">
      <w:bodyDiv w:val="1"/>
      <w:marLeft w:val="0"/>
      <w:marRight w:val="0"/>
      <w:marTop w:val="0"/>
      <w:marBottom w:val="0"/>
      <w:divBdr>
        <w:top w:val="none" w:sz="0" w:space="0" w:color="auto"/>
        <w:left w:val="none" w:sz="0" w:space="0" w:color="auto"/>
        <w:bottom w:val="none" w:sz="0" w:space="0" w:color="auto"/>
        <w:right w:val="none" w:sz="0" w:space="0" w:color="auto"/>
      </w:divBdr>
    </w:div>
    <w:div w:id="1125269868">
      <w:bodyDiv w:val="1"/>
      <w:marLeft w:val="0"/>
      <w:marRight w:val="0"/>
      <w:marTop w:val="0"/>
      <w:marBottom w:val="0"/>
      <w:divBdr>
        <w:top w:val="none" w:sz="0" w:space="0" w:color="auto"/>
        <w:left w:val="none" w:sz="0" w:space="0" w:color="auto"/>
        <w:bottom w:val="none" w:sz="0" w:space="0" w:color="auto"/>
        <w:right w:val="none" w:sz="0" w:space="0" w:color="auto"/>
      </w:divBdr>
    </w:div>
    <w:div w:id="1129859843">
      <w:bodyDiv w:val="1"/>
      <w:marLeft w:val="0"/>
      <w:marRight w:val="0"/>
      <w:marTop w:val="0"/>
      <w:marBottom w:val="0"/>
      <w:divBdr>
        <w:top w:val="none" w:sz="0" w:space="0" w:color="auto"/>
        <w:left w:val="none" w:sz="0" w:space="0" w:color="auto"/>
        <w:bottom w:val="none" w:sz="0" w:space="0" w:color="auto"/>
        <w:right w:val="none" w:sz="0" w:space="0" w:color="auto"/>
      </w:divBdr>
    </w:div>
    <w:div w:id="1135414843">
      <w:bodyDiv w:val="1"/>
      <w:marLeft w:val="0"/>
      <w:marRight w:val="0"/>
      <w:marTop w:val="0"/>
      <w:marBottom w:val="0"/>
      <w:divBdr>
        <w:top w:val="none" w:sz="0" w:space="0" w:color="auto"/>
        <w:left w:val="none" w:sz="0" w:space="0" w:color="auto"/>
        <w:bottom w:val="none" w:sz="0" w:space="0" w:color="auto"/>
        <w:right w:val="none" w:sz="0" w:space="0" w:color="auto"/>
      </w:divBdr>
    </w:div>
    <w:div w:id="1138761060">
      <w:bodyDiv w:val="1"/>
      <w:marLeft w:val="0"/>
      <w:marRight w:val="0"/>
      <w:marTop w:val="0"/>
      <w:marBottom w:val="0"/>
      <w:divBdr>
        <w:top w:val="none" w:sz="0" w:space="0" w:color="auto"/>
        <w:left w:val="none" w:sz="0" w:space="0" w:color="auto"/>
        <w:bottom w:val="none" w:sz="0" w:space="0" w:color="auto"/>
        <w:right w:val="none" w:sz="0" w:space="0" w:color="auto"/>
      </w:divBdr>
    </w:div>
    <w:div w:id="1145006401">
      <w:bodyDiv w:val="1"/>
      <w:marLeft w:val="0"/>
      <w:marRight w:val="0"/>
      <w:marTop w:val="0"/>
      <w:marBottom w:val="0"/>
      <w:divBdr>
        <w:top w:val="none" w:sz="0" w:space="0" w:color="auto"/>
        <w:left w:val="none" w:sz="0" w:space="0" w:color="auto"/>
        <w:bottom w:val="none" w:sz="0" w:space="0" w:color="auto"/>
        <w:right w:val="none" w:sz="0" w:space="0" w:color="auto"/>
      </w:divBdr>
    </w:div>
    <w:div w:id="1145851079">
      <w:bodyDiv w:val="1"/>
      <w:marLeft w:val="0"/>
      <w:marRight w:val="0"/>
      <w:marTop w:val="0"/>
      <w:marBottom w:val="0"/>
      <w:divBdr>
        <w:top w:val="none" w:sz="0" w:space="0" w:color="auto"/>
        <w:left w:val="none" w:sz="0" w:space="0" w:color="auto"/>
        <w:bottom w:val="none" w:sz="0" w:space="0" w:color="auto"/>
        <w:right w:val="none" w:sz="0" w:space="0" w:color="auto"/>
      </w:divBdr>
    </w:div>
    <w:div w:id="1147160977">
      <w:bodyDiv w:val="1"/>
      <w:marLeft w:val="0"/>
      <w:marRight w:val="0"/>
      <w:marTop w:val="0"/>
      <w:marBottom w:val="0"/>
      <w:divBdr>
        <w:top w:val="none" w:sz="0" w:space="0" w:color="auto"/>
        <w:left w:val="none" w:sz="0" w:space="0" w:color="auto"/>
        <w:bottom w:val="none" w:sz="0" w:space="0" w:color="auto"/>
        <w:right w:val="none" w:sz="0" w:space="0" w:color="auto"/>
      </w:divBdr>
    </w:div>
    <w:div w:id="1148787951">
      <w:bodyDiv w:val="1"/>
      <w:marLeft w:val="0"/>
      <w:marRight w:val="0"/>
      <w:marTop w:val="0"/>
      <w:marBottom w:val="0"/>
      <w:divBdr>
        <w:top w:val="none" w:sz="0" w:space="0" w:color="auto"/>
        <w:left w:val="none" w:sz="0" w:space="0" w:color="auto"/>
        <w:bottom w:val="none" w:sz="0" w:space="0" w:color="auto"/>
        <w:right w:val="none" w:sz="0" w:space="0" w:color="auto"/>
      </w:divBdr>
    </w:div>
    <w:div w:id="1151403933">
      <w:bodyDiv w:val="1"/>
      <w:marLeft w:val="0"/>
      <w:marRight w:val="0"/>
      <w:marTop w:val="0"/>
      <w:marBottom w:val="0"/>
      <w:divBdr>
        <w:top w:val="none" w:sz="0" w:space="0" w:color="auto"/>
        <w:left w:val="none" w:sz="0" w:space="0" w:color="auto"/>
        <w:bottom w:val="none" w:sz="0" w:space="0" w:color="auto"/>
        <w:right w:val="none" w:sz="0" w:space="0" w:color="auto"/>
      </w:divBdr>
    </w:div>
    <w:div w:id="1151676570">
      <w:bodyDiv w:val="1"/>
      <w:marLeft w:val="0"/>
      <w:marRight w:val="0"/>
      <w:marTop w:val="0"/>
      <w:marBottom w:val="0"/>
      <w:divBdr>
        <w:top w:val="none" w:sz="0" w:space="0" w:color="auto"/>
        <w:left w:val="none" w:sz="0" w:space="0" w:color="auto"/>
        <w:bottom w:val="none" w:sz="0" w:space="0" w:color="auto"/>
        <w:right w:val="none" w:sz="0" w:space="0" w:color="auto"/>
      </w:divBdr>
    </w:div>
    <w:div w:id="1151747298">
      <w:bodyDiv w:val="1"/>
      <w:marLeft w:val="0"/>
      <w:marRight w:val="0"/>
      <w:marTop w:val="0"/>
      <w:marBottom w:val="0"/>
      <w:divBdr>
        <w:top w:val="none" w:sz="0" w:space="0" w:color="auto"/>
        <w:left w:val="none" w:sz="0" w:space="0" w:color="auto"/>
        <w:bottom w:val="none" w:sz="0" w:space="0" w:color="auto"/>
        <w:right w:val="none" w:sz="0" w:space="0" w:color="auto"/>
      </w:divBdr>
    </w:div>
    <w:div w:id="1152212684">
      <w:bodyDiv w:val="1"/>
      <w:marLeft w:val="0"/>
      <w:marRight w:val="0"/>
      <w:marTop w:val="0"/>
      <w:marBottom w:val="0"/>
      <w:divBdr>
        <w:top w:val="none" w:sz="0" w:space="0" w:color="auto"/>
        <w:left w:val="none" w:sz="0" w:space="0" w:color="auto"/>
        <w:bottom w:val="none" w:sz="0" w:space="0" w:color="auto"/>
        <w:right w:val="none" w:sz="0" w:space="0" w:color="auto"/>
      </w:divBdr>
    </w:div>
    <w:div w:id="1153255972">
      <w:bodyDiv w:val="1"/>
      <w:marLeft w:val="0"/>
      <w:marRight w:val="0"/>
      <w:marTop w:val="0"/>
      <w:marBottom w:val="0"/>
      <w:divBdr>
        <w:top w:val="none" w:sz="0" w:space="0" w:color="auto"/>
        <w:left w:val="none" w:sz="0" w:space="0" w:color="auto"/>
        <w:bottom w:val="none" w:sz="0" w:space="0" w:color="auto"/>
        <w:right w:val="none" w:sz="0" w:space="0" w:color="auto"/>
      </w:divBdr>
    </w:div>
    <w:div w:id="1157455825">
      <w:bodyDiv w:val="1"/>
      <w:marLeft w:val="0"/>
      <w:marRight w:val="0"/>
      <w:marTop w:val="0"/>
      <w:marBottom w:val="0"/>
      <w:divBdr>
        <w:top w:val="none" w:sz="0" w:space="0" w:color="auto"/>
        <w:left w:val="none" w:sz="0" w:space="0" w:color="auto"/>
        <w:bottom w:val="none" w:sz="0" w:space="0" w:color="auto"/>
        <w:right w:val="none" w:sz="0" w:space="0" w:color="auto"/>
      </w:divBdr>
    </w:div>
    <w:div w:id="1157722800">
      <w:bodyDiv w:val="1"/>
      <w:marLeft w:val="0"/>
      <w:marRight w:val="0"/>
      <w:marTop w:val="0"/>
      <w:marBottom w:val="0"/>
      <w:divBdr>
        <w:top w:val="none" w:sz="0" w:space="0" w:color="auto"/>
        <w:left w:val="none" w:sz="0" w:space="0" w:color="auto"/>
        <w:bottom w:val="none" w:sz="0" w:space="0" w:color="auto"/>
        <w:right w:val="none" w:sz="0" w:space="0" w:color="auto"/>
      </w:divBdr>
    </w:div>
    <w:div w:id="1159157659">
      <w:bodyDiv w:val="1"/>
      <w:marLeft w:val="0"/>
      <w:marRight w:val="0"/>
      <w:marTop w:val="0"/>
      <w:marBottom w:val="0"/>
      <w:divBdr>
        <w:top w:val="none" w:sz="0" w:space="0" w:color="auto"/>
        <w:left w:val="none" w:sz="0" w:space="0" w:color="auto"/>
        <w:bottom w:val="none" w:sz="0" w:space="0" w:color="auto"/>
        <w:right w:val="none" w:sz="0" w:space="0" w:color="auto"/>
      </w:divBdr>
    </w:div>
    <w:div w:id="1159421453">
      <w:bodyDiv w:val="1"/>
      <w:marLeft w:val="0"/>
      <w:marRight w:val="0"/>
      <w:marTop w:val="0"/>
      <w:marBottom w:val="0"/>
      <w:divBdr>
        <w:top w:val="none" w:sz="0" w:space="0" w:color="auto"/>
        <w:left w:val="none" w:sz="0" w:space="0" w:color="auto"/>
        <w:bottom w:val="none" w:sz="0" w:space="0" w:color="auto"/>
        <w:right w:val="none" w:sz="0" w:space="0" w:color="auto"/>
      </w:divBdr>
    </w:div>
    <w:div w:id="1159732434">
      <w:bodyDiv w:val="1"/>
      <w:marLeft w:val="0"/>
      <w:marRight w:val="0"/>
      <w:marTop w:val="0"/>
      <w:marBottom w:val="0"/>
      <w:divBdr>
        <w:top w:val="none" w:sz="0" w:space="0" w:color="auto"/>
        <w:left w:val="none" w:sz="0" w:space="0" w:color="auto"/>
        <w:bottom w:val="none" w:sz="0" w:space="0" w:color="auto"/>
        <w:right w:val="none" w:sz="0" w:space="0" w:color="auto"/>
      </w:divBdr>
    </w:div>
    <w:div w:id="1161891868">
      <w:bodyDiv w:val="1"/>
      <w:marLeft w:val="0"/>
      <w:marRight w:val="0"/>
      <w:marTop w:val="0"/>
      <w:marBottom w:val="0"/>
      <w:divBdr>
        <w:top w:val="none" w:sz="0" w:space="0" w:color="auto"/>
        <w:left w:val="none" w:sz="0" w:space="0" w:color="auto"/>
        <w:bottom w:val="none" w:sz="0" w:space="0" w:color="auto"/>
        <w:right w:val="none" w:sz="0" w:space="0" w:color="auto"/>
      </w:divBdr>
    </w:div>
    <w:div w:id="1162086280">
      <w:bodyDiv w:val="1"/>
      <w:marLeft w:val="0"/>
      <w:marRight w:val="0"/>
      <w:marTop w:val="0"/>
      <w:marBottom w:val="0"/>
      <w:divBdr>
        <w:top w:val="none" w:sz="0" w:space="0" w:color="auto"/>
        <w:left w:val="none" w:sz="0" w:space="0" w:color="auto"/>
        <w:bottom w:val="none" w:sz="0" w:space="0" w:color="auto"/>
        <w:right w:val="none" w:sz="0" w:space="0" w:color="auto"/>
      </w:divBdr>
    </w:div>
    <w:div w:id="1162696102">
      <w:bodyDiv w:val="1"/>
      <w:marLeft w:val="0"/>
      <w:marRight w:val="0"/>
      <w:marTop w:val="0"/>
      <w:marBottom w:val="0"/>
      <w:divBdr>
        <w:top w:val="none" w:sz="0" w:space="0" w:color="auto"/>
        <w:left w:val="none" w:sz="0" w:space="0" w:color="auto"/>
        <w:bottom w:val="none" w:sz="0" w:space="0" w:color="auto"/>
        <w:right w:val="none" w:sz="0" w:space="0" w:color="auto"/>
      </w:divBdr>
    </w:div>
    <w:div w:id="1162894471">
      <w:bodyDiv w:val="1"/>
      <w:marLeft w:val="0"/>
      <w:marRight w:val="0"/>
      <w:marTop w:val="0"/>
      <w:marBottom w:val="0"/>
      <w:divBdr>
        <w:top w:val="none" w:sz="0" w:space="0" w:color="auto"/>
        <w:left w:val="none" w:sz="0" w:space="0" w:color="auto"/>
        <w:bottom w:val="none" w:sz="0" w:space="0" w:color="auto"/>
        <w:right w:val="none" w:sz="0" w:space="0" w:color="auto"/>
      </w:divBdr>
    </w:div>
    <w:div w:id="1163930217">
      <w:bodyDiv w:val="1"/>
      <w:marLeft w:val="0"/>
      <w:marRight w:val="0"/>
      <w:marTop w:val="0"/>
      <w:marBottom w:val="0"/>
      <w:divBdr>
        <w:top w:val="none" w:sz="0" w:space="0" w:color="auto"/>
        <w:left w:val="none" w:sz="0" w:space="0" w:color="auto"/>
        <w:bottom w:val="none" w:sz="0" w:space="0" w:color="auto"/>
        <w:right w:val="none" w:sz="0" w:space="0" w:color="auto"/>
      </w:divBdr>
    </w:div>
    <w:div w:id="1165122410">
      <w:bodyDiv w:val="1"/>
      <w:marLeft w:val="0"/>
      <w:marRight w:val="0"/>
      <w:marTop w:val="0"/>
      <w:marBottom w:val="0"/>
      <w:divBdr>
        <w:top w:val="none" w:sz="0" w:space="0" w:color="auto"/>
        <w:left w:val="none" w:sz="0" w:space="0" w:color="auto"/>
        <w:bottom w:val="none" w:sz="0" w:space="0" w:color="auto"/>
        <w:right w:val="none" w:sz="0" w:space="0" w:color="auto"/>
      </w:divBdr>
    </w:div>
    <w:div w:id="1165509065">
      <w:bodyDiv w:val="1"/>
      <w:marLeft w:val="0"/>
      <w:marRight w:val="0"/>
      <w:marTop w:val="0"/>
      <w:marBottom w:val="0"/>
      <w:divBdr>
        <w:top w:val="none" w:sz="0" w:space="0" w:color="auto"/>
        <w:left w:val="none" w:sz="0" w:space="0" w:color="auto"/>
        <w:bottom w:val="none" w:sz="0" w:space="0" w:color="auto"/>
        <w:right w:val="none" w:sz="0" w:space="0" w:color="auto"/>
      </w:divBdr>
    </w:div>
    <w:div w:id="1169952033">
      <w:bodyDiv w:val="1"/>
      <w:marLeft w:val="0"/>
      <w:marRight w:val="0"/>
      <w:marTop w:val="0"/>
      <w:marBottom w:val="0"/>
      <w:divBdr>
        <w:top w:val="none" w:sz="0" w:space="0" w:color="auto"/>
        <w:left w:val="none" w:sz="0" w:space="0" w:color="auto"/>
        <w:bottom w:val="none" w:sz="0" w:space="0" w:color="auto"/>
        <w:right w:val="none" w:sz="0" w:space="0" w:color="auto"/>
      </w:divBdr>
    </w:div>
    <w:div w:id="1173840854">
      <w:bodyDiv w:val="1"/>
      <w:marLeft w:val="0"/>
      <w:marRight w:val="0"/>
      <w:marTop w:val="0"/>
      <w:marBottom w:val="0"/>
      <w:divBdr>
        <w:top w:val="none" w:sz="0" w:space="0" w:color="auto"/>
        <w:left w:val="none" w:sz="0" w:space="0" w:color="auto"/>
        <w:bottom w:val="none" w:sz="0" w:space="0" w:color="auto"/>
        <w:right w:val="none" w:sz="0" w:space="0" w:color="auto"/>
      </w:divBdr>
    </w:div>
    <w:div w:id="1176191939">
      <w:bodyDiv w:val="1"/>
      <w:marLeft w:val="0"/>
      <w:marRight w:val="0"/>
      <w:marTop w:val="0"/>
      <w:marBottom w:val="0"/>
      <w:divBdr>
        <w:top w:val="none" w:sz="0" w:space="0" w:color="auto"/>
        <w:left w:val="none" w:sz="0" w:space="0" w:color="auto"/>
        <w:bottom w:val="none" w:sz="0" w:space="0" w:color="auto"/>
        <w:right w:val="none" w:sz="0" w:space="0" w:color="auto"/>
      </w:divBdr>
    </w:div>
    <w:div w:id="1176530493">
      <w:bodyDiv w:val="1"/>
      <w:marLeft w:val="0"/>
      <w:marRight w:val="0"/>
      <w:marTop w:val="0"/>
      <w:marBottom w:val="0"/>
      <w:divBdr>
        <w:top w:val="none" w:sz="0" w:space="0" w:color="auto"/>
        <w:left w:val="none" w:sz="0" w:space="0" w:color="auto"/>
        <w:bottom w:val="none" w:sz="0" w:space="0" w:color="auto"/>
        <w:right w:val="none" w:sz="0" w:space="0" w:color="auto"/>
      </w:divBdr>
    </w:div>
    <w:div w:id="1176924234">
      <w:bodyDiv w:val="1"/>
      <w:marLeft w:val="0"/>
      <w:marRight w:val="0"/>
      <w:marTop w:val="0"/>
      <w:marBottom w:val="0"/>
      <w:divBdr>
        <w:top w:val="none" w:sz="0" w:space="0" w:color="auto"/>
        <w:left w:val="none" w:sz="0" w:space="0" w:color="auto"/>
        <w:bottom w:val="none" w:sz="0" w:space="0" w:color="auto"/>
        <w:right w:val="none" w:sz="0" w:space="0" w:color="auto"/>
      </w:divBdr>
    </w:div>
    <w:div w:id="1179857561">
      <w:bodyDiv w:val="1"/>
      <w:marLeft w:val="0"/>
      <w:marRight w:val="0"/>
      <w:marTop w:val="0"/>
      <w:marBottom w:val="0"/>
      <w:divBdr>
        <w:top w:val="none" w:sz="0" w:space="0" w:color="auto"/>
        <w:left w:val="none" w:sz="0" w:space="0" w:color="auto"/>
        <w:bottom w:val="none" w:sz="0" w:space="0" w:color="auto"/>
        <w:right w:val="none" w:sz="0" w:space="0" w:color="auto"/>
      </w:divBdr>
    </w:div>
    <w:div w:id="1181435744">
      <w:bodyDiv w:val="1"/>
      <w:marLeft w:val="0"/>
      <w:marRight w:val="0"/>
      <w:marTop w:val="0"/>
      <w:marBottom w:val="0"/>
      <w:divBdr>
        <w:top w:val="none" w:sz="0" w:space="0" w:color="auto"/>
        <w:left w:val="none" w:sz="0" w:space="0" w:color="auto"/>
        <w:bottom w:val="none" w:sz="0" w:space="0" w:color="auto"/>
        <w:right w:val="none" w:sz="0" w:space="0" w:color="auto"/>
      </w:divBdr>
    </w:div>
    <w:div w:id="1184516576">
      <w:bodyDiv w:val="1"/>
      <w:marLeft w:val="0"/>
      <w:marRight w:val="0"/>
      <w:marTop w:val="0"/>
      <w:marBottom w:val="0"/>
      <w:divBdr>
        <w:top w:val="none" w:sz="0" w:space="0" w:color="auto"/>
        <w:left w:val="none" w:sz="0" w:space="0" w:color="auto"/>
        <w:bottom w:val="none" w:sz="0" w:space="0" w:color="auto"/>
        <w:right w:val="none" w:sz="0" w:space="0" w:color="auto"/>
      </w:divBdr>
    </w:div>
    <w:div w:id="1185946546">
      <w:bodyDiv w:val="1"/>
      <w:marLeft w:val="0"/>
      <w:marRight w:val="0"/>
      <w:marTop w:val="0"/>
      <w:marBottom w:val="0"/>
      <w:divBdr>
        <w:top w:val="none" w:sz="0" w:space="0" w:color="auto"/>
        <w:left w:val="none" w:sz="0" w:space="0" w:color="auto"/>
        <w:bottom w:val="none" w:sz="0" w:space="0" w:color="auto"/>
        <w:right w:val="none" w:sz="0" w:space="0" w:color="auto"/>
      </w:divBdr>
    </w:div>
    <w:div w:id="1189223380">
      <w:bodyDiv w:val="1"/>
      <w:marLeft w:val="0"/>
      <w:marRight w:val="0"/>
      <w:marTop w:val="0"/>
      <w:marBottom w:val="0"/>
      <w:divBdr>
        <w:top w:val="none" w:sz="0" w:space="0" w:color="auto"/>
        <w:left w:val="none" w:sz="0" w:space="0" w:color="auto"/>
        <w:bottom w:val="none" w:sz="0" w:space="0" w:color="auto"/>
        <w:right w:val="none" w:sz="0" w:space="0" w:color="auto"/>
      </w:divBdr>
    </w:div>
    <w:div w:id="1190147635">
      <w:bodyDiv w:val="1"/>
      <w:marLeft w:val="0"/>
      <w:marRight w:val="0"/>
      <w:marTop w:val="0"/>
      <w:marBottom w:val="0"/>
      <w:divBdr>
        <w:top w:val="none" w:sz="0" w:space="0" w:color="auto"/>
        <w:left w:val="none" w:sz="0" w:space="0" w:color="auto"/>
        <w:bottom w:val="none" w:sz="0" w:space="0" w:color="auto"/>
        <w:right w:val="none" w:sz="0" w:space="0" w:color="auto"/>
      </w:divBdr>
    </w:div>
    <w:div w:id="1190605553">
      <w:bodyDiv w:val="1"/>
      <w:marLeft w:val="0"/>
      <w:marRight w:val="0"/>
      <w:marTop w:val="0"/>
      <w:marBottom w:val="0"/>
      <w:divBdr>
        <w:top w:val="none" w:sz="0" w:space="0" w:color="auto"/>
        <w:left w:val="none" w:sz="0" w:space="0" w:color="auto"/>
        <w:bottom w:val="none" w:sz="0" w:space="0" w:color="auto"/>
        <w:right w:val="none" w:sz="0" w:space="0" w:color="auto"/>
      </w:divBdr>
    </w:div>
    <w:div w:id="1191721307">
      <w:bodyDiv w:val="1"/>
      <w:marLeft w:val="0"/>
      <w:marRight w:val="0"/>
      <w:marTop w:val="0"/>
      <w:marBottom w:val="0"/>
      <w:divBdr>
        <w:top w:val="none" w:sz="0" w:space="0" w:color="auto"/>
        <w:left w:val="none" w:sz="0" w:space="0" w:color="auto"/>
        <w:bottom w:val="none" w:sz="0" w:space="0" w:color="auto"/>
        <w:right w:val="none" w:sz="0" w:space="0" w:color="auto"/>
      </w:divBdr>
    </w:div>
    <w:div w:id="1192568464">
      <w:bodyDiv w:val="1"/>
      <w:marLeft w:val="0"/>
      <w:marRight w:val="0"/>
      <w:marTop w:val="0"/>
      <w:marBottom w:val="0"/>
      <w:divBdr>
        <w:top w:val="none" w:sz="0" w:space="0" w:color="auto"/>
        <w:left w:val="none" w:sz="0" w:space="0" w:color="auto"/>
        <w:bottom w:val="none" w:sz="0" w:space="0" w:color="auto"/>
        <w:right w:val="none" w:sz="0" w:space="0" w:color="auto"/>
      </w:divBdr>
    </w:div>
    <w:div w:id="1198274764">
      <w:bodyDiv w:val="1"/>
      <w:marLeft w:val="0"/>
      <w:marRight w:val="0"/>
      <w:marTop w:val="0"/>
      <w:marBottom w:val="0"/>
      <w:divBdr>
        <w:top w:val="none" w:sz="0" w:space="0" w:color="auto"/>
        <w:left w:val="none" w:sz="0" w:space="0" w:color="auto"/>
        <w:bottom w:val="none" w:sz="0" w:space="0" w:color="auto"/>
        <w:right w:val="none" w:sz="0" w:space="0" w:color="auto"/>
      </w:divBdr>
    </w:div>
    <w:div w:id="1198619723">
      <w:bodyDiv w:val="1"/>
      <w:marLeft w:val="0"/>
      <w:marRight w:val="0"/>
      <w:marTop w:val="0"/>
      <w:marBottom w:val="0"/>
      <w:divBdr>
        <w:top w:val="none" w:sz="0" w:space="0" w:color="auto"/>
        <w:left w:val="none" w:sz="0" w:space="0" w:color="auto"/>
        <w:bottom w:val="none" w:sz="0" w:space="0" w:color="auto"/>
        <w:right w:val="none" w:sz="0" w:space="0" w:color="auto"/>
      </w:divBdr>
    </w:div>
    <w:div w:id="1200162070">
      <w:bodyDiv w:val="1"/>
      <w:marLeft w:val="0"/>
      <w:marRight w:val="0"/>
      <w:marTop w:val="0"/>
      <w:marBottom w:val="0"/>
      <w:divBdr>
        <w:top w:val="none" w:sz="0" w:space="0" w:color="auto"/>
        <w:left w:val="none" w:sz="0" w:space="0" w:color="auto"/>
        <w:bottom w:val="none" w:sz="0" w:space="0" w:color="auto"/>
        <w:right w:val="none" w:sz="0" w:space="0" w:color="auto"/>
      </w:divBdr>
    </w:div>
    <w:div w:id="1202670492">
      <w:bodyDiv w:val="1"/>
      <w:marLeft w:val="0"/>
      <w:marRight w:val="0"/>
      <w:marTop w:val="0"/>
      <w:marBottom w:val="0"/>
      <w:divBdr>
        <w:top w:val="none" w:sz="0" w:space="0" w:color="auto"/>
        <w:left w:val="none" w:sz="0" w:space="0" w:color="auto"/>
        <w:bottom w:val="none" w:sz="0" w:space="0" w:color="auto"/>
        <w:right w:val="none" w:sz="0" w:space="0" w:color="auto"/>
      </w:divBdr>
    </w:div>
    <w:div w:id="1205212149">
      <w:bodyDiv w:val="1"/>
      <w:marLeft w:val="0"/>
      <w:marRight w:val="0"/>
      <w:marTop w:val="0"/>
      <w:marBottom w:val="0"/>
      <w:divBdr>
        <w:top w:val="none" w:sz="0" w:space="0" w:color="auto"/>
        <w:left w:val="none" w:sz="0" w:space="0" w:color="auto"/>
        <w:bottom w:val="none" w:sz="0" w:space="0" w:color="auto"/>
        <w:right w:val="none" w:sz="0" w:space="0" w:color="auto"/>
      </w:divBdr>
    </w:div>
    <w:div w:id="1205827903">
      <w:bodyDiv w:val="1"/>
      <w:marLeft w:val="0"/>
      <w:marRight w:val="0"/>
      <w:marTop w:val="0"/>
      <w:marBottom w:val="0"/>
      <w:divBdr>
        <w:top w:val="none" w:sz="0" w:space="0" w:color="auto"/>
        <w:left w:val="none" w:sz="0" w:space="0" w:color="auto"/>
        <w:bottom w:val="none" w:sz="0" w:space="0" w:color="auto"/>
        <w:right w:val="none" w:sz="0" w:space="0" w:color="auto"/>
      </w:divBdr>
    </w:div>
    <w:div w:id="1207984338">
      <w:bodyDiv w:val="1"/>
      <w:marLeft w:val="0"/>
      <w:marRight w:val="0"/>
      <w:marTop w:val="0"/>
      <w:marBottom w:val="0"/>
      <w:divBdr>
        <w:top w:val="none" w:sz="0" w:space="0" w:color="auto"/>
        <w:left w:val="none" w:sz="0" w:space="0" w:color="auto"/>
        <w:bottom w:val="none" w:sz="0" w:space="0" w:color="auto"/>
        <w:right w:val="none" w:sz="0" w:space="0" w:color="auto"/>
      </w:divBdr>
    </w:div>
    <w:div w:id="1208184753">
      <w:bodyDiv w:val="1"/>
      <w:marLeft w:val="0"/>
      <w:marRight w:val="0"/>
      <w:marTop w:val="0"/>
      <w:marBottom w:val="0"/>
      <w:divBdr>
        <w:top w:val="none" w:sz="0" w:space="0" w:color="auto"/>
        <w:left w:val="none" w:sz="0" w:space="0" w:color="auto"/>
        <w:bottom w:val="none" w:sz="0" w:space="0" w:color="auto"/>
        <w:right w:val="none" w:sz="0" w:space="0" w:color="auto"/>
      </w:divBdr>
    </w:div>
    <w:div w:id="1209687806">
      <w:bodyDiv w:val="1"/>
      <w:marLeft w:val="0"/>
      <w:marRight w:val="0"/>
      <w:marTop w:val="0"/>
      <w:marBottom w:val="0"/>
      <w:divBdr>
        <w:top w:val="none" w:sz="0" w:space="0" w:color="auto"/>
        <w:left w:val="none" w:sz="0" w:space="0" w:color="auto"/>
        <w:bottom w:val="none" w:sz="0" w:space="0" w:color="auto"/>
        <w:right w:val="none" w:sz="0" w:space="0" w:color="auto"/>
      </w:divBdr>
    </w:div>
    <w:div w:id="1210072819">
      <w:bodyDiv w:val="1"/>
      <w:marLeft w:val="0"/>
      <w:marRight w:val="0"/>
      <w:marTop w:val="0"/>
      <w:marBottom w:val="0"/>
      <w:divBdr>
        <w:top w:val="none" w:sz="0" w:space="0" w:color="auto"/>
        <w:left w:val="none" w:sz="0" w:space="0" w:color="auto"/>
        <w:bottom w:val="none" w:sz="0" w:space="0" w:color="auto"/>
        <w:right w:val="none" w:sz="0" w:space="0" w:color="auto"/>
      </w:divBdr>
    </w:div>
    <w:div w:id="1211921862">
      <w:bodyDiv w:val="1"/>
      <w:marLeft w:val="0"/>
      <w:marRight w:val="0"/>
      <w:marTop w:val="0"/>
      <w:marBottom w:val="0"/>
      <w:divBdr>
        <w:top w:val="none" w:sz="0" w:space="0" w:color="auto"/>
        <w:left w:val="none" w:sz="0" w:space="0" w:color="auto"/>
        <w:bottom w:val="none" w:sz="0" w:space="0" w:color="auto"/>
        <w:right w:val="none" w:sz="0" w:space="0" w:color="auto"/>
      </w:divBdr>
    </w:div>
    <w:div w:id="1214149540">
      <w:bodyDiv w:val="1"/>
      <w:marLeft w:val="0"/>
      <w:marRight w:val="0"/>
      <w:marTop w:val="0"/>
      <w:marBottom w:val="0"/>
      <w:divBdr>
        <w:top w:val="none" w:sz="0" w:space="0" w:color="auto"/>
        <w:left w:val="none" w:sz="0" w:space="0" w:color="auto"/>
        <w:bottom w:val="none" w:sz="0" w:space="0" w:color="auto"/>
        <w:right w:val="none" w:sz="0" w:space="0" w:color="auto"/>
      </w:divBdr>
    </w:div>
    <w:div w:id="1215845609">
      <w:bodyDiv w:val="1"/>
      <w:marLeft w:val="0"/>
      <w:marRight w:val="0"/>
      <w:marTop w:val="0"/>
      <w:marBottom w:val="0"/>
      <w:divBdr>
        <w:top w:val="none" w:sz="0" w:space="0" w:color="auto"/>
        <w:left w:val="none" w:sz="0" w:space="0" w:color="auto"/>
        <w:bottom w:val="none" w:sz="0" w:space="0" w:color="auto"/>
        <w:right w:val="none" w:sz="0" w:space="0" w:color="auto"/>
      </w:divBdr>
    </w:div>
    <w:div w:id="1218005111">
      <w:bodyDiv w:val="1"/>
      <w:marLeft w:val="0"/>
      <w:marRight w:val="0"/>
      <w:marTop w:val="0"/>
      <w:marBottom w:val="0"/>
      <w:divBdr>
        <w:top w:val="none" w:sz="0" w:space="0" w:color="auto"/>
        <w:left w:val="none" w:sz="0" w:space="0" w:color="auto"/>
        <w:bottom w:val="none" w:sz="0" w:space="0" w:color="auto"/>
        <w:right w:val="none" w:sz="0" w:space="0" w:color="auto"/>
      </w:divBdr>
    </w:div>
    <w:div w:id="1218396308">
      <w:bodyDiv w:val="1"/>
      <w:marLeft w:val="0"/>
      <w:marRight w:val="0"/>
      <w:marTop w:val="0"/>
      <w:marBottom w:val="0"/>
      <w:divBdr>
        <w:top w:val="none" w:sz="0" w:space="0" w:color="auto"/>
        <w:left w:val="none" w:sz="0" w:space="0" w:color="auto"/>
        <w:bottom w:val="none" w:sz="0" w:space="0" w:color="auto"/>
        <w:right w:val="none" w:sz="0" w:space="0" w:color="auto"/>
      </w:divBdr>
    </w:div>
    <w:div w:id="1219240225">
      <w:bodyDiv w:val="1"/>
      <w:marLeft w:val="0"/>
      <w:marRight w:val="0"/>
      <w:marTop w:val="0"/>
      <w:marBottom w:val="0"/>
      <w:divBdr>
        <w:top w:val="none" w:sz="0" w:space="0" w:color="auto"/>
        <w:left w:val="none" w:sz="0" w:space="0" w:color="auto"/>
        <w:bottom w:val="none" w:sz="0" w:space="0" w:color="auto"/>
        <w:right w:val="none" w:sz="0" w:space="0" w:color="auto"/>
      </w:divBdr>
    </w:div>
    <w:div w:id="1219438364">
      <w:bodyDiv w:val="1"/>
      <w:marLeft w:val="0"/>
      <w:marRight w:val="0"/>
      <w:marTop w:val="0"/>
      <w:marBottom w:val="0"/>
      <w:divBdr>
        <w:top w:val="none" w:sz="0" w:space="0" w:color="auto"/>
        <w:left w:val="none" w:sz="0" w:space="0" w:color="auto"/>
        <w:bottom w:val="none" w:sz="0" w:space="0" w:color="auto"/>
        <w:right w:val="none" w:sz="0" w:space="0" w:color="auto"/>
      </w:divBdr>
    </w:div>
    <w:div w:id="1224365220">
      <w:bodyDiv w:val="1"/>
      <w:marLeft w:val="0"/>
      <w:marRight w:val="0"/>
      <w:marTop w:val="0"/>
      <w:marBottom w:val="0"/>
      <w:divBdr>
        <w:top w:val="none" w:sz="0" w:space="0" w:color="auto"/>
        <w:left w:val="none" w:sz="0" w:space="0" w:color="auto"/>
        <w:bottom w:val="none" w:sz="0" w:space="0" w:color="auto"/>
        <w:right w:val="none" w:sz="0" w:space="0" w:color="auto"/>
      </w:divBdr>
    </w:div>
    <w:div w:id="1225020406">
      <w:bodyDiv w:val="1"/>
      <w:marLeft w:val="0"/>
      <w:marRight w:val="0"/>
      <w:marTop w:val="0"/>
      <w:marBottom w:val="0"/>
      <w:divBdr>
        <w:top w:val="none" w:sz="0" w:space="0" w:color="auto"/>
        <w:left w:val="none" w:sz="0" w:space="0" w:color="auto"/>
        <w:bottom w:val="none" w:sz="0" w:space="0" w:color="auto"/>
        <w:right w:val="none" w:sz="0" w:space="0" w:color="auto"/>
      </w:divBdr>
    </w:div>
    <w:div w:id="1225214600">
      <w:bodyDiv w:val="1"/>
      <w:marLeft w:val="0"/>
      <w:marRight w:val="0"/>
      <w:marTop w:val="0"/>
      <w:marBottom w:val="0"/>
      <w:divBdr>
        <w:top w:val="none" w:sz="0" w:space="0" w:color="auto"/>
        <w:left w:val="none" w:sz="0" w:space="0" w:color="auto"/>
        <w:bottom w:val="none" w:sz="0" w:space="0" w:color="auto"/>
        <w:right w:val="none" w:sz="0" w:space="0" w:color="auto"/>
      </w:divBdr>
    </w:div>
    <w:div w:id="1225793709">
      <w:bodyDiv w:val="1"/>
      <w:marLeft w:val="0"/>
      <w:marRight w:val="0"/>
      <w:marTop w:val="0"/>
      <w:marBottom w:val="0"/>
      <w:divBdr>
        <w:top w:val="none" w:sz="0" w:space="0" w:color="auto"/>
        <w:left w:val="none" w:sz="0" w:space="0" w:color="auto"/>
        <w:bottom w:val="none" w:sz="0" w:space="0" w:color="auto"/>
        <w:right w:val="none" w:sz="0" w:space="0" w:color="auto"/>
      </w:divBdr>
    </w:div>
    <w:div w:id="1226800282">
      <w:bodyDiv w:val="1"/>
      <w:marLeft w:val="0"/>
      <w:marRight w:val="0"/>
      <w:marTop w:val="0"/>
      <w:marBottom w:val="0"/>
      <w:divBdr>
        <w:top w:val="none" w:sz="0" w:space="0" w:color="auto"/>
        <w:left w:val="none" w:sz="0" w:space="0" w:color="auto"/>
        <w:bottom w:val="none" w:sz="0" w:space="0" w:color="auto"/>
        <w:right w:val="none" w:sz="0" w:space="0" w:color="auto"/>
      </w:divBdr>
    </w:div>
    <w:div w:id="1230311435">
      <w:bodyDiv w:val="1"/>
      <w:marLeft w:val="0"/>
      <w:marRight w:val="0"/>
      <w:marTop w:val="0"/>
      <w:marBottom w:val="0"/>
      <w:divBdr>
        <w:top w:val="none" w:sz="0" w:space="0" w:color="auto"/>
        <w:left w:val="none" w:sz="0" w:space="0" w:color="auto"/>
        <w:bottom w:val="none" w:sz="0" w:space="0" w:color="auto"/>
        <w:right w:val="none" w:sz="0" w:space="0" w:color="auto"/>
      </w:divBdr>
    </w:div>
    <w:div w:id="1231382029">
      <w:bodyDiv w:val="1"/>
      <w:marLeft w:val="0"/>
      <w:marRight w:val="0"/>
      <w:marTop w:val="0"/>
      <w:marBottom w:val="0"/>
      <w:divBdr>
        <w:top w:val="none" w:sz="0" w:space="0" w:color="auto"/>
        <w:left w:val="none" w:sz="0" w:space="0" w:color="auto"/>
        <w:bottom w:val="none" w:sz="0" w:space="0" w:color="auto"/>
        <w:right w:val="none" w:sz="0" w:space="0" w:color="auto"/>
      </w:divBdr>
    </w:div>
    <w:div w:id="1233198762">
      <w:bodyDiv w:val="1"/>
      <w:marLeft w:val="0"/>
      <w:marRight w:val="0"/>
      <w:marTop w:val="0"/>
      <w:marBottom w:val="0"/>
      <w:divBdr>
        <w:top w:val="none" w:sz="0" w:space="0" w:color="auto"/>
        <w:left w:val="none" w:sz="0" w:space="0" w:color="auto"/>
        <w:bottom w:val="none" w:sz="0" w:space="0" w:color="auto"/>
        <w:right w:val="none" w:sz="0" w:space="0" w:color="auto"/>
      </w:divBdr>
    </w:div>
    <w:div w:id="1234461861">
      <w:bodyDiv w:val="1"/>
      <w:marLeft w:val="0"/>
      <w:marRight w:val="0"/>
      <w:marTop w:val="0"/>
      <w:marBottom w:val="0"/>
      <w:divBdr>
        <w:top w:val="none" w:sz="0" w:space="0" w:color="auto"/>
        <w:left w:val="none" w:sz="0" w:space="0" w:color="auto"/>
        <w:bottom w:val="none" w:sz="0" w:space="0" w:color="auto"/>
        <w:right w:val="none" w:sz="0" w:space="0" w:color="auto"/>
      </w:divBdr>
    </w:div>
    <w:div w:id="1235974237">
      <w:bodyDiv w:val="1"/>
      <w:marLeft w:val="0"/>
      <w:marRight w:val="0"/>
      <w:marTop w:val="0"/>
      <w:marBottom w:val="0"/>
      <w:divBdr>
        <w:top w:val="none" w:sz="0" w:space="0" w:color="auto"/>
        <w:left w:val="none" w:sz="0" w:space="0" w:color="auto"/>
        <w:bottom w:val="none" w:sz="0" w:space="0" w:color="auto"/>
        <w:right w:val="none" w:sz="0" w:space="0" w:color="auto"/>
      </w:divBdr>
    </w:div>
    <w:div w:id="1239561195">
      <w:bodyDiv w:val="1"/>
      <w:marLeft w:val="0"/>
      <w:marRight w:val="0"/>
      <w:marTop w:val="0"/>
      <w:marBottom w:val="0"/>
      <w:divBdr>
        <w:top w:val="none" w:sz="0" w:space="0" w:color="auto"/>
        <w:left w:val="none" w:sz="0" w:space="0" w:color="auto"/>
        <w:bottom w:val="none" w:sz="0" w:space="0" w:color="auto"/>
        <w:right w:val="none" w:sz="0" w:space="0" w:color="auto"/>
      </w:divBdr>
    </w:div>
    <w:div w:id="1242564978">
      <w:bodyDiv w:val="1"/>
      <w:marLeft w:val="0"/>
      <w:marRight w:val="0"/>
      <w:marTop w:val="0"/>
      <w:marBottom w:val="0"/>
      <w:divBdr>
        <w:top w:val="none" w:sz="0" w:space="0" w:color="auto"/>
        <w:left w:val="none" w:sz="0" w:space="0" w:color="auto"/>
        <w:bottom w:val="none" w:sz="0" w:space="0" w:color="auto"/>
        <w:right w:val="none" w:sz="0" w:space="0" w:color="auto"/>
      </w:divBdr>
    </w:div>
    <w:div w:id="1244098869">
      <w:bodyDiv w:val="1"/>
      <w:marLeft w:val="0"/>
      <w:marRight w:val="0"/>
      <w:marTop w:val="0"/>
      <w:marBottom w:val="0"/>
      <w:divBdr>
        <w:top w:val="none" w:sz="0" w:space="0" w:color="auto"/>
        <w:left w:val="none" w:sz="0" w:space="0" w:color="auto"/>
        <w:bottom w:val="none" w:sz="0" w:space="0" w:color="auto"/>
        <w:right w:val="none" w:sz="0" w:space="0" w:color="auto"/>
      </w:divBdr>
    </w:div>
    <w:div w:id="1244561100">
      <w:bodyDiv w:val="1"/>
      <w:marLeft w:val="0"/>
      <w:marRight w:val="0"/>
      <w:marTop w:val="0"/>
      <w:marBottom w:val="0"/>
      <w:divBdr>
        <w:top w:val="none" w:sz="0" w:space="0" w:color="auto"/>
        <w:left w:val="none" w:sz="0" w:space="0" w:color="auto"/>
        <w:bottom w:val="none" w:sz="0" w:space="0" w:color="auto"/>
        <w:right w:val="none" w:sz="0" w:space="0" w:color="auto"/>
      </w:divBdr>
    </w:div>
    <w:div w:id="1247182187">
      <w:bodyDiv w:val="1"/>
      <w:marLeft w:val="0"/>
      <w:marRight w:val="0"/>
      <w:marTop w:val="0"/>
      <w:marBottom w:val="0"/>
      <w:divBdr>
        <w:top w:val="none" w:sz="0" w:space="0" w:color="auto"/>
        <w:left w:val="none" w:sz="0" w:space="0" w:color="auto"/>
        <w:bottom w:val="none" w:sz="0" w:space="0" w:color="auto"/>
        <w:right w:val="none" w:sz="0" w:space="0" w:color="auto"/>
      </w:divBdr>
    </w:div>
    <w:div w:id="1247500286">
      <w:bodyDiv w:val="1"/>
      <w:marLeft w:val="0"/>
      <w:marRight w:val="0"/>
      <w:marTop w:val="0"/>
      <w:marBottom w:val="0"/>
      <w:divBdr>
        <w:top w:val="none" w:sz="0" w:space="0" w:color="auto"/>
        <w:left w:val="none" w:sz="0" w:space="0" w:color="auto"/>
        <w:bottom w:val="none" w:sz="0" w:space="0" w:color="auto"/>
        <w:right w:val="none" w:sz="0" w:space="0" w:color="auto"/>
      </w:divBdr>
    </w:div>
    <w:div w:id="1248198961">
      <w:bodyDiv w:val="1"/>
      <w:marLeft w:val="0"/>
      <w:marRight w:val="0"/>
      <w:marTop w:val="0"/>
      <w:marBottom w:val="0"/>
      <w:divBdr>
        <w:top w:val="none" w:sz="0" w:space="0" w:color="auto"/>
        <w:left w:val="none" w:sz="0" w:space="0" w:color="auto"/>
        <w:bottom w:val="none" w:sz="0" w:space="0" w:color="auto"/>
        <w:right w:val="none" w:sz="0" w:space="0" w:color="auto"/>
      </w:divBdr>
    </w:div>
    <w:div w:id="1248265017">
      <w:bodyDiv w:val="1"/>
      <w:marLeft w:val="0"/>
      <w:marRight w:val="0"/>
      <w:marTop w:val="0"/>
      <w:marBottom w:val="0"/>
      <w:divBdr>
        <w:top w:val="none" w:sz="0" w:space="0" w:color="auto"/>
        <w:left w:val="none" w:sz="0" w:space="0" w:color="auto"/>
        <w:bottom w:val="none" w:sz="0" w:space="0" w:color="auto"/>
        <w:right w:val="none" w:sz="0" w:space="0" w:color="auto"/>
      </w:divBdr>
    </w:div>
    <w:div w:id="1248807579">
      <w:bodyDiv w:val="1"/>
      <w:marLeft w:val="0"/>
      <w:marRight w:val="0"/>
      <w:marTop w:val="0"/>
      <w:marBottom w:val="0"/>
      <w:divBdr>
        <w:top w:val="none" w:sz="0" w:space="0" w:color="auto"/>
        <w:left w:val="none" w:sz="0" w:space="0" w:color="auto"/>
        <w:bottom w:val="none" w:sz="0" w:space="0" w:color="auto"/>
        <w:right w:val="none" w:sz="0" w:space="0" w:color="auto"/>
      </w:divBdr>
    </w:div>
    <w:div w:id="1251619006">
      <w:bodyDiv w:val="1"/>
      <w:marLeft w:val="0"/>
      <w:marRight w:val="0"/>
      <w:marTop w:val="0"/>
      <w:marBottom w:val="0"/>
      <w:divBdr>
        <w:top w:val="none" w:sz="0" w:space="0" w:color="auto"/>
        <w:left w:val="none" w:sz="0" w:space="0" w:color="auto"/>
        <w:bottom w:val="none" w:sz="0" w:space="0" w:color="auto"/>
        <w:right w:val="none" w:sz="0" w:space="0" w:color="auto"/>
      </w:divBdr>
    </w:div>
    <w:div w:id="1251811006">
      <w:bodyDiv w:val="1"/>
      <w:marLeft w:val="0"/>
      <w:marRight w:val="0"/>
      <w:marTop w:val="0"/>
      <w:marBottom w:val="0"/>
      <w:divBdr>
        <w:top w:val="none" w:sz="0" w:space="0" w:color="auto"/>
        <w:left w:val="none" w:sz="0" w:space="0" w:color="auto"/>
        <w:bottom w:val="none" w:sz="0" w:space="0" w:color="auto"/>
        <w:right w:val="none" w:sz="0" w:space="0" w:color="auto"/>
      </w:divBdr>
    </w:div>
    <w:div w:id="1253734748">
      <w:bodyDiv w:val="1"/>
      <w:marLeft w:val="0"/>
      <w:marRight w:val="0"/>
      <w:marTop w:val="0"/>
      <w:marBottom w:val="0"/>
      <w:divBdr>
        <w:top w:val="none" w:sz="0" w:space="0" w:color="auto"/>
        <w:left w:val="none" w:sz="0" w:space="0" w:color="auto"/>
        <w:bottom w:val="none" w:sz="0" w:space="0" w:color="auto"/>
        <w:right w:val="none" w:sz="0" w:space="0" w:color="auto"/>
      </w:divBdr>
    </w:div>
    <w:div w:id="1254902478">
      <w:bodyDiv w:val="1"/>
      <w:marLeft w:val="0"/>
      <w:marRight w:val="0"/>
      <w:marTop w:val="0"/>
      <w:marBottom w:val="0"/>
      <w:divBdr>
        <w:top w:val="none" w:sz="0" w:space="0" w:color="auto"/>
        <w:left w:val="none" w:sz="0" w:space="0" w:color="auto"/>
        <w:bottom w:val="none" w:sz="0" w:space="0" w:color="auto"/>
        <w:right w:val="none" w:sz="0" w:space="0" w:color="auto"/>
      </w:divBdr>
    </w:div>
    <w:div w:id="1255557744">
      <w:bodyDiv w:val="1"/>
      <w:marLeft w:val="0"/>
      <w:marRight w:val="0"/>
      <w:marTop w:val="0"/>
      <w:marBottom w:val="0"/>
      <w:divBdr>
        <w:top w:val="none" w:sz="0" w:space="0" w:color="auto"/>
        <w:left w:val="none" w:sz="0" w:space="0" w:color="auto"/>
        <w:bottom w:val="none" w:sz="0" w:space="0" w:color="auto"/>
        <w:right w:val="none" w:sz="0" w:space="0" w:color="auto"/>
      </w:divBdr>
    </w:div>
    <w:div w:id="1256866081">
      <w:bodyDiv w:val="1"/>
      <w:marLeft w:val="0"/>
      <w:marRight w:val="0"/>
      <w:marTop w:val="0"/>
      <w:marBottom w:val="0"/>
      <w:divBdr>
        <w:top w:val="none" w:sz="0" w:space="0" w:color="auto"/>
        <w:left w:val="none" w:sz="0" w:space="0" w:color="auto"/>
        <w:bottom w:val="none" w:sz="0" w:space="0" w:color="auto"/>
        <w:right w:val="none" w:sz="0" w:space="0" w:color="auto"/>
      </w:divBdr>
    </w:div>
    <w:div w:id="1259680287">
      <w:bodyDiv w:val="1"/>
      <w:marLeft w:val="0"/>
      <w:marRight w:val="0"/>
      <w:marTop w:val="0"/>
      <w:marBottom w:val="0"/>
      <w:divBdr>
        <w:top w:val="none" w:sz="0" w:space="0" w:color="auto"/>
        <w:left w:val="none" w:sz="0" w:space="0" w:color="auto"/>
        <w:bottom w:val="none" w:sz="0" w:space="0" w:color="auto"/>
        <w:right w:val="none" w:sz="0" w:space="0" w:color="auto"/>
      </w:divBdr>
    </w:div>
    <w:div w:id="1261252758">
      <w:bodyDiv w:val="1"/>
      <w:marLeft w:val="0"/>
      <w:marRight w:val="0"/>
      <w:marTop w:val="0"/>
      <w:marBottom w:val="0"/>
      <w:divBdr>
        <w:top w:val="none" w:sz="0" w:space="0" w:color="auto"/>
        <w:left w:val="none" w:sz="0" w:space="0" w:color="auto"/>
        <w:bottom w:val="none" w:sz="0" w:space="0" w:color="auto"/>
        <w:right w:val="none" w:sz="0" w:space="0" w:color="auto"/>
      </w:divBdr>
    </w:div>
    <w:div w:id="1262496070">
      <w:bodyDiv w:val="1"/>
      <w:marLeft w:val="0"/>
      <w:marRight w:val="0"/>
      <w:marTop w:val="0"/>
      <w:marBottom w:val="0"/>
      <w:divBdr>
        <w:top w:val="none" w:sz="0" w:space="0" w:color="auto"/>
        <w:left w:val="none" w:sz="0" w:space="0" w:color="auto"/>
        <w:bottom w:val="none" w:sz="0" w:space="0" w:color="auto"/>
        <w:right w:val="none" w:sz="0" w:space="0" w:color="auto"/>
      </w:divBdr>
    </w:div>
    <w:div w:id="1266693287">
      <w:bodyDiv w:val="1"/>
      <w:marLeft w:val="0"/>
      <w:marRight w:val="0"/>
      <w:marTop w:val="0"/>
      <w:marBottom w:val="0"/>
      <w:divBdr>
        <w:top w:val="none" w:sz="0" w:space="0" w:color="auto"/>
        <w:left w:val="none" w:sz="0" w:space="0" w:color="auto"/>
        <w:bottom w:val="none" w:sz="0" w:space="0" w:color="auto"/>
        <w:right w:val="none" w:sz="0" w:space="0" w:color="auto"/>
      </w:divBdr>
    </w:div>
    <w:div w:id="1268149248">
      <w:bodyDiv w:val="1"/>
      <w:marLeft w:val="0"/>
      <w:marRight w:val="0"/>
      <w:marTop w:val="0"/>
      <w:marBottom w:val="0"/>
      <w:divBdr>
        <w:top w:val="none" w:sz="0" w:space="0" w:color="auto"/>
        <w:left w:val="none" w:sz="0" w:space="0" w:color="auto"/>
        <w:bottom w:val="none" w:sz="0" w:space="0" w:color="auto"/>
        <w:right w:val="none" w:sz="0" w:space="0" w:color="auto"/>
      </w:divBdr>
    </w:div>
    <w:div w:id="1271669030">
      <w:bodyDiv w:val="1"/>
      <w:marLeft w:val="0"/>
      <w:marRight w:val="0"/>
      <w:marTop w:val="0"/>
      <w:marBottom w:val="0"/>
      <w:divBdr>
        <w:top w:val="none" w:sz="0" w:space="0" w:color="auto"/>
        <w:left w:val="none" w:sz="0" w:space="0" w:color="auto"/>
        <w:bottom w:val="none" w:sz="0" w:space="0" w:color="auto"/>
        <w:right w:val="none" w:sz="0" w:space="0" w:color="auto"/>
      </w:divBdr>
    </w:div>
    <w:div w:id="1278877605">
      <w:bodyDiv w:val="1"/>
      <w:marLeft w:val="0"/>
      <w:marRight w:val="0"/>
      <w:marTop w:val="0"/>
      <w:marBottom w:val="0"/>
      <w:divBdr>
        <w:top w:val="none" w:sz="0" w:space="0" w:color="auto"/>
        <w:left w:val="none" w:sz="0" w:space="0" w:color="auto"/>
        <w:bottom w:val="none" w:sz="0" w:space="0" w:color="auto"/>
        <w:right w:val="none" w:sz="0" w:space="0" w:color="auto"/>
      </w:divBdr>
    </w:div>
    <w:div w:id="1279600935">
      <w:bodyDiv w:val="1"/>
      <w:marLeft w:val="0"/>
      <w:marRight w:val="0"/>
      <w:marTop w:val="0"/>
      <w:marBottom w:val="0"/>
      <w:divBdr>
        <w:top w:val="none" w:sz="0" w:space="0" w:color="auto"/>
        <w:left w:val="none" w:sz="0" w:space="0" w:color="auto"/>
        <w:bottom w:val="none" w:sz="0" w:space="0" w:color="auto"/>
        <w:right w:val="none" w:sz="0" w:space="0" w:color="auto"/>
      </w:divBdr>
    </w:div>
    <w:div w:id="1279996154">
      <w:bodyDiv w:val="1"/>
      <w:marLeft w:val="0"/>
      <w:marRight w:val="0"/>
      <w:marTop w:val="0"/>
      <w:marBottom w:val="0"/>
      <w:divBdr>
        <w:top w:val="none" w:sz="0" w:space="0" w:color="auto"/>
        <w:left w:val="none" w:sz="0" w:space="0" w:color="auto"/>
        <w:bottom w:val="none" w:sz="0" w:space="0" w:color="auto"/>
        <w:right w:val="none" w:sz="0" w:space="0" w:color="auto"/>
      </w:divBdr>
    </w:div>
    <w:div w:id="1281495883">
      <w:bodyDiv w:val="1"/>
      <w:marLeft w:val="0"/>
      <w:marRight w:val="0"/>
      <w:marTop w:val="0"/>
      <w:marBottom w:val="0"/>
      <w:divBdr>
        <w:top w:val="none" w:sz="0" w:space="0" w:color="auto"/>
        <w:left w:val="none" w:sz="0" w:space="0" w:color="auto"/>
        <w:bottom w:val="none" w:sz="0" w:space="0" w:color="auto"/>
        <w:right w:val="none" w:sz="0" w:space="0" w:color="auto"/>
      </w:divBdr>
    </w:div>
    <w:div w:id="1282229821">
      <w:bodyDiv w:val="1"/>
      <w:marLeft w:val="0"/>
      <w:marRight w:val="0"/>
      <w:marTop w:val="0"/>
      <w:marBottom w:val="0"/>
      <w:divBdr>
        <w:top w:val="none" w:sz="0" w:space="0" w:color="auto"/>
        <w:left w:val="none" w:sz="0" w:space="0" w:color="auto"/>
        <w:bottom w:val="none" w:sz="0" w:space="0" w:color="auto"/>
        <w:right w:val="none" w:sz="0" w:space="0" w:color="auto"/>
      </w:divBdr>
    </w:div>
    <w:div w:id="1284120220">
      <w:bodyDiv w:val="1"/>
      <w:marLeft w:val="0"/>
      <w:marRight w:val="0"/>
      <w:marTop w:val="0"/>
      <w:marBottom w:val="0"/>
      <w:divBdr>
        <w:top w:val="none" w:sz="0" w:space="0" w:color="auto"/>
        <w:left w:val="none" w:sz="0" w:space="0" w:color="auto"/>
        <w:bottom w:val="none" w:sz="0" w:space="0" w:color="auto"/>
        <w:right w:val="none" w:sz="0" w:space="0" w:color="auto"/>
      </w:divBdr>
    </w:div>
    <w:div w:id="1287350802">
      <w:bodyDiv w:val="1"/>
      <w:marLeft w:val="0"/>
      <w:marRight w:val="0"/>
      <w:marTop w:val="0"/>
      <w:marBottom w:val="0"/>
      <w:divBdr>
        <w:top w:val="none" w:sz="0" w:space="0" w:color="auto"/>
        <w:left w:val="none" w:sz="0" w:space="0" w:color="auto"/>
        <w:bottom w:val="none" w:sz="0" w:space="0" w:color="auto"/>
        <w:right w:val="none" w:sz="0" w:space="0" w:color="auto"/>
      </w:divBdr>
    </w:div>
    <w:div w:id="1289243256">
      <w:bodyDiv w:val="1"/>
      <w:marLeft w:val="0"/>
      <w:marRight w:val="0"/>
      <w:marTop w:val="0"/>
      <w:marBottom w:val="0"/>
      <w:divBdr>
        <w:top w:val="none" w:sz="0" w:space="0" w:color="auto"/>
        <w:left w:val="none" w:sz="0" w:space="0" w:color="auto"/>
        <w:bottom w:val="none" w:sz="0" w:space="0" w:color="auto"/>
        <w:right w:val="none" w:sz="0" w:space="0" w:color="auto"/>
      </w:divBdr>
    </w:div>
    <w:div w:id="1293485831">
      <w:bodyDiv w:val="1"/>
      <w:marLeft w:val="0"/>
      <w:marRight w:val="0"/>
      <w:marTop w:val="0"/>
      <w:marBottom w:val="0"/>
      <w:divBdr>
        <w:top w:val="none" w:sz="0" w:space="0" w:color="auto"/>
        <w:left w:val="none" w:sz="0" w:space="0" w:color="auto"/>
        <w:bottom w:val="none" w:sz="0" w:space="0" w:color="auto"/>
        <w:right w:val="none" w:sz="0" w:space="0" w:color="auto"/>
      </w:divBdr>
    </w:div>
    <w:div w:id="1296372301">
      <w:bodyDiv w:val="1"/>
      <w:marLeft w:val="0"/>
      <w:marRight w:val="0"/>
      <w:marTop w:val="0"/>
      <w:marBottom w:val="0"/>
      <w:divBdr>
        <w:top w:val="none" w:sz="0" w:space="0" w:color="auto"/>
        <w:left w:val="none" w:sz="0" w:space="0" w:color="auto"/>
        <w:bottom w:val="none" w:sz="0" w:space="0" w:color="auto"/>
        <w:right w:val="none" w:sz="0" w:space="0" w:color="auto"/>
      </w:divBdr>
    </w:div>
    <w:div w:id="1299068994">
      <w:bodyDiv w:val="1"/>
      <w:marLeft w:val="0"/>
      <w:marRight w:val="0"/>
      <w:marTop w:val="0"/>
      <w:marBottom w:val="0"/>
      <w:divBdr>
        <w:top w:val="none" w:sz="0" w:space="0" w:color="auto"/>
        <w:left w:val="none" w:sz="0" w:space="0" w:color="auto"/>
        <w:bottom w:val="none" w:sz="0" w:space="0" w:color="auto"/>
        <w:right w:val="none" w:sz="0" w:space="0" w:color="auto"/>
      </w:divBdr>
    </w:div>
    <w:div w:id="1300648584">
      <w:bodyDiv w:val="1"/>
      <w:marLeft w:val="0"/>
      <w:marRight w:val="0"/>
      <w:marTop w:val="0"/>
      <w:marBottom w:val="0"/>
      <w:divBdr>
        <w:top w:val="none" w:sz="0" w:space="0" w:color="auto"/>
        <w:left w:val="none" w:sz="0" w:space="0" w:color="auto"/>
        <w:bottom w:val="none" w:sz="0" w:space="0" w:color="auto"/>
        <w:right w:val="none" w:sz="0" w:space="0" w:color="auto"/>
      </w:divBdr>
    </w:div>
    <w:div w:id="1301110597">
      <w:bodyDiv w:val="1"/>
      <w:marLeft w:val="0"/>
      <w:marRight w:val="0"/>
      <w:marTop w:val="0"/>
      <w:marBottom w:val="0"/>
      <w:divBdr>
        <w:top w:val="none" w:sz="0" w:space="0" w:color="auto"/>
        <w:left w:val="none" w:sz="0" w:space="0" w:color="auto"/>
        <w:bottom w:val="none" w:sz="0" w:space="0" w:color="auto"/>
        <w:right w:val="none" w:sz="0" w:space="0" w:color="auto"/>
      </w:divBdr>
    </w:div>
    <w:div w:id="1302541142">
      <w:bodyDiv w:val="1"/>
      <w:marLeft w:val="0"/>
      <w:marRight w:val="0"/>
      <w:marTop w:val="0"/>
      <w:marBottom w:val="0"/>
      <w:divBdr>
        <w:top w:val="none" w:sz="0" w:space="0" w:color="auto"/>
        <w:left w:val="none" w:sz="0" w:space="0" w:color="auto"/>
        <w:bottom w:val="none" w:sz="0" w:space="0" w:color="auto"/>
        <w:right w:val="none" w:sz="0" w:space="0" w:color="auto"/>
      </w:divBdr>
    </w:div>
    <w:div w:id="1304189970">
      <w:bodyDiv w:val="1"/>
      <w:marLeft w:val="0"/>
      <w:marRight w:val="0"/>
      <w:marTop w:val="0"/>
      <w:marBottom w:val="0"/>
      <w:divBdr>
        <w:top w:val="none" w:sz="0" w:space="0" w:color="auto"/>
        <w:left w:val="none" w:sz="0" w:space="0" w:color="auto"/>
        <w:bottom w:val="none" w:sz="0" w:space="0" w:color="auto"/>
        <w:right w:val="none" w:sz="0" w:space="0" w:color="auto"/>
      </w:divBdr>
    </w:div>
    <w:div w:id="1307590735">
      <w:bodyDiv w:val="1"/>
      <w:marLeft w:val="0"/>
      <w:marRight w:val="0"/>
      <w:marTop w:val="0"/>
      <w:marBottom w:val="0"/>
      <w:divBdr>
        <w:top w:val="none" w:sz="0" w:space="0" w:color="auto"/>
        <w:left w:val="none" w:sz="0" w:space="0" w:color="auto"/>
        <w:bottom w:val="none" w:sz="0" w:space="0" w:color="auto"/>
        <w:right w:val="none" w:sz="0" w:space="0" w:color="auto"/>
      </w:divBdr>
    </w:div>
    <w:div w:id="1308634600">
      <w:bodyDiv w:val="1"/>
      <w:marLeft w:val="0"/>
      <w:marRight w:val="0"/>
      <w:marTop w:val="0"/>
      <w:marBottom w:val="0"/>
      <w:divBdr>
        <w:top w:val="none" w:sz="0" w:space="0" w:color="auto"/>
        <w:left w:val="none" w:sz="0" w:space="0" w:color="auto"/>
        <w:bottom w:val="none" w:sz="0" w:space="0" w:color="auto"/>
        <w:right w:val="none" w:sz="0" w:space="0" w:color="auto"/>
      </w:divBdr>
    </w:div>
    <w:div w:id="1313292905">
      <w:bodyDiv w:val="1"/>
      <w:marLeft w:val="0"/>
      <w:marRight w:val="0"/>
      <w:marTop w:val="0"/>
      <w:marBottom w:val="0"/>
      <w:divBdr>
        <w:top w:val="none" w:sz="0" w:space="0" w:color="auto"/>
        <w:left w:val="none" w:sz="0" w:space="0" w:color="auto"/>
        <w:bottom w:val="none" w:sz="0" w:space="0" w:color="auto"/>
        <w:right w:val="none" w:sz="0" w:space="0" w:color="auto"/>
      </w:divBdr>
    </w:div>
    <w:div w:id="1315841749">
      <w:bodyDiv w:val="1"/>
      <w:marLeft w:val="0"/>
      <w:marRight w:val="0"/>
      <w:marTop w:val="0"/>
      <w:marBottom w:val="0"/>
      <w:divBdr>
        <w:top w:val="none" w:sz="0" w:space="0" w:color="auto"/>
        <w:left w:val="none" w:sz="0" w:space="0" w:color="auto"/>
        <w:bottom w:val="none" w:sz="0" w:space="0" w:color="auto"/>
        <w:right w:val="none" w:sz="0" w:space="0" w:color="auto"/>
      </w:divBdr>
    </w:div>
    <w:div w:id="1317339647">
      <w:bodyDiv w:val="1"/>
      <w:marLeft w:val="0"/>
      <w:marRight w:val="0"/>
      <w:marTop w:val="0"/>
      <w:marBottom w:val="0"/>
      <w:divBdr>
        <w:top w:val="none" w:sz="0" w:space="0" w:color="auto"/>
        <w:left w:val="none" w:sz="0" w:space="0" w:color="auto"/>
        <w:bottom w:val="none" w:sz="0" w:space="0" w:color="auto"/>
        <w:right w:val="none" w:sz="0" w:space="0" w:color="auto"/>
      </w:divBdr>
    </w:div>
    <w:div w:id="1319384862">
      <w:bodyDiv w:val="1"/>
      <w:marLeft w:val="0"/>
      <w:marRight w:val="0"/>
      <w:marTop w:val="0"/>
      <w:marBottom w:val="0"/>
      <w:divBdr>
        <w:top w:val="none" w:sz="0" w:space="0" w:color="auto"/>
        <w:left w:val="none" w:sz="0" w:space="0" w:color="auto"/>
        <w:bottom w:val="none" w:sz="0" w:space="0" w:color="auto"/>
        <w:right w:val="none" w:sz="0" w:space="0" w:color="auto"/>
      </w:divBdr>
    </w:div>
    <w:div w:id="1319454085">
      <w:bodyDiv w:val="1"/>
      <w:marLeft w:val="0"/>
      <w:marRight w:val="0"/>
      <w:marTop w:val="0"/>
      <w:marBottom w:val="0"/>
      <w:divBdr>
        <w:top w:val="none" w:sz="0" w:space="0" w:color="auto"/>
        <w:left w:val="none" w:sz="0" w:space="0" w:color="auto"/>
        <w:bottom w:val="none" w:sz="0" w:space="0" w:color="auto"/>
        <w:right w:val="none" w:sz="0" w:space="0" w:color="auto"/>
      </w:divBdr>
    </w:div>
    <w:div w:id="1322657045">
      <w:bodyDiv w:val="1"/>
      <w:marLeft w:val="0"/>
      <w:marRight w:val="0"/>
      <w:marTop w:val="0"/>
      <w:marBottom w:val="0"/>
      <w:divBdr>
        <w:top w:val="none" w:sz="0" w:space="0" w:color="auto"/>
        <w:left w:val="none" w:sz="0" w:space="0" w:color="auto"/>
        <w:bottom w:val="none" w:sz="0" w:space="0" w:color="auto"/>
        <w:right w:val="none" w:sz="0" w:space="0" w:color="auto"/>
      </w:divBdr>
    </w:div>
    <w:div w:id="1324970050">
      <w:bodyDiv w:val="1"/>
      <w:marLeft w:val="0"/>
      <w:marRight w:val="0"/>
      <w:marTop w:val="0"/>
      <w:marBottom w:val="0"/>
      <w:divBdr>
        <w:top w:val="none" w:sz="0" w:space="0" w:color="auto"/>
        <w:left w:val="none" w:sz="0" w:space="0" w:color="auto"/>
        <w:bottom w:val="none" w:sz="0" w:space="0" w:color="auto"/>
        <w:right w:val="none" w:sz="0" w:space="0" w:color="auto"/>
      </w:divBdr>
    </w:div>
    <w:div w:id="1325859368">
      <w:bodyDiv w:val="1"/>
      <w:marLeft w:val="0"/>
      <w:marRight w:val="0"/>
      <w:marTop w:val="0"/>
      <w:marBottom w:val="0"/>
      <w:divBdr>
        <w:top w:val="none" w:sz="0" w:space="0" w:color="auto"/>
        <w:left w:val="none" w:sz="0" w:space="0" w:color="auto"/>
        <w:bottom w:val="none" w:sz="0" w:space="0" w:color="auto"/>
        <w:right w:val="none" w:sz="0" w:space="0" w:color="auto"/>
      </w:divBdr>
    </w:div>
    <w:div w:id="1326083834">
      <w:bodyDiv w:val="1"/>
      <w:marLeft w:val="0"/>
      <w:marRight w:val="0"/>
      <w:marTop w:val="0"/>
      <w:marBottom w:val="0"/>
      <w:divBdr>
        <w:top w:val="none" w:sz="0" w:space="0" w:color="auto"/>
        <w:left w:val="none" w:sz="0" w:space="0" w:color="auto"/>
        <w:bottom w:val="none" w:sz="0" w:space="0" w:color="auto"/>
        <w:right w:val="none" w:sz="0" w:space="0" w:color="auto"/>
      </w:divBdr>
    </w:div>
    <w:div w:id="1326515319">
      <w:bodyDiv w:val="1"/>
      <w:marLeft w:val="0"/>
      <w:marRight w:val="0"/>
      <w:marTop w:val="0"/>
      <w:marBottom w:val="0"/>
      <w:divBdr>
        <w:top w:val="none" w:sz="0" w:space="0" w:color="auto"/>
        <w:left w:val="none" w:sz="0" w:space="0" w:color="auto"/>
        <w:bottom w:val="none" w:sz="0" w:space="0" w:color="auto"/>
        <w:right w:val="none" w:sz="0" w:space="0" w:color="auto"/>
      </w:divBdr>
    </w:div>
    <w:div w:id="1329560015">
      <w:bodyDiv w:val="1"/>
      <w:marLeft w:val="0"/>
      <w:marRight w:val="0"/>
      <w:marTop w:val="0"/>
      <w:marBottom w:val="0"/>
      <w:divBdr>
        <w:top w:val="none" w:sz="0" w:space="0" w:color="auto"/>
        <w:left w:val="none" w:sz="0" w:space="0" w:color="auto"/>
        <w:bottom w:val="none" w:sz="0" w:space="0" w:color="auto"/>
        <w:right w:val="none" w:sz="0" w:space="0" w:color="auto"/>
      </w:divBdr>
    </w:div>
    <w:div w:id="1335455321">
      <w:bodyDiv w:val="1"/>
      <w:marLeft w:val="0"/>
      <w:marRight w:val="0"/>
      <w:marTop w:val="0"/>
      <w:marBottom w:val="0"/>
      <w:divBdr>
        <w:top w:val="none" w:sz="0" w:space="0" w:color="auto"/>
        <w:left w:val="none" w:sz="0" w:space="0" w:color="auto"/>
        <w:bottom w:val="none" w:sz="0" w:space="0" w:color="auto"/>
        <w:right w:val="none" w:sz="0" w:space="0" w:color="auto"/>
      </w:divBdr>
    </w:div>
    <w:div w:id="1336227841">
      <w:bodyDiv w:val="1"/>
      <w:marLeft w:val="0"/>
      <w:marRight w:val="0"/>
      <w:marTop w:val="0"/>
      <w:marBottom w:val="0"/>
      <w:divBdr>
        <w:top w:val="none" w:sz="0" w:space="0" w:color="auto"/>
        <w:left w:val="none" w:sz="0" w:space="0" w:color="auto"/>
        <w:bottom w:val="none" w:sz="0" w:space="0" w:color="auto"/>
        <w:right w:val="none" w:sz="0" w:space="0" w:color="auto"/>
      </w:divBdr>
    </w:div>
    <w:div w:id="1337536009">
      <w:bodyDiv w:val="1"/>
      <w:marLeft w:val="0"/>
      <w:marRight w:val="0"/>
      <w:marTop w:val="0"/>
      <w:marBottom w:val="0"/>
      <w:divBdr>
        <w:top w:val="none" w:sz="0" w:space="0" w:color="auto"/>
        <w:left w:val="none" w:sz="0" w:space="0" w:color="auto"/>
        <w:bottom w:val="none" w:sz="0" w:space="0" w:color="auto"/>
        <w:right w:val="none" w:sz="0" w:space="0" w:color="auto"/>
      </w:divBdr>
    </w:div>
    <w:div w:id="1339229931">
      <w:bodyDiv w:val="1"/>
      <w:marLeft w:val="0"/>
      <w:marRight w:val="0"/>
      <w:marTop w:val="0"/>
      <w:marBottom w:val="0"/>
      <w:divBdr>
        <w:top w:val="none" w:sz="0" w:space="0" w:color="auto"/>
        <w:left w:val="none" w:sz="0" w:space="0" w:color="auto"/>
        <w:bottom w:val="none" w:sz="0" w:space="0" w:color="auto"/>
        <w:right w:val="none" w:sz="0" w:space="0" w:color="auto"/>
      </w:divBdr>
    </w:div>
    <w:div w:id="1342780089">
      <w:bodyDiv w:val="1"/>
      <w:marLeft w:val="0"/>
      <w:marRight w:val="0"/>
      <w:marTop w:val="0"/>
      <w:marBottom w:val="0"/>
      <w:divBdr>
        <w:top w:val="none" w:sz="0" w:space="0" w:color="auto"/>
        <w:left w:val="none" w:sz="0" w:space="0" w:color="auto"/>
        <w:bottom w:val="none" w:sz="0" w:space="0" w:color="auto"/>
        <w:right w:val="none" w:sz="0" w:space="0" w:color="auto"/>
      </w:divBdr>
    </w:div>
    <w:div w:id="1344163832">
      <w:bodyDiv w:val="1"/>
      <w:marLeft w:val="0"/>
      <w:marRight w:val="0"/>
      <w:marTop w:val="0"/>
      <w:marBottom w:val="0"/>
      <w:divBdr>
        <w:top w:val="none" w:sz="0" w:space="0" w:color="auto"/>
        <w:left w:val="none" w:sz="0" w:space="0" w:color="auto"/>
        <w:bottom w:val="none" w:sz="0" w:space="0" w:color="auto"/>
        <w:right w:val="none" w:sz="0" w:space="0" w:color="auto"/>
      </w:divBdr>
    </w:div>
    <w:div w:id="1348022747">
      <w:bodyDiv w:val="1"/>
      <w:marLeft w:val="0"/>
      <w:marRight w:val="0"/>
      <w:marTop w:val="0"/>
      <w:marBottom w:val="0"/>
      <w:divBdr>
        <w:top w:val="none" w:sz="0" w:space="0" w:color="auto"/>
        <w:left w:val="none" w:sz="0" w:space="0" w:color="auto"/>
        <w:bottom w:val="none" w:sz="0" w:space="0" w:color="auto"/>
        <w:right w:val="none" w:sz="0" w:space="0" w:color="auto"/>
      </w:divBdr>
    </w:div>
    <w:div w:id="1351493232">
      <w:bodyDiv w:val="1"/>
      <w:marLeft w:val="0"/>
      <w:marRight w:val="0"/>
      <w:marTop w:val="0"/>
      <w:marBottom w:val="0"/>
      <w:divBdr>
        <w:top w:val="none" w:sz="0" w:space="0" w:color="auto"/>
        <w:left w:val="none" w:sz="0" w:space="0" w:color="auto"/>
        <w:bottom w:val="none" w:sz="0" w:space="0" w:color="auto"/>
        <w:right w:val="none" w:sz="0" w:space="0" w:color="auto"/>
      </w:divBdr>
    </w:div>
    <w:div w:id="1351838093">
      <w:bodyDiv w:val="1"/>
      <w:marLeft w:val="0"/>
      <w:marRight w:val="0"/>
      <w:marTop w:val="0"/>
      <w:marBottom w:val="0"/>
      <w:divBdr>
        <w:top w:val="none" w:sz="0" w:space="0" w:color="auto"/>
        <w:left w:val="none" w:sz="0" w:space="0" w:color="auto"/>
        <w:bottom w:val="none" w:sz="0" w:space="0" w:color="auto"/>
        <w:right w:val="none" w:sz="0" w:space="0" w:color="auto"/>
      </w:divBdr>
    </w:div>
    <w:div w:id="1352535867">
      <w:bodyDiv w:val="1"/>
      <w:marLeft w:val="0"/>
      <w:marRight w:val="0"/>
      <w:marTop w:val="0"/>
      <w:marBottom w:val="0"/>
      <w:divBdr>
        <w:top w:val="none" w:sz="0" w:space="0" w:color="auto"/>
        <w:left w:val="none" w:sz="0" w:space="0" w:color="auto"/>
        <w:bottom w:val="none" w:sz="0" w:space="0" w:color="auto"/>
        <w:right w:val="none" w:sz="0" w:space="0" w:color="auto"/>
      </w:divBdr>
    </w:div>
    <w:div w:id="1354570243">
      <w:bodyDiv w:val="1"/>
      <w:marLeft w:val="0"/>
      <w:marRight w:val="0"/>
      <w:marTop w:val="0"/>
      <w:marBottom w:val="0"/>
      <w:divBdr>
        <w:top w:val="none" w:sz="0" w:space="0" w:color="auto"/>
        <w:left w:val="none" w:sz="0" w:space="0" w:color="auto"/>
        <w:bottom w:val="none" w:sz="0" w:space="0" w:color="auto"/>
        <w:right w:val="none" w:sz="0" w:space="0" w:color="auto"/>
      </w:divBdr>
    </w:div>
    <w:div w:id="1356690328">
      <w:bodyDiv w:val="1"/>
      <w:marLeft w:val="0"/>
      <w:marRight w:val="0"/>
      <w:marTop w:val="0"/>
      <w:marBottom w:val="0"/>
      <w:divBdr>
        <w:top w:val="none" w:sz="0" w:space="0" w:color="auto"/>
        <w:left w:val="none" w:sz="0" w:space="0" w:color="auto"/>
        <w:bottom w:val="none" w:sz="0" w:space="0" w:color="auto"/>
        <w:right w:val="none" w:sz="0" w:space="0" w:color="auto"/>
      </w:divBdr>
    </w:div>
    <w:div w:id="1356882587">
      <w:bodyDiv w:val="1"/>
      <w:marLeft w:val="0"/>
      <w:marRight w:val="0"/>
      <w:marTop w:val="0"/>
      <w:marBottom w:val="0"/>
      <w:divBdr>
        <w:top w:val="none" w:sz="0" w:space="0" w:color="auto"/>
        <w:left w:val="none" w:sz="0" w:space="0" w:color="auto"/>
        <w:bottom w:val="none" w:sz="0" w:space="0" w:color="auto"/>
        <w:right w:val="none" w:sz="0" w:space="0" w:color="auto"/>
      </w:divBdr>
    </w:div>
    <w:div w:id="1358383357">
      <w:bodyDiv w:val="1"/>
      <w:marLeft w:val="0"/>
      <w:marRight w:val="0"/>
      <w:marTop w:val="0"/>
      <w:marBottom w:val="0"/>
      <w:divBdr>
        <w:top w:val="none" w:sz="0" w:space="0" w:color="auto"/>
        <w:left w:val="none" w:sz="0" w:space="0" w:color="auto"/>
        <w:bottom w:val="none" w:sz="0" w:space="0" w:color="auto"/>
        <w:right w:val="none" w:sz="0" w:space="0" w:color="auto"/>
      </w:divBdr>
    </w:div>
    <w:div w:id="1359504013">
      <w:bodyDiv w:val="1"/>
      <w:marLeft w:val="0"/>
      <w:marRight w:val="0"/>
      <w:marTop w:val="0"/>
      <w:marBottom w:val="0"/>
      <w:divBdr>
        <w:top w:val="none" w:sz="0" w:space="0" w:color="auto"/>
        <w:left w:val="none" w:sz="0" w:space="0" w:color="auto"/>
        <w:bottom w:val="none" w:sz="0" w:space="0" w:color="auto"/>
        <w:right w:val="none" w:sz="0" w:space="0" w:color="auto"/>
      </w:divBdr>
    </w:div>
    <w:div w:id="1363359096">
      <w:bodyDiv w:val="1"/>
      <w:marLeft w:val="0"/>
      <w:marRight w:val="0"/>
      <w:marTop w:val="0"/>
      <w:marBottom w:val="0"/>
      <w:divBdr>
        <w:top w:val="none" w:sz="0" w:space="0" w:color="auto"/>
        <w:left w:val="none" w:sz="0" w:space="0" w:color="auto"/>
        <w:bottom w:val="none" w:sz="0" w:space="0" w:color="auto"/>
        <w:right w:val="none" w:sz="0" w:space="0" w:color="auto"/>
      </w:divBdr>
    </w:div>
    <w:div w:id="1365716137">
      <w:bodyDiv w:val="1"/>
      <w:marLeft w:val="0"/>
      <w:marRight w:val="0"/>
      <w:marTop w:val="0"/>
      <w:marBottom w:val="0"/>
      <w:divBdr>
        <w:top w:val="none" w:sz="0" w:space="0" w:color="auto"/>
        <w:left w:val="none" w:sz="0" w:space="0" w:color="auto"/>
        <w:bottom w:val="none" w:sz="0" w:space="0" w:color="auto"/>
        <w:right w:val="none" w:sz="0" w:space="0" w:color="auto"/>
      </w:divBdr>
    </w:div>
    <w:div w:id="1372267325">
      <w:bodyDiv w:val="1"/>
      <w:marLeft w:val="0"/>
      <w:marRight w:val="0"/>
      <w:marTop w:val="0"/>
      <w:marBottom w:val="0"/>
      <w:divBdr>
        <w:top w:val="none" w:sz="0" w:space="0" w:color="auto"/>
        <w:left w:val="none" w:sz="0" w:space="0" w:color="auto"/>
        <w:bottom w:val="none" w:sz="0" w:space="0" w:color="auto"/>
        <w:right w:val="none" w:sz="0" w:space="0" w:color="auto"/>
      </w:divBdr>
    </w:div>
    <w:div w:id="1373766740">
      <w:bodyDiv w:val="1"/>
      <w:marLeft w:val="0"/>
      <w:marRight w:val="0"/>
      <w:marTop w:val="0"/>
      <w:marBottom w:val="0"/>
      <w:divBdr>
        <w:top w:val="none" w:sz="0" w:space="0" w:color="auto"/>
        <w:left w:val="none" w:sz="0" w:space="0" w:color="auto"/>
        <w:bottom w:val="none" w:sz="0" w:space="0" w:color="auto"/>
        <w:right w:val="none" w:sz="0" w:space="0" w:color="auto"/>
      </w:divBdr>
    </w:div>
    <w:div w:id="1373844573">
      <w:bodyDiv w:val="1"/>
      <w:marLeft w:val="0"/>
      <w:marRight w:val="0"/>
      <w:marTop w:val="0"/>
      <w:marBottom w:val="0"/>
      <w:divBdr>
        <w:top w:val="none" w:sz="0" w:space="0" w:color="auto"/>
        <w:left w:val="none" w:sz="0" w:space="0" w:color="auto"/>
        <w:bottom w:val="none" w:sz="0" w:space="0" w:color="auto"/>
        <w:right w:val="none" w:sz="0" w:space="0" w:color="auto"/>
      </w:divBdr>
    </w:div>
    <w:div w:id="1374885148">
      <w:bodyDiv w:val="1"/>
      <w:marLeft w:val="0"/>
      <w:marRight w:val="0"/>
      <w:marTop w:val="0"/>
      <w:marBottom w:val="0"/>
      <w:divBdr>
        <w:top w:val="none" w:sz="0" w:space="0" w:color="auto"/>
        <w:left w:val="none" w:sz="0" w:space="0" w:color="auto"/>
        <w:bottom w:val="none" w:sz="0" w:space="0" w:color="auto"/>
        <w:right w:val="none" w:sz="0" w:space="0" w:color="auto"/>
      </w:divBdr>
    </w:div>
    <w:div w:id="1375421462">
      <w:bodyDiv w:val="1"/>
      <w:marLeft w:val="0"/>
      <w:marRight w:val="0"/>
      <w:marTop w:val="0"/>
      <w:marBottom w:val="0"/>
      <w:divBdr>
        <w:top w:val="none" w:sz="0" w:space="0" w:color="auto"/>
        <w:left w:val="none" w:sz="0" w:space="0" w:color="auto"/>
        <w:bottom w:val="none" w:sz="0" w:space="0" w:color="auto"/>
        <w:right w:val="none" w:sz="0" w:space="0" w:color="auto"/>
      </w:divBdr>
    </w:div>
    <w:div w:id="1375541878">
      <w:bodyDiv w:val="1"/>
      <w:marLeft w:val="0"/>
      <w:marRight w:val="0"/>
      <w:marTop w:val="0"/>
      <w:marBottom w:val="0"/>
      <w:divBdr>
        <w:top w:val="none" w:sz="0" w:space="0" w:color="auto"/>
        <w:left w:val="none" w:sz="0" w:space="0" w:color="auto"/>
        <w:bottom w:val="none" w:sz="0" w:space="0" w:color="auto"/>
        <w:right w:val="none" w:sz="0" w:space="0" w:color="auto"/>
      </w:divBdr>
    </w:div>
    <w:div w:id="1375617782">
      <w:bodyDiv w:val="1"/>
      <w:marLeft w:val="0"/>
      <w:marRight w:val="0"/>
      <w:marTop w:val="0"/>
      <w:marBottom w:val="0"/>
      <w:divBdr>
        <w:top w:val="none" w:sz="0" w:space="0" w:color="auto"/>
        <w:left w:val="none" w:sz="0" w:space="0" w:color="auto"/>
        <w:bottom w:val="none" w:sz="0" w:space="0" w:color="auto"/>
        <w:right w:val="none" w:sz="0" w:space="0" w:color="auto"/>
      </w:divBdr>
    </w:div>
    <w:div w:id="1375697803">
      <w:bodyDiv w:val="1"/>
      <w:marLeft w:val="0"/>
      <w:marRight w:val="0"/>
      <w:marTop w:val="0"/>
      <w:marBottom w:val="0"/>
      <w:divBdr>
        <w:top w:val="none" w:sz="0" w:space="0" w:color="auto"/>
        <w:left w:val="none" w:sz="0" w:space="0" w:color="auto"/>
        <w:bottom w:val="none" w:sz="0" w:space="0" w:color="auto"/>
        <w:right w:val="none" w:sz="0" w:space="0" w:color="auto"/>
      </w:divBdr>
    </w:div>
    <w:div w:id="1376999148">
      <w:bodyDiv w:val="1"/>
      <w:marLeft w:val="0"/>
      <w:marRight w:val="0"/>
      <w:marTop w:val="0"/>
      <w:marBottom w:val="0"/>
      <w:divBdr>
        <w:top w:val="none" w:sz="0" w:space="0" w:color="auto"/>
        <w:left w:val="none" w:sz="0" w:space="0" w:color="auto"/>
        <w:bottom w:val="none" w:sz="0" w:space="0" w:color="auto"/>
        <w:right w:val="none" w:sz="0" w:space="0" w:color="auto"/>
      </w:divBdr>
    </w:div>
    <w:div w:id="1380780062">
      <w:bodyDiv w:val="1"/>
      <w:marLeft w:val="0"/>
      <w:marRight w:val="0"/>
      <w:marTop w:val="0"/>
      <w:marBottom w:val="0"/>
      <w:divBdr>
        <w:top w:val="none" w:sz="0" w:space="0" w:color="auto"/>
        <w:left w:val="none" w:sz="0" w:space="0" w:color="auto"/>
        <w:bottom w:val="none" w:sz="0" w:space="0" w:color="auto"/>
        <w:right w:val="none" w:sz="0" w:space="0" w:color="auto"/>
      </w:divBdr>
    </w:div>
    <w:div w:id="1381706543">
      <w:bodyDiv w:val="1"/>
      <w:marLeft w:val="0"/>
      <w:marRight w:val="0"/>
      <w:marTop w:val="0"/>
      <w:marBottom w:val="0"/>
      <w:divBdr>
        <w:top w:val="none" w:sz="0" w:space="0" w:color="auto"/>
        <w:left w:val="none" w:sz="0" w:space="0" w:color="auto"/>
        <w:bottom w:val="none" w:sz="0" w:space="0" w:color="auto"/>
        <w:right w:val="none" w:sz="0" w:space="0" w:color="auto"/>
      </w:divBdr>
    </w:div>
    <w:div w:id="1382511751">
      <w:bodyDiv w:val="1"/>
      <w:marLeft w:val="0"/>
      <w:marRight w:val="0"/>
      <w:marTop w:val="0"/>
      <w:marBottom w:val="0"/>
      <w:divBdr>
        <w:top w:val="none" w:sz="0" w:space="0" w:color="auto"/>
        <w:left w:val="none" w:sz="0" w:space="0" w:color="auto"/>
        <w:bottom w:val="none" w:sz="0" w:space="0" w:color="auto"/>
        <w:right w:val="none" w:sz="0" w:space="0" w:color="auto"/>
      </w:divBdr>
    </w:div>
    <w:div w:id="1382710143">
      <w:bodyDiv w:val="1"/>
      <w:marLeft w:val="0"/>
      <w:marRight w:val="0"/>
      <w:marTop w:val="0"/>
      <w:marBottom w:val="0"/>
      <w:divBdr>
        <w:top w:val="none" w:sz="0" w:space="0" w:color="auto"/>
        <w:left w:val="none" w:sz="0" w:space="0" w:color="auto"/>
        <w:bottom w:val="none" w:sz="0" w:space="0" w:color="auto"/>
        <w:right w:val="none" w:sz="0" w:space="0" w:color="auto"/>
      </w:divBdr>
    </w:div>
    <w:div w:id="1383208510">
      <w:bodyDiv w:val="1"/>
      <w:marLeft w:val="0"/>
      <w:marRight w:val="0"/>
      <w:marTop w:val="0"/>
      <w:marBottom w:val="0"/>
      <w:divBdr>
        <w:top w:val="none" w:sz="0" w:space="0" w:color="auto"/>
        <w:left w:val="none" w:sz="0" w:space="0" w:color="auto"/>
        <w:bottom w:val="none" w:sz="0" w:space="0" w:color="auto"/>
        <w:right w:val="none" w:sz="0" w:space="0" w:color="auto"/>
      </w:divBdr>
    </w:div>
    <w:div w:id="1383212870">
      <w:bodyDiv w:val="1"/>
      <w:marLeft w:val="0"/>
      <w:marRight w:val="0"/>
      <w:marTop w:val="0"/>
      <w:marBottom w:val="0"/>
      <w:divBdr>
        <w:top w:val="none" w:sz="0" w:space="0" w:color="auto"/>
        <w:left w:val="none" w:sz="0" w:space="0" w:color="auto"/>
        <w:bottom w:val="none" w:sz="0" w:space="0" w:color="auto"/>
        <w:right w:val="none" w:sz="0" w:space="0" w:color="auto"/>
      </w:divBdr>
    </w:div>
    <w:div w:id="1389377450">
      <w:bodyDiv w:val="1"/>
      <w:marLeft w:val="0"/>
      <w:marRight w:val="0"/>
      <w:marTop w:val="0"/>
      <w:marBottom w:val="0"/>
      <w:divBdr>
        <w:top w:val="none" w:sz="0" w:space="0" w:color="auto"/>
        <w:left w:val="none" w:sz="0" w:space="0" w:color="auto"/>
        <w:bottom w:val="none" w:sz="0" w:space="0" w:color="auto"/>
        <w:right w:val="none" w:sz="0" w:space="0" w:color="auto"/>
      </w:divBdr>
    </w:div>
    <w:div w:id="1389456496">
      <w:bodyDiv w:val="1"/>
      <w:marLeft w:val="0"/>
      <w:marRight w:val="0"/>
      <w:marTop w:val="0"/>
      <w:marBottom w:val="0"/>
      <w:divBdr>
        <w:top w:val="none" w:sz="0" w:space="0" w:color="auto"/>
        <w:left w:val="none" w:sz="0" w:space="0" w:color="auto"/>
        <w:bottom w:val="none" w:sz="0" w:space="0" w:color="auto"/>
        <w:right w:val="none" w:sz="0" w:space="0" w:color="auto"/>
      </w:divBdr>
    </w:div>
    <w:div w:id="1390567875">
      <w:bodyDiv w:val="1"/>
      <w:marLeft w:val="0"/>
      <w:marRight w:val="0"/>
      <w:marTop w:val="0"/>
      <w:marBottom w:val="0"/>
      <w:divBdr>
        <w:top w:val="none" w:sz="0" w:space="0" w:color="auto"/>
        <w:left w:val="none" w:sz="0" w:space="0" w:color="auto"/>
        <w:bottom w:val="none" w:sz="0" w:space="0" w:color="auto"/>
        <w:right w:val="none" w:sz="0" w:space="0" w:color="auto"/>
      </w:divBdr>
    </w:div>
    <w:div w:id="1393694261">
      <w:bodyDiv w:val="1"/>
      <w:marLeft w:val="0"/>
      <w:marRight w:val="0"/>
      <w:marTop w:val="0"/>
      <w:marBottom w:val="0"/>
      <w:divBdr>
        <w:top w:val="none" w:sz="0" w:space="0" w:color="auto"/>
        <w:left w:val="none" w:sz="0" w:space="0" w:color="auto"/>
        <w:bottom w:val="none" w:sz="0" w:space="0" w:color="auto"/>
        <w:right w:val="none" w:sz="0" w:space="0" w:color="auto"/>
      </w:divBdr>
    </w:div>
    <w:div w:id="1395661567">
      <w:bodyDiv w:val="1"/>
      <w:marLeft w:val="0"/>
      <w:marRight w:val="0"/>
      <w:marTop w:val="0"/>
      <w:marBottom w:val="0"/>
      <w:divBdr>
        <w:top w:val="none" w:sz="0" w:space="0" w:color="auto"/>
        <w:left w:val="none" w:sz="0" w:space="0" w:color="auto"/>
        <w:bottom w:val="none" w:sz="0" w:space="0" w:color="auto"/>
        <w:right w:val="none" w:sz="0" w:space="0" w:color="auto"/>
      </w:divBdr>
    </w:div>
    <w:div w:id="1395666173">
      <w:bodyDiv w:val="1"/>
      <w:marLeft w:val="0"/>
      <w:marRight w:val="0"/>
      <w:marTop w:val="0"/>
      <w:marBottom w:val="0"/>
      <w:divBdr>
        <w:top w:val="none" w:sz="0" w:space="0" w:color="auto"/>
        <w:left w:val="none" w:sz="0" w:space="0" w:color="auto"/>
        <w:bottom w:val="none" w:sz="0" w:space="0" w:color="auto"/>
        <w:right w:val="none" w:sz="0" w:space="0" w:color="auto"/>
      </w:divBdr>
    </w:div>
    <w:div w:id="1396666244">
      <w:bodyDiv w:val="1"/>
      <w:marLeft w:val="0"/>
      <w:marRight w:val="0"/>
      <w:marTop w:val="0"/>
      <w:marBottom w:val="0"/>
      <w:divBdr>
        <w:top w:val="none" w:sz="0" w:space="0" w:color="auto"/>
        <w:left w:val="none" w:sz="0" w:space="0" w:color="auto"/>
        <w:bottom w:val="none" w:sz="0" w:space="0" w:color="auto"/>
        <w:right w:val="none" w:sz="0" w:space="0" w:color="auto"/>
      </w:divBdr>
    </w:div>
    <w:div w:id="1397242049">
      <w:bodyDiv w:val="1"/>
      <w:marLeft w:val="0"/>
      <w:marRight w:val="0"/>
      <w:marTop w:val="0"/>
      <w:marBottom w:val="0"/>
      <w:divBdr>
        <w:top w:val="none" w:sz="0" w:space="0" w:color="auto"/>
        <w:left w:val="none" w:sz="0" w:space="0" w:color="auto"/>
        <w:bottom w:val="none" w:sz="0" w:space="0" w:color="auto"/>
        <w:right w:val="none" w:sz="0" w:space="0" w:color="auto"/>
      </w:divBdr>
    </w:div>
    <w:div w:id="1398280090">
      <w:bodyDiv w:val="1"/>
      <w:marLeft w:val="0"/>
      <w:marRight w:val="0"/>
      <w:marTop w:val="0"/>
      <w:marBottom w:val="0"/>
      <w:divBdr>
        <w:top w:val="none" w:sz="0" w:space="0" w:color="auto"/>
        <w:left w:val="none" w:sz="0" w:space="0" w:color="auto"/>
        <w:bottom w:val="none" w:sz="0" w:space="0" w:color="auto"/>
        <w:right w:val="none" w:sz="0" w:space="0" w:color="auto"/>
      </w:divBdr>
    </w:div>
    <w:div w:id="1401053762">
      <w:bodyDiv w:val="1"/>
      <w:marLeft w:val="0"/>
      <w:marRight w:val="0"/>
      <w:marTop w:val="0"/>
      <w:marBottom w:val="0"/>
      <w:divBdr>
        <w:top w:val="none" w:sz="0" w:space="0" w:color="auto"/>
        <w:left w:val="none" w:sz="0" w:space="0" w:color="auto"/>
        <w:bottom w:val="none" w:sz="0" w:space="0" w:color="auto"/>
        <w:right w:val="none" w:sz="0" w:space="0" w:color="auto"/>
      </w:divBdr>
    </w:div>
    <w:div w:id="1402214931">
      <w:bodyDiv w:val="1"/>
      <w:marLeft w:val="0"/>
      <w:marRight w:val="0"/>
      <w:marTop w:val="0"/>
      <w:marBottom w:val="0"/>
      <w:divBdr>
        <w:top w:val="none" w:sz="0" w:space="0" w:color="auto"/>
        <w:left w:val="none" w:sz="0" w:space="0" w:color="auto"/>
        <w:bottom w:val="none" w:sz="0" w:space="0" w:color="auto"/>
        <w:right w:val="none" w:sz="0" w:space="0" w:color="auto"/>
      </w:divBdr>
    </w:div>
    <w:div w:id="1403064469">
      <w:bodyDiv w:val="1"/>
      <w:marLeft w:val="0"/>
      <w:marRight w:val="0"/>
      <w:marTop w:val="0"/>
      <w:marBottom w:val="0"/>
      <w:divBdr>
        <w:top w:val="none" w:sz="0" w:space="0" w:color="auto"/>
        <w:left w:val="none" w:sz="0" w:space="0" w:color="auto"/>
        <w:bottom w:val="none" w:sz="0" w:space="0" w:color="auto"/>
        <w:right w:val="none" w:sz="0" w:space="0" w:color="auto"/>
      </w:divBdr>
    </w:div>
    <w:div w:id="1404332280">
      <w:bodyDiv w:val="1"/>
      <w:marLeft w:val="0"/>
      <w:marRight w:val="0"/>
      <w:marTop w:val="0"/>
      <w:marBottom w:val="0"/>
      <w:divBdr>
        <w:top w:val="none" w:sz="0" w:space="0" w:color="auto"/>
        <w:left w:val="none" w:sz="0" w:space="0" w:color="auto"/>
        <w:bottom w:val="none" w:sz="0" w:space="0" w:color="auto"/>
        <w:right w:val="none" w:sz="0" w:space="0" w:color="auto"/>
      </w:divBdr>
    </w:div>
    <w:div w:id="1404599518">
      <w:bodyDiv w:val="1"/>
      <w:marLeft w:val="0"/>
      <w:marRight w:val="0"/>
      <w:marTop w:val="0"/>
      <w:marBottom w:val="0"/>
      <w:divBdr>
        <w:top w:val="none" w:sz="0" w:space="0" w:color="auto"/>
        <w:left w:val="none" w:sz="0" w:space="0" w:color="auto"/>
        <w:bottom w:val="none" w:sz="0" w:space="0" w:color="auto"/>
        <w:right w:val="none" w:sz="0" w:space="0" w:color="auto"/>
      </w:divBdr>
    </w:div>
    <w:div w:id="1406680037">
      <w:bodyDiv w:val="1"/>
      <w:marLeft w:val="0"/>
      <w:marRight w:val="0"/>
      <w:marTop w:val="0"/>
      <w:marBottom w:val="0"/>
      <w:divBdr>
        <w:top w:val="none" w:sz="0" w:space="0" w:color="auto"/>
        <w:left w:val="none" w:sz="0" w:space="0" w:color="auto"/>
        <w:bottom w:val="none" w:sz="0" w:space="0" w:color="auto"/>
        <w:right w:val="none" w:sz="0" w:space="0" w:color="auto"/>
      </w:divBdr>
    </w:div>
    <w:div w:id="1407415231">
      <w:bodyDiv w:val="1"/>
      <w:marLeft w:val="0"/>
      <w:marRight w:val="0"/>
      <w:marTop w:val="0"/>
      <w:marBottom w:val="0"/>
      <w:divBdr>
        <w:top w:val="none" w:sz="0" w:space="0" w:color="auto"/>
        <w:left w:val="none" w:sz="0" w:space="0" w:color="auto"/>
        <w:bottom w:val="none" w:sz="0" w:space="0" w:color="auto"/>
        <w:right w:val="none" w:sz="0" w:space="0" w:color="auto"/>
      </w:divBdr>
    </w:div>
    <w:div w:id="1407799315">
      <w:bodyDiv w:val="1"/>
      <w:marLeft w:val="0"/>
      <w:marRight w:val="0"/>
      <w:marTop w:val="0"/>
      <w:marBottom w:val="0"/>
      <w:divBdr>
        <w:top w:val="none" w:sz="0" w:space="0" w:color="auto"/>
        <w:left w:val="none" w:sz="0" w:space="0" w:color="auto"/>
        <w:bottom w:val="none" w:sz="0" w:space="0" w:color="auto"/>
        <w:right w:val="none" w:sz="0" w:space="0" w:color="auto"/>
      </w:divBdr>
    </w:div>
    <w:div w:id="1408578358">
      <w:bodyDiv w:val="1"/>
      <w:marLeft w:val="0"/>
      <w:marRight w:val="0"/>
      <w:marTop w:val="0"/>
      <w:marBottom w:val="0"/>
      <w:divBdr>
        <w:top w:val="none" w:sz="0" w:space="0" w:color="auto"/>
        <w:left w:val="none" w:sz="0" w:space="0" w:color="auto"/>
        <w:bottom w:val="none" w:sz="0" w:space="0" w:color="auto"/>
        <w:right w:val="none" w:sz="0" w:space="0" w:color="auto"/>
      </w:divBdr>
    </w:div>
    <w:div w:id="1408962059">
      <w:bodyDiv w:val="1"/>
      <w:marLeft w:val="0"/>
      <w:marRight w:val="0"/>
      <w:marTop w:val="0"/>
      <w:marBottom w:val="0"/>
      <w:divBdr>
        <w:top w:val="none" w:sz="0" w:space="0" w:color="auto"/>
        <w:left w:val="none" w:sz="0" w:space="0" w:color="auto"/>
        <w:bottom w:val="none" w:sz="0" w:space="0" w:color="auto"/>
        <w:right w:val="none" w:sz="0" w:space="0" w:color="auto"/>
      </w:divBdr>
    </w:div>
    <w:div w:id="1409229742">
      <w:bodyDiv w:val="1"/>
      <w:marLeft w:val="0"/>
      <w:marRight w:val="0"/>
      <w:marTop w:val="0"/>
      <w:marBottom w:val="0"/>
      <w:divBdr>
        <w:top w:val="none" w:sz="0" w:space="0" w:color="auto"/>
        <w:left w:val="none" w:sz="0" w:space="0" w:color="auto"/>
        <w:bottom w:val="none" w:sz="0" w:space="0" w:color="auto"/>
        <w:right w:val="none" w:sz="0" w:space="0" w:color="auto"/>
      </w:divBdr>
    </w:div>
    <w:div w:id="1409690148">
      <w:bodyDiv w:val="1"/>
      <w:marLeft w:val="0"/>
      <w:marRight w:val="0"/>
      <w:marTop w:val="0"/>
      <w:marBottom w:val="0"/>
      <w:divBdr>
        <w:top w:val="none" w:sz="0" w:space="0" w:color="auto"/>
        <w:left w:val="none" w:sz="0" w:space="0" w:color="auto"/>
        <w:bottom w:val="none" w:sz="0" w:space="0" w:color="auto"/>
        <w:right w:val="none" w:sz="0" w:space="0" w:color="auto"/>
      </w:divBdr>
    </w:div>
    <w:div w:id="1410930951">
      <w:bodyDiv w:val="1"/>
      <w:marLeft w:val="0"/>
      <w:marRight w:val="0"/>
      <w:marTop w:val="0"/>
      <w:marBottom w:val="0"/>
      <w:divBdr>
        <w:top w:val="none" w:sz="0" w:space="0" w:color="auto"/>
        <w:left w:val="none" w:sz="0" w:space="0" w:color="auto"/>
        <w:bottom w:val="none" w:sz="0" w:space="0" w:color="auto"/>
        <w:right w:val="none" w:sz="0" w:space="0" w:color="auto"/>
      </w:divBdr>
    </w:div>
    <w:div w:id="1412003926">
      <w:bodyDiv w:val="1"/>
      <w:marLeft w:val="0"/>
      <w:marRight w:val="0"/>
      <w:marTop w:val="0"/>
      <w:marBottom w:val="0"/>
      <w:divBdr>
        <w:top w:val="none" w:sz="0" w:space="0" w:color="auto"/>
        <w:left w:val="none" w:sz="0" w:space="0" w:color="auto"/>
        <w:bottom w:val="none" w:sz="0" w:space="0" w:color="auto"/>
        <w:right w:val="none" w:sz="0" w:space="0" w:color="auto"/>
      </w:divBdr>
    </w:div>
    <w:div w:id="1413626137">
      <w:bodyDiv w:val="1"/>
      <w:marLeft w:val="0"/>
      <w:marRight w:val="0"/>
      <w:marTop w:val="0"/>
      <w:marBottom w:val="0"/>
      <w:divBdr>
        <w:top w:val="none" w:sz="0" w:space="0" w:color="auto"/>
        <w:left w:val="none" w:sz="0" w:space="0" w:color="auto"/>
        <w:bottom w:val="none" w:sz="0" w:space="0" w:color="auto"/>
        <w:right w:val="none" w:sz="0" w:space="0" w:color="auto"/>
      </w:divBdr>
    </w:div>
    <w:div w:id="1414623473">
      <w:bodyDiv w:val="1"/>
      <w:marLeft w:val="0"/>
      <w:marRight w:val="0"/>
      <w:marTop w:val="0"/>
      <w:marBottom w:val="0"/>
      <w:divBdr>
        <w:top w:val="none" w:sz="0" w:space="0" w:color="auto"/>
        <w:left w:val="none" w:sz="0" w:space="0" w:color="auto"/>
        <w:bottom w:val="none" w:sz="0" w:space="0" w:color="auto"/>
        <w:right w:val="none" w:sz="0" w:space="0" w:color="auto"/>
      </w:divBdr>
    </w:div>
    <w:div w:id="1416247098">
      <w:bodyDiv w:val="1"/>
      <w:marLeft w:val="0"/>
      <w:marRight w:val="0"/>
      <w:marTop w:val="0"/>
      <w:marBottom w:val="0"/>
      <w:divBdr>
        <w:top w:val="none" w:sz="0" w:space="0" w:color="auto"/>
        <w:left w:val="none" w:sz="0" w:space="0" w:color="auto"/>
        <w:bottom w:val="none" w:sz="0" w:space="0" w:color="auto"/>
        <w:right w:val="none" w:sz="0" w:space="0" w:color="auto"/>
      </w:divBdr>
    </w:div>
    <w:div w:id="1416364194">
      <w:bodyDiv w:val="1"/>
      <w:marLeft w:val="0"/>
      <w:marRight w:val="0"/>
      <w:marTop w:val="0"/>
      <w:marBottom w:val="0"/>
      <w:divBdr>
        <w:top w:val="none" w:sz="0" w:space="0" w:color="auto"/>
        <w:left w:val="none" w:sz="0" w:space="0" w:color="auto"/>
        <w:bottom w:val="none" w:sz="0" w:space="0" w:color="auto"/>
        <w:right w:val="none" w:sz="0" w:space="0" w:color="auto"/>
      </w:divBdr>
    </w:div>
    <w:div w:id="1417088896">
      <w:bodyDiv w:val="1"/>
      <w:marLeft w:val="0"/>
      <w:marRight w:val="0"/>
      <w:marTop w:val="0"/>
      <w:marBottom w:val="0"/>
      <w:divBdr>
        <w:top w:val="none" w:sz="0" w:space="0" w:color="auto"/>
        <w:left w:val="none" w:sz="0" w:space="0" w:color="auto"/>
        <w:bottom w:val="none" w:sz="0" w:space="0" w:color="auto"/>
        <w:right w:val="none" w:sz="0" w:space="0" w:color="auto"/>
      </w:divBdr>
    </w:div>
    <w:div w:id="1421834347">
      <w:bodyDiv w:val="1"/>
      <w:marLeft w:val="0"/>
      <w:marRight w:val="0"/>
      <w:marTop w:val="0"/>
      <w:marBottom w:val="0"/>
      <w:divBdr>
        <w:top w:val="none" w:sz="0" w:space="0" w:color="auto"/>
        <w:left w:val="none" w:sz="0" w:space="0" w:color="auto"/>
        <w:bottom w:val="none" w:sz="0" w:space="0" w:color="auto"/>
        <w:right w:val="none" w:sz="0" w:space="0" w:color="auto"/>
      </w:divBdr>
    </w:div>
    <w:div w:id="1422992157">
      <w:bodyDiv w:val="1"/>
      <w:marLeft w:val="0"/>
      <w:marRight w:val="0"/>
      <w:marTop w:val="0"/>
      <w:marBottom w:val="0"/>
      <w:divBdr>
        <w:top w:val="none" w:sz="0" w:space="0" w:color="auto"/>
        <w:left w:val="none" w:sz="0" w:space="0" w:color="auto"/>
        <w:bottom w:val="none" w:sz="0" w:space="0" w:color="auto"/>
        <w:right w:val="none" w:sz="0" w:space="0" w:color="auto"/>
      </w:divBdr>
    </w:div>
    <w:div w:id="1425492304">
      <w:bodyDiv w:val="1"/>
      <w:marLeft w:val="0"/>
      <w:marRight w:val="0"/>
      <w:marTop w:val="0"/>
      <w:marBottom w:val="0"/>
      <w:divBdr>
        <w:top w:val="none" w:sz="0" w:space="0" w:color="auto"/>
        <w:left w:val="none" w:sz="0" w:space="0" w:color="auto"/>
        <w:bottom w:val="none" w:sz="0" w:space="0" w:color="auto"/>
        <w:right w:val="none" w:sz="0" w:space="0" w:color="auto"/>
      </w:divBdr>
    </w:div>
    <w:div w:id="1427770759">
      <w:bodyDiv w:val="1"/>
      <w:marLeft w:val="0"/>
      <w:marRight w:val="0"/>
      <w:marTop w:val="0"/>
      <w:marBottom w:val="0"/>
      <w:divBdr>
        <w:top w:val="none" w:sz="0" w:space="0" w:color="auto"/>
        <w:left w:val="none" w:sz="0" w:space="0" w:color="auto"/>
        <w:bottom w:val="none" w:sz="0" w:space="0" w:color="auto"/>
        <w:right w:val="none" w:sz="0" w:space="0" w:color="auto"/>
      </w:divBdr>
    </w:div>
    <w:div w:id="1428424666">
      <w:bodyDiv w:val="1"/>
      <w:marLeft w:val="0"/>
      <w:marRight w:val="0"/>
      <w:marTop w:val="0"/>
      <w:marBottom w:val="0"/>
      <w:divBdr>
        <w:top w:val="none" w:sz="0" w:space="0" w:color="auto"/>
        <w:left w:val="none" w:sz="0" w:space="0" w:color="auto"/>
        <w:bottom w:val="none" w:sz="0" w:space="0" w:color="auto"/>
        <w:right w:val="none" w:sz="0" w:space="0" w:color="auto"/>
      </w:divBdr>
    </w:div>
    <w:div w:id="1428427967">
      <w:bodyDiv w:val="1"/>
      <w:marLeft w:val="0"/>
      <w:marRight w:val="0"/>
      <w:marTop w:val="0"/>
      <w:marBottom w:val="0"/>
      <w:divBdr>
        <w:top w:val="none" w:sz="0" w:space="0" w:color="auto"/>
        <w:left w:val="none" w:sz="0" w:space="0" w:color="auto"/>
        <w:bottom w:val="none" w:sz="0" w:space="0" w:color="auto"/>
        <w:right w:val="none" w:sz="0" w:space="0" w:color="auto"/>
      </w:divBdr>
    </w:div>
    <w:div w:id="1429693015">
      <w:bodyDiv w:val="1"/>
      <w:marLeft w:val="0"/>
      <w:marRight w:val="0"/>
      <w:marTop w:val="0"/>
      <w:marBottom w:val="0"/>
      <w:divBdr>
        <w:top w:val="none" w:sz="0" w:space="0" w:color="auto"/>
        <w:left w:val="none" w:sz="0" w:space="0" w:color="auto"/>
        <w:bottom w:val="none" w:sz="0" w:space="0" w:color="auto"/>
        <w:right w:val="none" w:sz="0" w:space="0" w:color="auto"/>
      </w:divBdr>
    </w:div>
    <w:div w:id="1435859900">
      <w:bodyDiv w:val="1"/>
      <w:marLeft w:val="0"/>
      <w:marRight w:val="0"/>
      <w:marTop w:val="0"/>
      <w:marBottom w:val="0"/>
      <w:divBdr>
        <w:top w:val="none" w:sz="0" w:space="0" w:color="auto"/>
        <w:left w:val="none" w:sz="0" w:space="0" w:color="auto"/>
        <w:bottom w:val="none" w:sz="0" w:space="0" w:color="auto"/>
        <w:right w:val="none" w:sz="0" w:space="0" w:color="auto"/>
      </w:divBdr>
    </w:div>
    <w:div w:id="1435978666">
      <w:bodyDiv w:val="1"/>
      <w:marLeft w:val="0"/>
      <w:marRight w:val="0"/>
      <w:marTop w:val="0"/>
      <w:marBottom w:val="0"/>
      <w:divBdr>
        <w:top w:val="none" w:sz="0" w:space="0" w:color="auto"/>
        <w:left w:val="none" w:sz="0" w:space="0" w:color="auto"/>
        <w:bottom w:val="none" w:sz="0" w:space="0" w:color="auto"/>
        <w:right w:val="none" w:sz="0" w:space="0" w:color="auto"/>
      </w:divBdr>
    </w:div>
    <w:div w:id="1438328972">
      <w:bodyDiv w:val="1"/>
      <w:marLeft w:val="0"/>
      <w:marRight w:val="0"/>
      <w:marTop w:val="0"/>
      <w:marBottom w:val="0"/>
      <w:divBdr>
        <w:top w:val="none" w:sz="0" w:space="0" w:color="auto"/>
        <w:left w:val="none" w:sz="0" w:space="0" w:color="auto"/>
        <w:bottom w:val="none" w:sz="0" w:space="0" w:color="auto"/>
        <w:right w:val="none" w:sz="0" w:space="0" w:color="auto"/>
      </w:divBdr>
    </w:div>
    <w:div w:id="1439643685">
      <w:bodyDiv w:val="1"/>
      <w:marLeft w:val="0"/>
      <w:marRight w:val="0"/>
      <w:marTop w:val="0"/>
      <w:marBottom w:val="0"/>
      <w:divBdr>
        <w:top w:val="none" w:sz="0" w:space="0" w:color="auto"/>
        <w:left w:val="none" w:sz="0" w:space="0" w:color="auto"/>
        <w:bottom w:val="none" w:sz="0" w:space="0" w:color="auto"/>
        <w:right w:val="none" w:sz="0" w:space="0" w:color="auto"/>
      </w:divBdr>
    </w:div>
    <w:div w:id="1440181077">
      <w:bodyDiv w:val="1"/>
      <w:marLeft w:val="0"/>
      <w:marRight w:val="0"/>
      <w:marTop w:val="0"/>
      <w:marBottom w:val="0"/>
      <w:divBdr>
        <w:top w:val="none" w:sz="0" w:space="0" w:color="auto"/>
        <w:left w:val="none" w:sz="0" w:space="0" w:color="auto"/>
        <w:bottom w:val="none" w:sz="0" w:space="0" w:color="auto"/>
        <w:right w:val="none" w:sz="0" w:space="0" w:color="auto"/>
      </w:divBdr>
    </w:div>
    <w:div w:id="1440761486">
      <w:bodyDiv w:val="1"/>
      <w:marLeft w:val="0"/>
      <w:marRight w:val="0"/>
      <w:marTop w:val="0"/>
      <w:marBottom w:val="0"/>
      <w:divBdr>
        <w:top w:val="none" w:sz="0" w:space="0" w:color="auto"/>
        <w:left w:val="none" w:sz="0" w:space="0" w:color="auto"/>
        <w:bottom w:val="none" w:sz="0" w:space="0" w:color="auto"/>
        <w:right w:val="none" w:sz="0" w:space="0" w:color="auto"/>
      </w:divBdr>
    </w:div>
    <w:div w:id="1442646014">
      <w:bodyDiv w:val="1"/>
      <w:marLeft w:val="0"/>
      <w:marRight w:val="0"/>
      <w:marTop w:val="0"/>
      <w:marBottom w:val="0"/>
      <w:divBdr>
        <w:top w:val="none" w:sz="0" w:space="0" w:color="auto"/>
        <w:left w:val="none" w:sz="0" w:space="0" w:color="auto"/>
        <w:bottom w:val="none" w:sz="0" w:space="0" w:color="auto"/>
        <w:right w:val="none" w:sz="0" w:space="0" w:color="auto"/>
      </w:divBdr>
    </w:div>
    <w:div w:id="1445538611">
      <w:bodyDiv w:val="1"/>
      <w:marLeft w:val="0"/>
      <w:marRight w:val="0"/>
      <w:marTop w:val="0"/>
      <w:marBottom w:val="0"/>
      <w:divBdr>
        <w:top w:val="none" w:sz="0" w:space="0" w:color="auto"/>
        <w:left w:val="none" w:sz="0" w:space="0" w:color="auto"/>
        <w:bottom w:val="none" w:sz="0" w:space="0" w:color="auto"/>
        <w:right w:val="none" w:sz="0" w:space="0" w:color="auto"/>
      </w:divBdr>
    </w:div>
    <w:div w:id="1445611804">
      <w:bodyDiv w:val="1"/>
      <w:marLeft w:val="0"/>
      <w:marRight w:val="0"/>
      <w:marTop w:val="0"/>
      <w:marBottom w:val="0"/>
      <w:divBdr>
        <w:top w:val="none" w:sz="0" w:space="0" w:color="auto"/>
        <w:left w:val="none" w:sz="0" w:space="0" w:color="auto"/>
        <w:bottom w:val="none" w:sz="0" w:space="0" w:color="auto"/>
        <w:right w:val="none" w:sz="0" w:space="0" w:color="auto"/>
      </w:divBdr>
    </w:div>
    <w:div w:id="1447776191">
      <w:bodyDiv w:val="1"/>
      <w:marLeft w:val="0"/>
      <w:marRight w:val="0"/>
      <w:marTop w:val="0"/>
      <w:marBottom w:val="0"/>
      <w:divBdr>
        <w:top w:val="none" w:sz="0" w:space="0" w:color="auto"/>
        <w:left w:val="none" w:sz="0" w:space="0" w:color="auto"/>
        <w:bottom w:val="none" w:sz="0" w:space="0" w:color="auto"/>
        <w:right w:val="none" w:sz="0" w:space="0" w:color="auto"/>
      </w:divBdr>
    </w:div>
    <w:div w:id="1448425464">
      <w:bodyDiv w:val="1"/>
      <w:marLeft w:val="0"/>
      <w:marRight w:val="0"/>
      <w:marTop w:val="0"/>
      <w:marBottom w:val="0"/>
      <w:divBdr>
        <w:top w:val="none" w:sz="0" w:space="0" w:color="auto"/>
        <w:left w:val="none" w:sz="0" w:space="0" w:color="auto"/>
        <w:bottom w:val="none" w:sz="0" w:space="0" w:color="auto"/>
        <w:right w:val="none" w:sz="0" w:space="0" w:color="auto"/>
      </w:divBdr>
    </w:div>
    <w:div w:id="1451049702">
      <w:bodyDiv w:val="1"/>
      <w:marLeft w:val="0"/>
      <w:marRight w:val="0"/>
      <w:marTop w:val="0"/>
      <w:marBottom w:val="0"/>
      <w:divBdr>
        <w:top w:val="none" w:sz="0" w:space="0" w:color="auto"/>
        <w:left w:val="none" w:sz="0" w:space="0" w:color="auto"/>
        <w:bottom w:val="none" w:sz="0" w:space="0" w:color="auto"/>
        <w:right w:val="none" w:sz="0" w:space="0" w:color="auto"/>
      </w:divBdr>
    </w:div>
    <w:div w:id="1451627919">
      <w:bodyDiv w:val="1"/>
      <w:marLeft w:val="0"/>
      <w:marRight w:val="0"/>
      <w:marTop w:val="0"/>
      <w:marBottom w:val="0"/>
      <w:divBdr>
        <w:top w:val="none" w:sz="0" w:space="0" w:color="auto"/>
        <w:left w:val="none" w:sz="0" w:space="0" w:color="auto"/>
        <w:bottom w:val="none" w:sz="0" w:space="0" w:color="auto"/>
        <w:right w:val="none" w:sz="0" w:space="0" w:color="auto"/>
      </w:divBdr>
    </w:div>
    <w:div w:id="1462722072">
      <w:bodyDiv w:val="1"/>
      <w:marLeft w:val="0"/>
      <w:marRight w:val="0"/>
      <w:marTop w:val="0"/>
      <w:marBottom w:val="0"/>
      <w:divBdr>
        <w:top w:val="none" w:sz="0" w:space="0" w:color="auto"/>
        <w:left w:val="none" w:sz="0" w:space="0" w:color="auto"/>
        <w:bottom w:val="none" w:sz="0" w:space="0" w:color="auto"/>
        <w:right w:val="none" w:sz="0" w:space="0" w:color="auto"/>
      </w:divBdr>
    </w:div>
    <w:div w:id="1464999047">
      <w:bodyDiv w:val="1"/>
      <w:marLeft w:val="0"/>
      <w:marRight w:val="0"/>
      <w:marTop w:val="0"/>
      <w:marBottom w:val="0"/>
      <w:divBdr>
        <w:top w:val="none" w:sz="0" w:space="0" w:color="auto"/>
        <w:left w:val="none" w:sz="0" w:space="0" w:color="auto"/>
        <w:bottom w:val="none" w:sz="0" w:space="0" w:color="auto"/>
        <w:right w:val="none" w:sz="0" w:space="0" w:color="auto"/>
      </w:divBdr>
    </w:div>
    <w:div w:id="1465538760">
      <w:bodyDiv w:val="1"/>
      <w:marLeft w:val="0"/>
      <w:marRight w:val="0"/>
      <w:marTop w:val="0"/>
      <w:marBottom w:val="0"/>
      <w:divBdr>
        <w:top w:val="none" w:sz="0" w:space="0" w:color="auto"/>
        <w:left w:val="none" w:sz="0" w:space="0" w:color="auto"/>
        <w:bottom w:val="none" w:sz="0" w:space="0" w:color="auto"/>
        <w:right w:val="none" w:sz="0" w:space="0" w:color="auto"/>
      </w:divBdr>
    </w:div>
    <w:div w:id="1466116087">
      <w:bodyDiv w:val="1"/>
      <w:marLeft w:val="0"/>
      <w:marRight w:val="0"/>
      <w:marTop w:val="0"/>
      <w:marBottom w:val="0"/>
      <w:divBdr>
        <w:top w:val="none" w:sz="0" w:space="0" w:color="auto"/>
        <w:left w:val="none" w:sz="0" w:space="0" w:color="auto"/>
        <w:bottom w:val="none" w:sz="0" w:space="0" w:color="auto"/>
        <w:right w:val="none" w:sz="0" w:space="0" w:color="auto"/>
      </w:divBdr>
    </w:div>
    <w:div w:id="1469975132">
      <w:bodyDiv w:val="1"/>
      <w:marLeft w:val="0"/>
      <w:marRight w:val="0"/>
      <w:marTop w:val="0"/>
      <w:marBottom w:val="0"/>
      <w:divBdr>
        <w:top w:val="none" w:sz="0" w:space="0" w:color="auto"/>
        <w:left w:val="none" w:sz="0" w:space="0" w:color="auto"/>
        <w:bottom w:val="none" w:sz="0" w:space="0" w:color="auto"/>
        <w:right w:val="none" w:sz="0" w:space="0" w:color="auto"/>
      </w:divBdr>
    </w:div>
    <w:div w:id="1471366179">
      <w:bodyDiv w:val="1"/>
      <w:marLeft w:val="0"/>
      <w:marRight w:val="0"/>
      <w:marTop w:val="0"/>
      <w:marBottom w:val="0"/>
      <w:divBdr>
        <w:top w:val="none" w:sz="0" w:space="0" w:color="auto"/>
        <w:left w:val="none" w:sz="0" w:space="0" w:color="auto"/>
        <w:bottom w:val="none" w:sz="0" w:space="0" w:color="auto"/>
        <w:right w:val="none" w:sz="0" w:space="0" w:color="auto"/>
      </w:divBdr>
    </w:div>
    <w:div w:id="1472595382">
      <w:bodyDiv w:val="1"/>
      <w:marLeft w:val="0"/>
      <w:marRight w:val="0"/>
      <w:marTop w:val="0"/>
      <w:marBottom w:val="0"/>
      <w:divBdr>
        <w:top w:val="none" w:sz="0" w:space="0" w:color="auto"/>
        <w:left w:val="none" w:sz="0" w:space="0" w:color="auto"/>
        <w:bottom w:val="none" w:sz="0" w:space="0" w:color="auto"/>
        <w:right w:val="none" w:sz="0" w:space="0" w:color="auto"/>
      </w:divBdr>
    </w:div>
    <w:div w:id="1473255261">
      <w:bodyDiv w:val="1"/>
      <w:marLeft w:val="0"/>
      <w:marRight w:val="0"/>
      <w:marTop w:val="0"/>
      <w:marBottom w:val="0"/>
      <w:divBdr>
        <w:top w:val="none" w:sz="0" w:space="0" w:color="auto"/>
        <w:left w:val="none" w:sz="0" w:space="0" w:color="auto"/>
        <w:bottom w:val="none" w:sz="0" w:space="0" w:color="auto"/>
        <w:right w:val="none" w:sz="0" w:space="0" w:color="auto"/>
      </w:divBdr>
    </w:div>
    <w:div w:id="1473910291">
      <w:bodyDiv w:val="1"/>
      <w:marLeft w:val="0"/>
      <w:marRight w:val="0"/>
      <w:marTop w:val="0"/>
      <w:marBottom w:val="0"/>
      <w:divBdr>
        <w:top w:val="none" w:sz="0" w:space="0" w:color="auto"/>
        <w:left w:val="none" w:sz="0" w:space="0" w:color="auto"/>
        <w:bottom w:val="none" w:sz="0" w:space="0" w:color="auto"/>
        <w:right w:val="none" w:sz="0" w:space="0" w:color="auto"/>
      </w:divBdr>
    </w:div>
    <w:div w:id="1474564661">
      <w:bodyDiv w:val="1"/>
      <w:marLeft w:val="0"/>
      <w:marRight w:val="0"/>
      <w:marTop w:val="0"/>
      <w:marBottom w:val="0"/>
      <w:divBdr>
        <w:top w:val="none" w:sz="0" w:space="0" w:color="auto"/>
        <w:left w:val="none" w:sz="0" w:space="0" w:color="auto"/>
        <w:bottom w:val="none" w:sz="0" w:space="0" w:color="auto"/>
        <w:right w:val="none" w:sz="0" w:space="0" w:color="auto"/>
      </w:divBdr>
    </w:div>
    <w:div w:id="1475218111">
      <w:bodyDiv w:val="1"/>
      <w:marLeft w:val="0"/>
      <w:marRight w:val="0"/>
      <w:marTop w:val="0"/>
      <w:marBottom w:val="0"/>
      <w:divBdr>
        <w:top w:val="none" w:sz="0" w:space="0" w:color="auto"/>
        <w:left w:val="none" w:sz="0" w:space="0" w:color="auto"/>
        <w:bottom w:val="none" w:sz="0" w:space="0" w:color="auto"/>
        <w:right w:val="none" w:sz="0" w:space="0" w:color="auto"/>
      </w:divBdr>
    </w:div>
    <w:div w:id="1479767610">
      <w:bodyDiv w:val="1"/>
      <w:marLeft w:val="0"/>
      <w:marRight w:val="0"/>
      <w:marTop w:val="0"/>
      <w:marBottom w:val="0"/>
      <w:divBdr>
        <w:top w:val="none" w:sz="0" w:space="0" w:color="auto"/>
        <w:left w:val="none" w:sz="0" w:space="0" w:color="auto"/>
        <w:bottom w:val="none" w:sz="0" w:space="0" w:color="auto"/>
        <w:right w:val="none" w:sz="0" w:space="0" w:color="auto"/>
      </w:divBdr>
    </w:div>
    <w:div w:id="1481003251">
      <w:bodyDiv w:val="1"/>
      <w:marLeft w:val="0"/>
      <w:marRight w:val="0"/>
      <w:marTop w:val="0"/>
      <w:marBottom w:val="0"/>
      <w:divBdr>
        <w:top w:val="none" w:sz="0" w:space="0" w:color="auto"/>
        <w:left w:val="none" w:sz="0" w:space="0" w:color="auto"/>
        <w:bottom w:val="none" w:sz="0" w:space="0" w:color="auto"/>
        <w:right w:val="none" w:sz="0" w:space="0" w:color="auto"/>
      </w:divBdr>
    </w:div>
    <w:div w:id="1481189987">
      <w:bodyDiv w:val="1"/>
      <w:marLeft w:val="0"/>
      <w:marRight w:val="0"/>
      <w:marTop w:val="0"/>
      <w:marBottom w:val="0"/>
      <w:divBdr>
        <w:top w:val="none" w:sz="0" w:space="0" w:color="auto"/>
        <w:left w:val="none" w:sz="0" w:space="0" w:color="auto"/>
        <w:bottom w:val="none" w:sz="0" w:space="0" w:color="auto"/>
        <w:right w:val="none" w:sz="0" w:space="0" w:color="auto"/>
      </w:divBdr>
    </w:div>
    <w:div w:id="1488284877">
      <w:bodyDiv w:val="1"/>
      <w:marLeft w:val="0"/>
      <w:marRight w:val="0"/>
      <w:marTop w:val="0"/>
      <w:marBottom w:val="0"/>
      <w:divBdr>
        <w:top w:val="none" w:sz="0" w:space="0" w:color="auto"/>
        <w:left w:val="none" w:sz="0" w:space="0" w:color="auto"/>
        <w:bottom w:val="none" w:sz="0" w:space="0" w:color="auto"/>
        <w:right w:val="none" w:sz="0" w:space="0" w:color="auto"/>
      </w:divBdr>
    </w:div>
    <w:div w:id="1488785097">
      <w:bodyDiv w:val="1"/>
      <w:marLeft w:val="0"/>
      <w:marRight w:val="0"/>
      <w:marTop w:val="0"/>
      <w:marBottom w:val="0"/>
      <w:divBdr>
        <w:top w:val="none" w:sz="0" w:space="0" w:color="auto"/>
        <w:left w:val="none" w:sz="0" w:space="0" w:color="auto"/>
        <w:bottom w:val="none" w:sz="0" w:space="0" w:color="auto"/>
        <w:right w:val="none" w:sz="0" w:space="0" w:color="auto"/>
      </w:divBdr>
    </w:div>
    <w:div w:id="1490361613">
      <w:bodyDiv w:val="1"/>
      <w:marLeft w:val="0"/>
      <w:marRight w:val="0"/>
      <w:marTop w:val="0"/>
      <w:marBottom w:val="0"/>
      <w:divBdr>
        <w:top w:val="none" w:sz="0" w:space="0" w:color="auto"/>
        <w:left w:val="none" w:sz="0" w:space="0" w:color="auto"/>
        <w:bottom w:val="none" w:sz="0" w:space="0" w:color="auto"/>
        <w:right w:val="none" w:sz="0" w:space="0" w:color="auto"/>
      </w:divBdr>
    </w:div>
    <w:div w:id="1491676021">
      <w:bodyDiv w:val="1"/>
      <w:marLeft w:val="0"/>
      <w:marRight w:val="0"/>
      <w:marTop w:val="0"/>
      <w:marBottom w:val="0"/>
      <w:divBdr>
        <w:top w:val="none" w:sz="0" w:space="0" w:color="auto"/>
        <w:left w:val="none" w:sz="0" w:space="0" w:color="auto"/>
        <w:bottom w:val="none" w:sz="0" w:space="0" w:color="auto"/>
        <w:right w:val="none" w:sz="0" w:space="0" w:color="auto"/>
      </w:divBdr>
    </w:div>
    <w:div w:id="1493133019">
      <w:bodyDiv w:val="1"/>
      <w:marLeft w:val="0"/>
      <w:marRight w:val="0"/>
      <w:marTop w:val="0"/>
      <w:marBottom w:val="0"/>
      <w:divBdr>
        <w:top w:val="none" w:sz="0" w:space="0" w:color="auto"/>
        <w:left w:val="none" w:sz="0" w:space="0" w:color="auto"/>
        <w:bottom w:val="none" w:sz="0" w:space="0" w:color="auto"/>
        <w:right w:val="none" w:sz="0" w:space="0" w:color="auto"/>
      </w:divBdr>
    </w:div>
    <w:div w:id="1493447931">
      <w:bodyDiv w:val="1"/>
      <w:marLeft w:val="0"/>
      <w:marRight w:val="0"/>
      <w:marTop w:val="0"/>
      <w:marBottom w:val="0"/>
      <w:divBdr>
        <w:top w:val="none" w:sz="0" w:space="0" w:color="auto"/>
        <w:left w:val="none" w:sz="0" w:space="0" w:color="auto"/>
        <w:bottom w:val="none" w:sz="0" w:space="0" w:color="auto"/>
        <w:right w:val="none" w:sz="0" w:space="0" w:color="auto"/>
      </w:divBdr>
    </w:div>
    <w:div w:id="1495297097">
      <w:bodyDiv w:val="1"/>
      <w:marLeft w:val="0"/>
      <w:marRight w:val="0"/>
      <w:marTop w:val="0"/>
      <w:marBottom w:val="0"/>
      <w:divBdr>
        <w:top w:val="none" w:sz="0" w:space="0" w:color="auto"/>
        <w:left w:val="none" w:sz="0" w:space="0" w:color="auto"/>
        <w:bottom w:val="none" w:sz="0" w:space="0" w:color="auto"/>
        <w:right w:val="none" w:sz="0" w:space="0" w:color="auto"/>
      </w:divBdr>
    </w:div>
    <w:div w:id="1496796009">
      <w:bodyDiv w:val="1"/>
      <w:marLeft w:val="0"/>
      <w:marRight w:val="0"/>
      <w:marTop w:val="0"/>
      <w:marBottom w:val="0"/>
      <w:divBdr>
        <w:top w:val="none" w:sz="0" w:space="0" w:color="auto"/>
        <w:left w:val="none" w:sz="0" w:space="0" w:color="auto"/>
        <w:bottom w:val="none" w:sz="0" w:space="0" w:color="auto"/>
        <w:right w:val="none" w:sz="0" w:space="0" w:color="auto"/>
      </w:divBdr>
    </w:div>
    <w:div w:id="1497574120">
      <w:bodyDiv w:val="1"/>
      <w:marLeft w:val="0"/>
      <w:marRight w:val="0"/>
      <w:marTop w:val="0"/>
      <w:marBottom w:val="0"/>
      <w:divBdr>
        <w:top w:val="none" w:sz="0" w:space="0" w:color="auto"/>
        <w:left w:val="none" w:sz="0" w:space="0" w:color="auto"/>
        <w:bottom w:val="none" w:sz="0" w:space="0" w:color="auto"/>
        <w:right w:val="none" w:sz="0" w:space="0" w:color="auto"/>
      </w:divBdr>
    </w:div>
    <w:div w:id="1497769665">
      <w:bodyDiv w:val="1"/>
      <w:marLeft w:val="0"/>
      <w:marRight w:val="0"/>
      <w:marTop w:val="0"/>
      <w:marBottom w:val="0"/>
      <w:divBdr>
        <w:top w:val="none" w:sz="0" w:space="0" w:color="auto"/>
        <w:left w:val="none" w:sz="0" w:space="0" w:color="auto"/>
        <w:bottom w:val="none" w:sz="0" w:space="0" w:color="auto"/>
        <w:right w:val="none" w:sz="0" w:space="0" w:color="auto"/>
      </w:divBdr>
    </w:div>
    <w:div w:id="1498691155">
      <w:bodyDiv w:val="1"/>
      <w:marLeft w:val="0"/>
      <w:marRight w:val="0"/>
      <w:marTop w:val="0"/>
      <w:marBottom w:val="0"/>
      <w:divBdr>
        <w:top w:val="none" w:sz="0" w:space="0" w:color="auto"/>
        <w:left w:val="none" w:sz="0" w:space="0" w:color="auto"/>
        <w:bottom w:val="none" w:sz="0" w:space="0" w:color="auto"/>
        <w:right w:val="none" w:sz="0" w:space="0" w:color="auto"/>
      </w:divBdr>
    </w:div>
    <w:div w:id="1499075315">
      <w:bodyDiv w:val="1"/>
      <w:marLeft w:val="0"/>
      <w:marRight w:val="0"/>
      <w:marTop w:val="0"/>
      <w:marBottom w:val="0"/>
      <w:divBdr>
        <w:top w:val="none" w:sz="0" w:space="0" w:color="auto"/>
        <w:left w:val="none" w:sz="0" w:space="0" w:color="auto"/>
        <w:bottom w:val="none" w:sz="0" w:space="0" w:color="auto"/>
        <w:right w:val="none" w:sz="0" w:space="0" w:color="auto"/>
      </w:divBdr>
    </w:div>
    <w:div w:id="1499232004">
      <w:bodyDiv w:val="1"/>
      <w:marLeft w:val="0"/>
      <w:marRight w:val="0"/>
      <w:marTop w:val="0"/>
      <w:marBottom w:val="0"/>
      <w:divBdr>
        <w:top w:val="none" w:sz="0" w:space="0" w:color="auto"/>
        <w:left w:val="none" w:sz="0" w:space="0" w:color="auto"/>
        <w:bottom w:val="none" w:sz="0" w:space="0" w:color="auto"/>
        <w:right w:val="none" w:sz="0" w:space="0" w:color="auto"/>
      </w:divBdr>
    </w:div>
    <w:div w:id="1499803172">
      <w:bodyDiv w:val="1"/>
      <w:marLeft w:val="0"/>
      <w:marRight w:val="0"/>
      <w:marTop w:val="0"/>
      <w:marBottom w:val="0"/>
      <w:divBdr>
        <w:top w:val="none" w:sz="0" w:space="0" w:color="auto"/>
        <w:left w:val="none" w:sz="0" w:space="0" w:color="auto"/>
        <w:bottom w:val="none" w:sz="0" w:space="0" w:color="auto"/>
        <w:right w:val="none" w:sz="0" w:space="0" w:color="auto"/>
      </w:divBdr>
    </w:div>
    <w:div w:id="1504585736">
      <w:bodyDiv w:val="1"/>
      <w:marLeft w:val="0"/>
      <w:marRight w:val="0"/>
      <w:marTop w:val="0"/>
      <w:marBottom w:val="0"/>
      <w:divBdr>
        <w:top w:val="none" w:sz="0" w:space="0" w:color="auto"/>
        <w:left w:val="none" w:sz="0" w:space="0" w:color="auto"/>
        <w:bottom w:val="none" w:sz="0" w:space="0" w:color="auto"/>
        <w:right w:val="none" w:sz="0" w:space="0" w:color="auto"/>
      </w:divBdr>
    </w:div>
    <w:div w:id="1505897807">
      <w:bodyDiv w:val="1"/>
      <w:marLeft w:val="0"/>
      <w:marRight w:val="0"/>
      <w:marTop w:val="0"/>
      <w:marBottom w:val="0"/>
      <w:divBdr>
        <w:top w:val="none" w:sz="0" w:space="0" w:color="auto"/>
        <w:left w:val="none" w:sz="0" w:space="0" w:color="auto"/>
        <w:bottom w:val="none" w:sz="0" w:space="0" w:color="auto"/>
        <w:right w:val="none" w:sz="0" w:space="0" w:color="auto"/>
      </w:divBdr>
    </w:div>
    <w:div w:id="1506281500">
      <w:bodyDiv w:val="1"/>
      <w:marLeft w:val="0"/>
      <w:marRight w:val="0"/>
      <w:marTop w:val="0"/>
      <w:marBottom w:val="0"/>
      <w:divBdr>
        <w:top w:val="none" w:sz="0" w:space="0" w:color="auto"/>
        <w:left w:val="none" w:sz="0" w:space="0" w:color="auto"/>
        <w:bottom w:val="none" w:sz="0" w:space="0" w:color="auto"/>
        <w:right w:val="none" w:sz="0" w:space="0" w:color="auto"/>
      </w:divBdr>
    </w:div>
    <w:div w:id="1506287108">
      <w:bodyDiv w:val="1"/>
      <w:marLeft w:val="0"/>
      <w:marRight w:val="0"/>
      <w:marTop w:val="0"/>
      <w:marBottom w:val="0"/>
      <w:divBdr>
        <w:top w:val="none" w:sz="0" w:space="0" w:color="auto"/>
        <w:left w:val="none" w:sz="0" w:space="0" w:color="auto"/>
        <w:bottom w:val="none" w:sz="0" w:space="0" w:color="auto"/>
        <w:right w:val="none" w:sz="0" w:space="0" w:color="auto"/>
      </w:divBdr>
    </w:div>
    <w:div w:id="1510023131">
      <w:bodyDiv w:val="1"/>
      <w:marLeft w:val="0"/>
      <w:marRight w:val="0"/>
      <w:marTop w:val="0"/>
      <w:marBottom w:val="0"/>
      <w:divBdr>
        <w:top w:val="none" w:sz="0" w:space="0" w:color="auto"/>
        <w:left w:val="none" w:sz="0" w:space="0" w:color="auto"/>
        <w:bottom w:val="none" w:sz="0" w:space="0" w:color="auto"/>
        <w:right w:val="none" w:sz="0" w:space="0" w:color="auto"/>
      </w:divBdr>
    </w:div>
    <w:div w:id="1510362785">
      <w:bodyDiv w:val="1"/>
      <w:marLeft w:val="0"/>
      <w:marRight w:val="0"/>
      <w:marTop w:val="0"/>
      <w:marBottom w:val="0"/>
      <w:divBdr>
        <w:top w:val="none" w:sz="0" w:space="0" w:color="auto"/>
        <w:left w:val="none" w:sz="0" w:space="0" w:color="auto"/>
        <w:bottom w:val="none" w:sz="0" w:space="0" w:color="auto"/>
        <w:right w:val="none" w:sz="0" w:space="0" w:color="auto"/>
      </w:divBdr>
    </w:div>
    <w:div w:id="1513031245">
      <w:bodyDiv w:val="1"/>
      <w:marLeft w:val="0"/>
      <w:marRight w:val="0"/>
      <w:marTop w:val="0"/>
      <w:marBottom w:val="0"/>
      <w:divBdr>
        <w:top w:val="none" w:sz="0" w:space="0" w:color="auto"/>
        <w:left w:val="none" w:sz="0" w:space="0" w:color="auto"/>
        <w:bottom w:val="none" w:sz="0" w:space="0" w:color="auto"/>
        <w:right w:val="none" w:sz="0" w:space="0" w:color="auto"/>
      </w:divBdr>
    </w:div>
    <w:div w:id="1513447914">
      <w:bodyDiv w:val="1"/>
      <w:marLeft w:val="0"/>
      <w:marRight w:val="0"/>
      <w:marTop w:val="0"/>
      <w:marBottom w:val="0"/>
      <w:divBdr>
        <w:top w:val="none" w:sz="0" w:space="0" w:color="auto"/>
        <w:left w:val="none" w:sz="0" w:space="0" w:color="auto"/>
        <w:bottom w:val="none" w:sz="0" w:space="0" w:color="auto"/>
        <w:right w:val="none" w:sz="0" w:space="0" w:color="auto"/>
      </w:divBdr>
    </w:div>
    <w:div w:id="1513910180">
      <w:bodyDiv w:val="1"/>
      <w:marLeft w:val="0"/>
      <w:marRight w:val="0"/>
      <w:marTop w:val="0"/>
      <w:marBottom w:val="0"/>
      <w:divBdr>
        <w:top w:val="none" w:sz="0" w:space="0" w:color="auto"/>
        <w:left w:val="none" w:sz="0" w:space="0" w:color="auto"/>
        <w:bottom w:val="none" w:sz="0" w:space="0" w:color="auto"/>
        <w:right w:val="none" w:sz="0" w:space="0" w:color="auto"/>
      </w:divBdr>
    </w:div>
    <w:div w:id="1514880087">
      <w:bodyDiv w:val="1"/>
      <w:marLeft w:val="0"/>
      <w:marRight w:val="0"/>
      <w:marTop w:val="0"/>
      <w:marBottom w:val="0"/>
      <w:divBdr>
        <w:top w:val="none" w:sz="0" w:space="0" w:color="auto"/>
        <w:left w:val="none" w:sz="0" w:space="0" w:color="auto"/>
        <w:bottom w:val="none" w:sz="0" w:space="0" w:color="auto"/>
        <w:right w:val="none" w:sz="0" w:space="0" w:color="auto"/>
      </w:divBdr>
    </w:div>
    <w:div w:id="1517307669">
      <w:bodyDiv w:val="1"/>
      <w:marLeft w:val="0"/>
      <w:marRight w:val="0"/>
      <w:marTop w:val="0"/>
      <w:marBottom w:val="0"/>
      <w:divBdr>
        <w:top w:val="none" w:sz="0" w:space="0" w:color="auto"/>
        <w:left w:val="none" w:sz="0" w:space="0" w:color="auto"/>
        <w:bottom w:val="none" w:sz="0" w:space="0" w:color="auto"/>
        <w:right w:val="none" w:sz="0" w:space="0" w:color="auto"/>
      </w:divBdr>
    </w:div>
    <w:div w:id="1523014601">
      <w:bodyDiv w:val="1"/>
      <w:marLeft w:val="0"/>
      <w:marRight w:val="0"/>
      <w:marTop w:val="0"/>
      <w:marBottom w:val="0"/>
      <w:divBdr>
        <w:top w:val="none" w:sz="0" w:space="0" w:color="auto"/>
        <w:left w:val="none" w:sz="0" w:space="0" w:color="auto"/>
        <w:bottom w:val="none" w:sz="0" w:space="0" w:color="auto"/>
        <w:right w:val="none" w:sz="0" w:space="0" w:color="auto"/>
      </w:divBdr>
    </w:div>
    <w:div w:id="1523395266">
      <w:bodyDiv w:val="1"/>
      <w:marLeft w:val="0"/>
      <w:marRight w:val="0"/>
      <w:marTop w:val="0"/>
      <w:marBottom w:val="0"/>
      <w:divBdr>
        <w:top w:val="none" w:sz="0" w:space="0" w:color="auto"/>
        <w:left w:val="none" w:sz="0" w:space="0" w:color="auto"/>
        <w:bottom w:val="none" w:sz="0" w:space="0" w:color="auto"/>
        <w:right w:val="none" w:sz="0" w:space="0" w:color="auto"/>
      </w:divBdr>
    </w:div>
    <w:div w:id="1526477242">
      <w:bodyDiv w:val="1"/>
      <w:marLeft w:val="0"/>
      <w:marRight w:val="0"/>
      <w:marTop w:val="0"/>
      <w:marBottom w:val="0"/>
      <w:divBdr>
        <w:top w:val="none" w:sz="0" w:space="0" w:color="auto"/>
        <w:left w:val="none" w:sz="0" w:space="0" w:color="auto"/>
        <w:bottom w:val="none" w:sz="0" w:space="0" w:color="auto"/>
        <w:right w:val="none" w:sz="0" w:space="0" w:color="auto"/>
      </w:divBdr>
    </w:div>
    <w:div w:id="1529417794">
      <w:bodyDiv w:val="1"/>
      <w:marLeft w:val="0"/>
      <w:marRight w:val="0"/>
      <w:marTop w:val="0"/>
      <w:marBottom w:val="0"/>
      <w:divBdr>
        <w:top w:val="none" w:sz="0" w:space="0" w:color="auto"/>
        <w:left w:val="none" w:sz="0" w:space="0" w:color="auto"/>
        <w:bottom w:val="none" w:sz="0" w:space="0" w:color="auto"/>
        <w:right w:val="none" w:sz="0" w:space="0" w:color="auto"/>
      </w:divBdr>
    </w:div>
    <w:div w:id="1530952389">
      <w:bodyDiv w:val="1"/>
      <w:marLeft w:val="0"/>
      <w:marRight w:val="0"/>
      <w:marTop w:val="0"/>
      <w:marBottom w:val="0"/>
      <w:divBdr>
        <w:top w:val="none" w:sz="0" w:space="0" w:color="auto"/>
        <w:left w:val="none" w:sz="0" w:space="0" w:color="auto"/>
        <w:bottom w:val="none" w:sz="0" w:space="0" w:color="auto"/>
        <w:right w:val="none" w:sz="0" w:space="0" w:color="auto"/>
      </w:divBdr>
    </w:div>
    <w:div w:id="1532722781">
      <w:bodyDiv w:val="1"/>
      <w:marLeft w:val="0"/>
      <w:marRight w:val="0"/>
      <w:marTop w:val="0"/>
      <w:marBottom w:val="0"/>
      <w:divBdr>
        <w:top w:val="none" w:sz="0" w:space="0" w:color="auto"/>
        <w:left w:val="none" w:sz="0" w:space="0" w:color="auto"/>
        <w:bottom w:val="none" w:sz="0" w:space="0" w:color="auto"/>
        <w:right w:val="none" w:sz="0" w:space="0" w:color="auto"/>
      </w:divBdr>
    </w:div>
    <w:div w:id="1534148540">
      <w:bodyDiv w:val="1"/>
      <w:marLeft w:val="0"/>
      <w:marRight w:val="0"/>
      <w:marTop w:val="0"/>
      <w:marBottom w:val="0"/>
      <w:divBdr>
        <w:top w:val="none" w:sz="0" w:space="0" w:color="auto"/>
        <w:left w:val="none" w:sz="0" w:space="0" w:color="auto"/>
        <w:bottom w:val="none" w:sz="0" w:space="0" w:color="auto"/>
        <w:right w:val="none" w:sz="0" w:space="0" w:color="auto"/>
      </w:divBdr>
    </w:div>
    <w:div w:id="1534415223">
      <w:bodyDiv w:val="1"/>
      <w:marLeft w:val="0"/>
      <w:marRight w:val="0"/>
      <w:marTop w:val="0"/>
      <w:marBottom w:val="0"/>
      <w:divBdr>
        <w:top w:val="none" w:sz="0" w:space="0" w:color="auto"/>
        <w:left w:val="none" w:sz="0" w:space="0" w:color="auto"/>
        <w:bottom w:val="none" w:sz="0" w:space="0" w:color="auto"/>
        <w:right w:val="none" w:sz="0" w:space="0" w:color="auto"/>
      </w:divBdr>
    </w:div>
    <w:div w:id="1535265554">
      <w:bodyDiv w:val="1"/>
      <w:marLeft w:val="0"/>
      <w:marRight w:val="0"/>
      <w:marTop w:val="0"/>
      <w:marBottom w:val="0"/>
      <w:divBdr>
        <w:top w:val="none" w:sz="0" w:space="0" w:color="auto"/>
        <w:left w:val="none" w:sz="0" w:space="0" w:color="auto"/>
        <w:bottom w:val="none" w:sz="0" w:space="0" w:color="auto"/>
        <w:right w:val="none" w:sz="0" w:space="0" w:color="auto"/>
      </w:divBdr>
    </w:div>
    <w:div w:id="1535843055">
      <w:bodyDiv w:val="1"/>
      <w:marLeft w:val="0"/>
      <w:marRight w:val="0"/>
      <w:marTop w:val="0"/>
      <w:marBottom w:val="0"/>
      <w:divBdr>
        <w:top w:val="none" w:sz="0" w:space="0" w:color="auto"/>
        <w:left w:val="none" w:sz="0" w:space="0" w:color="auto"/>
        <w:bottom w:val="none" w:sz="0" w:space="0" w:color="auto"/>
        <w:right w:val="none" w:sz="0" w:space="0" w:color="auto"/>
      </w:divBdr>
    </w:div>
    <w:div w:id="1537698294">
      <w:bodyDiv w:val="1"/>
      <w:marLeft w:val="0"/>
      <w:marRight w:val="0"/>
      <w:marTop w:val="0"/>
      <w:marBottom w:val="0"/>
      <w:divBdr>
        <w:top w:val="none" w:sz="0" w:space="0" w:color="auto"/>
        <w:left w:val="none" w:sz="0" w:space="0" w:color="auto"/>
        <w:bottom w:val="none" w:sz="0" w:space="0" w:color="auto"/>
        <w:right w:val="none" w:sz="0" w:space="0" w:color="auto"/>
      </w:divBdr>
    </w:div>
    <w:div w:id="1538347889">
      <w:bodyDiv w:val="1"/>
      <w:marLeft w:val="0"/>
      <w:marRight w:val="0"/>
      <w:marTop w:val="0"/>
      <w:marBottom w:val="0"/>
      <w:divBdr>
        <w:top w:val="none" w:sz="0" w:space="0" w:color="auto"/>
        <w:left w:val="none" w:sz="0" w:space="0" w:color="auto"/>
        <w:bottom w:val="none" w:sz="0" w:space="0" w:color="auto"/>
        <w:right w:val="none" w:sz="0" w:space="0" w:color="auto"/>
      </w:divBdr>
    </w:div>
    <w:div w:id="1539128557">
      <w:bodyDiv w:val="1"/>
      <w:marLeft w:val="0"/>
      <w:marRight w:val="0"/>
      <w:marTop w:val="0"/>
      <w:marBottom w:val="0"/>
      <w:divBdr>
        <w:top w:val="none" w:sz="0" w:space="0" w:color="auto"/>
        <w:left w:val="none" w:sz="0" w:space="0" w:color="auto"/>
        <w:bottom w:val="none" w:sz="0" w:space="0" w:color="auto"/>
        <w:right w:val="none" w:sz="0" w:space="0" w:color="auto"/>
      </w:divBdr>
    </w:div>
    <w:div w:id="1539397182">
      <w:bodyDiv w:val="1"/>
      <w:marLeft w:val="0"/>
      <w:marRight w:val="0"/>
      <w:marTop w:val="0"/>
      <w:marBottom w:val="0"/>
      <w:divBdr>
        <w:top w:val="none" w:sz="0" w:space="0" w:color="auto"/>
        <w:left w:val="none" w:sz="0" w:space="0" w:color="auto"/>
        <w:bottom w:val="none" w:sz="0" w:space="0" w:color="auto"/>
        <w:right w:val="none" w:sz="0" w:space="0" w:color="auto"/>
      </w:divBdr>
    </w:div>
    <w:div w:id="1543129453">
      <w:bodyDiv w:val="1"/>
      <w:marLeft w:val="0"/>
      <w:marRight w:val="0"/>
      <w:marTop w:val="0"/>
      <w:marBottom w:val="0"/>
      <w:divBdr>
        <w:top w:val="none" w:sz="0" w:space="0" w:color="auto"/>
        <w:left w:val="none" w:sz="0" w:space="0" w:color="auto"/>
        <w:bottom w:val="none" w:sz="0" w:space="0" w:color="auto"/>
        <w:right w:val="none" w:sz="0" w:space="0" w:color="auto"/>
      </w:divBdr>
    </w:div>
    <w:div w:id="1543708235">
      <w:bodyDiv w:val="1"/>
      <w:marLeft w:val="0"/>
      <w:marRight w:val="0"/>
      <w:marTop w:val="0"/>
      <w:marBottom w:val="0"/>
      <w:divBdr>
        <w:top w:val="none" w:sz="0" w:space="0" w:color="auto"/>
        <w:left w:val="none" w:sz="0" w:space="0" w:color="auto"/>
        <w:bottom w:val="none" w:sz="0" w:space="0" w:color="auto"/>
        <w:right w:val="none" w:sz="0" w:space="0" w:color="auto"/>
      </w:divBdr>
    </w:div>
    <w:div w:id="1545096952">
      <w:bodyDiv w:val="1"/>
      <w:marLeft w:val="0"/>
      <w:marRight w:val="0"/>
      <w:marTop w:val="0"/>
      <w:marBottom w:val="0"/>
      <w:divBdr>
        <w:top w:val="none" w:sz="0" w:space="0" w:color="auto"/>
        <w:left w:val="none" w:sz="0" w:space="0" w:color="auto"/>
        <w:bottom w:val="none" w:sz="0" w:space="0" w:color="auto"/>
        <w:right w:val="none" w:sz="0" w:space="0" w:color="auto"/>
      </w:divBdr>
    </w:div>
    <w:div w:id="1545410841">
      <w:bodyDiv w:val="1"/>
      <w:marLeft w:val="0"/>
      <w:marRight w:val="0"/>
      <w:marTop w:val="0"/>
      <w:marBottom w:val="0"/>
      <w:divBdr>
        <w:top w:val="none" w:sz="0" w:space="0" w:color="auto"/>
        <w:left w:val="none" w:sz="0" w:space="0" w:color="auto"/>
        <w:bottom w:val="none" w:sz="0" w:space="0" w:color="auto"/>
        <w:right w:val="none" w:sz="0" w:space="0" w:color="auto"/>
      </w:divBdr>
    </w:div>
    <w:div w:id="1548102989">
      <w:bodyDiv w:val="1"/>
      <w:marLeft w:val="0"/>
      <w:marRight w:val="0"/>
      <w:marTop w:val="0"/>
      <w:marBottom w:val="0"/>
      <w:divBdr>
        <w:top w:val="none" w:sz="0" w:space="0" w:color="auto"/>
        <w:left w:val="none" w:sz="0" w:space="0" w:color="auto"/>
        <w:bottom w:val="none" w:sz="0" w:space="0" w:color="auto"/>
        <w:right w:val="none" w:sz="0" w:space="0" w:color="auto"/>
      </w:divBdr>
    </w:div>
    <w:div w:id="1549099802">
      <w:bodyDiv w:val="1"/>
      <w:marLeft w:val="0"/>
      <w:marRight w:val="0"/>
      <w:marTop w:val="0"/>
      <w:marBottom w:val="0"/>
      <w:divBdr>
        <w:top w:val="none" w:sz="0" w:space="0" w:color="auto"/>
        <w:left w:val="none" w:sz="0" w:space="0" w:color="auto"/>
        <w:bottom w:val="none" w:sz="0" w:space="0" w:color="auto"/>
        <w:right w:val="none" w:sz="0" w:space="0" w:color="auto"/>
      </w:divBdr>
    </w:div>
    <w:div w:id="1549293112">
      <w:bodyDiv w:val="1"/>
      <w:marLeft w:val="0"/>
      <w:marRight w:val="0"/>
      <w:marTop w:val="0"/>
      <w:marBottom w:val="0"/>
      <w:divBdr>
        <w:top w:val="none" w:sz="0" w:space="0" w:color="auto"/>
        <w:left w:val="none" w:sz="0" w:space="0" w:color="auto"/>
        <w:bottom w:val="none" w:sz="0" w:space="0" w:color="auto"/>
        <w:right w:val="none" w:sz="0" w:space="0" w:color="auto"/>
      </w:divBdr>
    </w:div>
    <w:div w:id="1550416050">
      <w:bodyDiv w:val="1"/>
      <w:marLeft w:val="0"/>
      <w:marRight w:val="0"/>
      <w:marTop w:val="0"/>
      <w:marBottom w:val="0"/>
      <w:divBdr>
        <w:top w:val="none" w:sz="0" w:space="0" w:color="auto"/>
        <w:left w:val="none" w:sz="0" w:space="0" w:color="auto"/>
        <w:bottom w:val="none" w:sz="0" w:space="0" w:color="auto"/>
        <w:right w:val="none" w:sz="0" w:space="0" w:color="auto"/>
      </w:divBdr>
    </w:div>
    <w:div w:id="1550798757">
      <w:bodyDiv w:val="1"/>
      <w:marLeft w:val="0"/>
      <w:marRight w:val="0"/>
      <w:marTop w:val="0"/>
      <w:marBottom w:val="0"/>
      <w:divBdr>
        <w:top w:val="none" w:sz="0" w:space="0" w:color="auto"/>
        <w:left w:val="none" w:sz="0" w:space="0" w:color="auto"/>
        <w:bottom w:val="none" w:sz="0" w:space="0" w:color="auto"/>
        <w:right w:val="none" w:sz="0" w:space="0" w:color="auto"/>
      </w:divBdr>
    </w:div>
    <w:div w:id="1551725696">
      <w:bodyDiv w:val="1"/>
      <w:marLeft w:val="0"/>
      <w:marRight w:val="0"/>
      <w:marTop w:val="0"/>
      <w:marBottom w:val="0"/>
      <w:divBdr>
        <w:top w:val="none" w:sz="0" w:space="0" w:color="auto"/>
        <w:left w:val="none" w:sz="0" w:space="0" w:color="auto"/>
        <w:bottom w:val="none" w:sz="0" w:space="0" w:color="auto"/>
        <w:right w:val="none" w:sz="0" w:space="0" w:color="auto"/>
      </w:divBdr>
    </w:div>
    <w:div w:id="1558278353">
      <w:bodyDiv w:val="1"/>
      <w:marLeft w:val="0"/>
      <w:marRight w:val="0"/>
      <w:marTop w:val="0"/>
      <w:marBottom w:val="0"/>
      <w:divBdr>
        <w:top w:val="none" w:sz="0" w:space="0" w:color="auto"/>
        <w:left w:val="none" w:sz="0" w:space="0" w:color="auto"/>
        <w:bottom w:val="none" w:sz="0" w:space="0" w:color="auto"/>
        <w:right w:val="none" w:sz="0" w:space="0" w:color="auto"/>
      </w:divBdr>
    </w:div>
    <w:div w:id="1564678164">
      <w:bodyDiv w:val="1"/>
      <w:marLeft w:val="0"/>
      <w:marRight w:val="0"/>
      <w:marTop w:val="0"/>
      <w:marBottom w:val="0"/>
      <w:divBdr>
        <w:top w:val="none" w:sz="0" w:space="0" w:color="auto"/>
        <w:left w:val="none" w:sz="0" w:space="0" w:color="auto"/>
        <w:bottom w:val="none" w:sz="0" w:space="0" w:color="auto"/>
        <w:right w:val="none" w:sz="0" w:space="0" w:color="auto"/>
      </w:divBdr>
    </w:div>
    <w:div w:id="1565799140">
      <w:bodyDiv w:val="1"/>
      <w:marLeft w:val="0"/>
      <w:marRight w:val="0"/>
      <w:marTop w:val="0"/>
      <w:marBottom w:val="0"/>
      <w:divBdr>
        <w:top w:val="none" w:sz="0" w:space="0" w:color="auto"/>
        <w:left w:val="none" w:sz="0" w:space="0" w:color="auto"/>
        <w:bottom w:val="none" w:sz="0" w:space="0" w:color="auto"/>
        <w:right w:val="none" w:sz="0" w:space="0" w:color="auto"/>
      </w:divBdr>
    </w:div>
    <w:div w:id="1567569249">
      <w:bodyDiv w:val="1"/>
      <w:marLeft w:val="0"/>
      <w:marRight w:val="0"/>
      <w:marTop w:val="0"/>
      <w:marBottom w:val="0"/>
      <w:divBdr>
        <w:top w:val="none" w:sz="0" w:space="0" w:color="auto"/>
        <w:left w:val="none" w:sz="0" w:space="0" w:color="auto"/>
        <w:bottom w:val="none" w:sz="0" w:space="0" w:color="auto"/>
        <w:right w:val="none" w:sz="0" w:space="0" w:color="auto"/>
      </w:divBdr>
    </w:div>
    <w:div w:id="1569195127">
      <w:bodyDiv w:val="1"/>
      <w:marLeft w:val="0"/>
      <w:marRight w:val="0"/>
      <w:marTop w:val="0"/>
      <w:marBottom w:val="0"/>
      <w:divBdr>
        <w:top w:val="none" w:sz="0" w:space="0" w:color="auto"/>
        <w:left w:val="none" w:sz="0" w:space="0" w:color="auto"/>
        <w:bottom w:val="none" w:sz="0" w:space="0" w:color="auto"/>
        <w:right w:val="none" w:sz="0" w:space="0" w:color="auto"/>
      </w:divBdr>
    </w:div>
    <w:div w:id="1569877933">
      <w:bodyDiv w:val="1"/>
      <w:marLeft w:val="0"/>
      <w:marRight w:val="0"/>
      <w:marTop w:val="0"/>
      <w:marBottom w:val="0"/>
      <w:divBdr>
        <w:top w:val="none" w:sz="0" w:space="0" w:color="auto"/>
        <w:left w:val="none" w:sz="0" w:space="0" w:color="auto"/>
        <w:bottom w:val="none" w:sz="0" w:space="0" w:color="auto"/>
        <w:right w:val="none" w:sz="0" w:space="0" w:color="auto"/>
      </w:divBdr>
    </w:div>
    <w:div w:id="1570068142">
      <w:bodyDiv w:val="1"/>
      <w:marLeft w:val="0"/>
      <w:marRight w:val="0"/>
      <w:marTop w:val="0"/>
      <w:marBottom w:val="0"/>
      <w:divBdr>
        <w:top w:val="none" w:sz="0" w:space="0" w:color="auto"/>
        <w:left w:val="none" w:sz="0" w:space="0" w:color="auto"/>
        <w:bottom w:val="none" w:sz="0" w:space="0" w:color="auto"/>
        <w:right w:val="none" w:sz="0" w:space="0" w:color="auto"/>
      </w:divBdr>
    </w:div>
    <w:div w:id="1571577063">
      <w:bodyDiv w:val="1"/>
      <w:marLeft w:val="0"/>
      <w:marRight w:val="0"/>
      <w:marTop w:val="0"/>
      <w:marBottom w:val="0"/>
      <w:divBdr>
        <w:top w:val="none" w:sz="0" w:space="0" w:color="auto"/>
        <w:left w:val="none" w:sz="0" w:space="0" w:color="auto"/>
        <w:bottom w:val="none" w:sz="0" w:space="0" w:color="auto"/>
        <w:right w:val="none" w:sz="0" w:space="0" w:color="auto"/>
      </w:divBdr>
    </w:div>
    <w:div w:id="1573617249">
      <w:bodyDiv w:val="1"/>
      <w:marLeft w:val="0"/>
      <w:marRight w:val="0"/>
      <w:marTop w:val="0"/>
      <w:marBottom w:val="0"/>
      <w:divBdr>
        <w:top w:val="none" w:sz="0" w:space="0" w:color="auto"/>
        <w:left w:val="none" w:sz="0" w:space="0" w:color="auto"/>
        <w:bottom w:val="none" w:sz="0" w:space="0" w:color="auto"/>
        <w:right w:val="none" w:sz="0" w:space="0" w:color="auto"/>
      </w:divBdr>
    </w:div>
    <w:div w:id="1573812952">
      <w:bodyDiv w:val="1"/>
      <w:marLeft w:val="0"/>
      <w:marRight w:val="0"/>
      <w:marTop w:val="0"/>
      <w:marBottom w:val="0"/>
      <w:divBdr>
        <w:top w:val="none" w:sz="0" w:space="0" w:color="auto"/>
        <w:left w:val="none" w:sz="0" w:space="0" w:color="auto"/>
        <w:bottom w:val="none" w:sz="0" w:space="0" w:color="auto"/>
        <w:right w:val="none" w:sz="0" w:space="0" w:color="auto"/>
      </w:divBdr>
    </w:div>
    <w:div w:id="1573857118">
      <w:bodyDiv w:val="1"/>
      <w:marLeft w:val="0"/>
      <w:marRight w:val="0"/>
      <w:marTop w:val="0"/>
      <w:marBottom w:val="0"/>
      <w:divBdr>
        <w:top w:val="none" w:sz="0" w:space="0" w:color="auto"/>
        <w:left w:val="none" w:sz="0" w:space="0" w:color="auto"/>
        <w:bottom w:val="none" w:sz="0" w:space="0" w:color="auto"/>
        <w:right w:val="none" w:sz="0" w:space="0" w:color="auto"/>
      </w:divBdr>
    </w:div>
    <w:div w:id="1576938140">
      <w:bodyDiv w:val="1"/>
      <w:marLeft w:val="0"/>
      <w:marRight w:val="0"/>
      <w:marTop w:val="0"/>
      <w:marBottom w:val="0"/>
      <w:divBdr>
        <w:top w:val="none" w:sz="0" w:space="0" w:color="auto"/>
        <w:left w:val="none" w:sz="0" w:space="0" w:color="auto"/>
        <w:bottom w:val="none" w:sz="0" w:space="0" w:color="auto"/>
        <w:right w:val="none" w:sz="0" w:space="0" w:color="auto"/>
      </w:divBdr>
    </w:div>
    <w:div w:id="1577863445">
      <w:bodyDiv w:val="1"/>
      <w:marLeft w:val="0"/>
      <w:marRight w:val="0"/>
      <w:marTop w:val="0"/>
      <w:marBottom w:val="0"/>
      <w:divBdr>
        <w:top w:val="none" w:sz="0" w:space="0" w:color="auto"/>
        <w:left w:val="none" w:sz="0" w:space="0" w:color="auto"/>
        <w:bottom w:val="none" w:sz="0" w:space="0" w:color="auto"/>
        <w:right w:val="none" w:sz="0" w:space="0" w:color="auto"/>
      </w:divBdr>
    </w:div>
    <w:div w:id="1579711669">
      <w:bodyDiv w:val="1"/>
      <w:marLeft w:val="0"/>
      <w:marRight w:val="0"/>
      <w:marTop w:val="0"/>
      <w:marBottom w:val="0"/>
      <w:divBdr>
        <w:top w:val="none" w:sz="0" w:space="0" w:color="auto"/>
        <w:left w:val="none" w:sz="0" w:space="0" w:color="auto"/>
        <w:bottom w:val="none" w:sz="0" w:space="0" w:color="auto"/>
        <w:right w:val="none" w:sz="0" w:space="0" w:color="auto"/>
      </w:divBdr>
    </w:div>
    <w:div w:id="1583296300">
      <w:bodyDiv w:val="1"/>
      <w:marLeft w:val="0"/>
      <w:marRight w:val="0"/>
      <w:marTop w:val="0"/>
      <w:marBottom w:val="0"/>
      <w:divBdr>
        <w:top w:val="none" w:sz="0" w:space="0" w:color="auto"/>
        <w:left w:val="none" w:sz="0" w:space="0" w:color="auto"/>
        <w:bottom w:val="none" w:sz="0" w:space="0" w:color="auto"/>
        <w:right w:val="none" w:sz="0" w:space="0" w:color="auto"/>
      </w:divBdr>
    </w:div>
    <w:div w:id="1585217246">
      <w:bodyDiv w:val="1"/>
      <w:marLeft w:val="0"/>
      <w:marRight w:val="0"/>
      <w:marTop w:val="0"/>
      <w:marBottom w:val="0"/>
      <w:divBdr>
        <w:top w:val="none" w:sz="0" w:space="0" w:color="auto"/>
        <w:left w:val="none" w:sz="0" w:space="0" w:color="auto"/>
        <w:bottom w:val="none" w:sz="0" w:space="0" w:color="auto"/>
        <w:right w:val="none" w:sz="0" w:space="0" w:color="auto"/>
      </w:divBdr>
    </w:div>
    <w:div w:id="1587232271">
      <w:bodyDiv w:val="1"/>
      <w:marLeft w:val="0"/>
      <w:marRight w:val="0"/>
      <w:marTop w:val="0"/>
      <w:marBottom w:val="0"/>
      <w:divBdr>
        <w:top w:val="none" w:sz="0" w:space="0" w:color="auto"/>
        <w:left w:val="none" w:sz="0" w:space="0" w:color="auto"/>
        <w:bottom w:val="none" w:sz="0" w:space="0" w:color="auto"/>
        <w:right w:val="none" w:sz="0" w:space="0" w:color="auto"/>
      </w:divBdr>
    </w:div>
    <w:div w:id="1588003682">
      <w:bodyDiv w:val="1"/>
      <w:marLeft w:val="0"/>
      <w:marRight w:val="0"/>
      <w:marTop w:val="0"/>
      <w:marBottom w:val="0"/>
      <w:divBdr>
        <w:top w:val="none" w:sz="0" w:space="0" w:color="auto"/>
        <w:left w:val="none" w:sz="0" w:space="0" w:color="auto"/>
        <w:bottom w:val="none" w:sz="0" w:space="0" w:color="auto"/>
        <w:right w:val="none" w:sz="0" w:space="0" w:color="auto"/>
      </w:divBdr>
    </w:div>
    <w:div w:id="1588223092">
      <w:bodyDiv w:val="1"/>
      <w:marLeft w:val="0"/>
      <w:marRight w:val="0"/>
      <w:marTop w:val="0"/>
      <w:marBottom w:val="0"/>
      <w:divBdr>
        <w:top w:val="none" w:sz="0" w:space="0" w:color="auto"/>
        <w:left w:val="none" w:sz="0" w:space="0" w:color="auto"/>
        <w:bottom w:val="none" w:sz="0" w:space="0" w:color="auto"/>
        <w:right w:val="none" w:sz="0" w:space="0" w:color="auto"/>
      </w:divBdr>
    </w:div>
    <w:div w:id="1589726095">
      <w:bodyDiv w:val="1"/>
      <w:marLeft w:val="0"/>
      <w:marRight w:val="0"/>
      <w:marTop w:val="0"/>
      <w:marBottom w:val="0"/>
      <w:divBdr>
        <w:top w:val="none" w:sz="0" w:space="0" w:color="auto"/>
        <w:left w:val="none" w:sz="0" w:space="0" w:color="auto"/>
        <w:bottom w:val="none" w:sz="0" w:space="0" w:color="auto"/>
        <w:right w:val="none" w:sz="0" w:space="0" w:color="auto"/>
      </w:divBdr>
    </w:div>
    <w:div w:id="1592153758">
      <w:bodyDiv w:val="1"/>
      <w:marLeft w:val="0"/>
      <w:marRight w:val="0"/>
      <w:marTop w:val="0"/>
      <w:marBottom w:val="0"/>
      <w:divBdr>
        <w:top w:val="none" w:sz="0" w:space="0" w:color="auto"/>
        <w:left w:val="none" w:sz="0" w:space="0" w:color="auto"/>
        <w:bottom w:val="none" w:sz="0" w:space="0" w:color="auto"/>
        <w:right w:val="none" w:sz="0" w:space="0" w:color="auto"/>
      </w:divBdr>
    </w:div>
    <w:div w:id="1593052037">
      <w:bodyDiv w:val="1"/>
      <w:marLeft w:val="0"/>
      <w:marRight w:val="0"/>
      <w:marTop w:val="0"/>
      <w:marBottom w:val="0"/>
      <w:divBdr>
        <w:top w:val="none" w:sz="0" w:space="0" w:color="auto"/>
        <w:left w:val="none" w:sz="0" w:space="0" w:color="auto"/>
        <w:bottom w:val="none" w:sz="0" w:space="0" w:color="auto"/>
        <w:right w:val="none" w:sz="0" w:space="0" w:color="auto"/>
      </w:divBdr>
    </w:div>
    <w:div w:id="1593315250">
      <w:bodyDiv w:val="1"/>
      <w:marLeft w:val="0"/>
      <w:marRight w:val="0"/>
      <w:marTop w:val="0"/>
      <w:marBottom w:val="0"/>
      <w:divBdr>
        <w:top w:val="none" w:sz="0" w:space="0" w:color="auto"/>
        <w:left w:val="none" w:sz="0" w:space="0" w:color="auto"/>
        <w:bottom w:val="none" w:sz="0" w:space="0" w:color="auto"/>
        <w:right w:val="none" w:sz="0" w:space="0" w:color="auto"/>
      </w:divBdr>
    </w:div>
    <w:div w:id="1595361234">
      <w:bodyDiv w:val="1"/>
      <w:marLeft w:val="0"/>
      <w:marRight w:val="0"/>
      <w:marTop w:val="0"/>
      <w:marBottom w:val="0"/>
      <w:divBdr>
        <w:top w:val="none" w:sz="0" w:space="0" w:color="auto"/>
        <w:left w:val="none" w:sz="0" w:space="0" w:color="auto"/>
        <w:bottom w:val="none" w:sz="0" w:space="0" w:color="auto"/>
        <w:right w:val="none" w:sz="0" w:space="0" w:color="auto"/>
      </w:divBdr>
    </w:div>
    <w:div w:id="1595936729">
      <w:bodyDiv w:val="1"/>
      <w:marLeft w:val="0"/>
      <w:marRight w:val="0"/>
      <w:marTop w:val="0"/>
      <w:marBottom w:val="0"/>
      <w:divBdr>
        <w:top w:val="none" w:sz="0" w:space="0" w:color="auto"/>
        <w:left w:val="none" w:sz="0" w:space="0" w:color="auto"/>
        <w:bottom w:val="none" w:sz="0" w:space="0" w:color="auto"/>
        <w:right w:val="none" w:sz="0" w:space="0" w:color="auto"/>
      </w:divBdr>
    </w:div>
    <w:div w:id="1596477726">
      <w:bodyDiv w:val="1"/>
      <w:marLeft w:val="0"/>
      <w:marRight w:val="0"/>
      <w:marTop w:val="0"/>
      <w:marBottom w:val="0"/>
      <w:divBdr>
        <w:top w:val="none" w:sz="0" w:space="0" w:color="auto"/>
        <w:left w:val="none" w:sz="0" w:space="0" w:color="auto"/>
        <w:bottom w:val="none" w:sz="0" w:space="0" w:color="auto"/>
        <w:right w:val="none" w:sz="0" w:space="0" w:color="auto"/>
      </w:divBdr>
    </w:div>
    <w:div w:id="1596596452">
      <w:bodyDiv w:val="1"/>
      <w:marLeft w:val="0"/>
      <w:marRight w:val="0"/>
      <w:marTop w:val="0"/>
      <w:marBottom w:val="0"/>
      <w:divBdr>
        <w:top w:val="none" w:sz="0" w:space="0" w:color="auto"/>
        <w:left w:val="none" w:sz="0" w:space="0" w:color="auto"/>
        <w:bottom w:val="none" w:sz="0" w:space="0" w:color="auto"/>
        <w:right w:val="none" w:sz="0" w:space="0" w:color="auto"/>
      </w:divBdr>
    </w:div>
    <w:div w:id="1608272063">
      <w:bodyDiv w:val="1"/>
      <w:marLeft w:val="0"/>
      <w:marRight w:val="0"/>
      <w:marTop w:val="0"/>
      <w:marBottom w:val="0"/>
      <w:divBdr>
        <w:top w:val="none" w:sz="0" w:space="0" w:color="auto"/>
        <w:left w:val="none" w:sz="0" w:space="0" w:color="auto"/>
        <w:bottom w:val="none" w:sz="0" w:space="0" w:color="auto"/>
        <w:right w:val="none" w:sz="0" w:space="0" w:color="auto"/>
      </w:divBdr>
    </w:div>
    <w:div w:id="1610163181">
      <w:bodyDiv w:val="1"/>
      <w:marLeft w:val="0"/>
      <w:marRight w:val="0"/>
      <w:marTop w:val="0"/>
      <w:marBottom w:val="0"/>
      <w:divBdr>
        <w:top w:val="none" w:sz="0" w:space="0" w:color="auto"/>
        <w:left w:val="none" w:sz="0" w:space="0" w:color="auto"/>
        <w:bottom w:val="none" w:sz="0" w:space="0" w:color="auto"/>
        <w:right w:val="none" w:sz="0" w:space="0" w:color="auto"/>
      </w:divBdr>
    </w:div>
    <w:div w:id="1610746042">
      <w:bodyDiv w:val="1"/>
      <w:marLeft w:val="0"/>
      <w:marRight w:val="0"/>
      <w:marTop w:val="0"/>
      <w:marBottom w:val="0"/>
      <w:divBdr>
        <w:top w:val="none" w:sz="0" w:space="0" w:color="auto"/>
        <w:left w:val="none" w:sz="0" w:space="0" w:color="auto"/>
        <w:bottom w:val="none" w:sz="0" w:space="0" w:color="auto"/>
        <w:right w:val="none" w:sz="0" w:space="0" w:color="auto"/>
      </w:divBdr>
    </w:div>
    <w:div w:id="1613631301">
      <w:bodyDiv w:val="1"/>
      <w:marLeft w:val="0"/>
      <w:marRight w:val="0"/>
      <w:marTop w:val="0"/>
      <w:marBottom w:val="0"/>
      <w:divBdr>
        <w:top w:val="none" w:sz="0" w:space="0" w:color="auto"/>
        <w:left w:val="none" w:sz="0" w:space="0" w:color="auto"/>
        <w:bottom w:val="none" w:sz="0" w:space="0" w:color="auto"/>
        <w:right w:val="none" w:sz="0" w:space="0" w:color="auto"/>
      </w:divBdr>
    </w:div>
    <w:div w:id="1615089025">
      <w:bodyDiv w:val="1"/>
      <w:marLeft w:val="0"/>
      <w:marRight w:val="0"/>
      <w:marTop w:val="0"/>
      <w:marBottom w:val="0"/>
      <w:divBdr>
        <w:top w:val="none" w:sz="0" w:space="0" w:color="auto"/>
        <w:left w:val="none" w:sz="0" w:space="0" w:color="auto"/>
        <w:bottom w:val="none" w:sz="0" w:space="0" w:color="auto"/>
        <w:right w:val="none" w:sz="0" w:space="0" w:color="auto"/>
      </w:divBdr>
    </w:div>
    <w:div w:id="1615281315">
      <w:bodyDiv w:val="1"/>
      <w:marLeft w:val="0"/>
      <w:marRight w:val="0"/>
      <w:marTop w:val="0"/>
      <w:marBottom w:val="0"/>
      <w:divBdr>
        <w:top w:val="none" w:sz="0" w:space="0" w:color="auto"/>
        <w:left w:val="none" w:sz="0" w:space="0" w:color="auto"/>
        <w:bottom w:val="none" w:sz="0" w:space="0" w:color="auto"/>
        <w:right w:val="none" w:sz="0" w:space="0" w:color="auto"/>
      </w:divBdr>
    </w:div>
    <w:div w:id="1615285930">
      <w:bodyDiv w:val="1"/>
      <w:marLeft w:val="0"/>
      <w:marRight w:val="0"/>
      <w:marTop w:val="0"/>
      <w:marBottom w:val="0"/>
      <w:divBdr>
        <w:top w:val="none" w:sz="0" w:space="0" w:color="auto"/>
        <w:left w:val="none" w:sz="0" w:space="0" w:color="auto"/>
        <w:bottom w:val="none" w:sz="0" w:space="0" w:color="auto"/>
        <w:right w:val="none" w:sz="0" w:space="0" w:color="auto"/>
      </w:divBdr>
    </w:div>
    <w:div w:id="1616405314">
      <w:bodyDiv w:val="1"/>
      <w:marLeft w:val="0"/>
      <w:marRight w:val="0"/>
      <w:marTop w:val="0"/>
      <w:marBottom w:val="0"/>
      <w:divBdr>
        <w:top w:val="none" w:sz="0" w:space="0" w:color="auto"/>
        <w:left w:val="none" w:sz="0" w:space="0" w:color="auto"/>
        <w:bottom w:val="none" w:sz="0" w:space="0" w:color="auto"/>
        <w:right w:val="none" w:sz="0" w:space="0" w:color="auto"/>
      </w:divBdr>
    </w:div>
    <w:div w:id="1617441644">
      <w:bodyDiv w:val="1"/>
      <w:marLeft w:val="0"/>
      <w:marRight w:val="0"/>
      <w:marTop w:val="0"/>
      <w:marBottom w:val="0"/>
      <w:divBdr>
        <w:top w:val="none" w:sz="0" w:space="0" w:color="auto"/>
        <w:left w:val="none" w:sz="0" w:space="0" w:color="auto"/>
        <w:bottom w:val="none" w:sz="0" w:space="0" w:color="auto"/>
        <w:right w:val="none" w:sz="0" w:space="0" w:color="auto"/>
      </w:divBdr>
    </w:div>
    <w:div w:id="1620451162">
      <w:bodyDiv w:val="1"/>
      <w:marLeft w:val="0"/>
      <w:marRight w:val="0"/>
      <w:marTop w:val="0"/>
      <w:marBottom w:val="0"/>
      <w:divBdr>
        <w:top w:val="none" w:sz="0" w:space="0" w:color="auto"/>
        <w:left w:val="none" w:sz="0" w:space="0" w:color="auto"/>
        <w:bottom w:val="none" w:sz="0" w:space="0" w:color="auto"/>
        <w:right w:val="none" w:sz="0" w:space="0" w:color="auto"/>
      </w:divBdr>
    </w:div>
    <w:div w:id="1622028781">
      <w:bodyDiv w:val="1"/>
      <w:marLeft w:val="0"/>
      <w:marRight w:val="0"/>
      <w:marTop w:val="0"/>
      <w:marBottom w:val="0"/>
      <w:divBdr>
        <w:top w:val="none" w:sz="0" w:space="0" w:color="auto"/>
        <w:left w:val="none" w:sz="0" w:space="0" w:color="auto"/>
        <w:bottom w:val="none" w:sz="0" w:space="0" w:color="auto"/>
        <w:right w:val="none" w:sz="0" w:space="0" w:color="auto"/>
      </w:divBdr>
    </w:div>
    <w:div w:id="1623922687">
      <w:bodyDiv w:val="1"/>
      <w:marLeft w:val="0"/>
      <w:marRight w:val="0"/>
      <w:marTop w:val="0"/>
      <w:marBottom w:val="0"/>
      <w:divBdr>
        <w:top w:val="none" w:sz="0" w:space="0" w:color="auto"/>
        <w:left w:val="none" w:sz="0" w:space="0" w:color="auto"/>
        <w:bottom w:val="none" w:sz="0" w:space="0" w:color="auto"/>
        <w:right w:val="none" w:sz="0" w:space="0" w:color="auto"/>
      </w:divBdr>
    </w:div>
    <w:div w:id="1625114424">
      <w:bodyDiv w:val="1"/>
      <w:marLeft w:val="0"/>
      <w:marRight w:val="0"/>
      <w:marTop w:val="0"/>
      <w:marBottom w:val="0"/>
      <w:divBdr>
        <w:top w:val="none" w:sz="0" w:space="0" w:color="auto"/>
        <w:left w:val="none" w:sz="0" w:space="0" w:color="auto"/>
        <w:bottom w:val="none" w:sz="0" w:space="0" w:color="auto"/>
        <w:right w:val="none" w:sz="0" w:space="0" w:color="auto"/>
      </w:divBdr>
    </w:div>
    <w:div w:id="1626697319">
      <w:bodyDiv w:val="1"/>
      <w:marLeft w:val="0"/>
      <w:marRight w:val="0"/>
      <w:marTop w:val="0"/>
      <w:marBottom w:val="0"/>
      <w:divBdr>
        <w:top w:val="none" w:sz="0" w:space="0" w:color="auto"/>
        <w:left w:val="none" w:sz="0" w:space="0" w:color="auto"/>
        <w:bottom w:val="none" w:sz="0" w:space="0" w:color="auto"/>
        <w:right w:val="none" w:sz="0" w:space="0" w:color="auto"/>
      </w:divBdr>
    </w:div>
    <w:div w:id="1628899387">
      <w:bodyDiv w:val="1"/>
      <w:marLeft w:val="0"/>
      <w:marRight w:val="0"/>
      <w:marTop w:val="0"/>
      <w:marBottom w:val="0"/>
      <w:divBdr>
        <w:top w:val="none" w:sz="0" w:space="0" w:color="auto"/>
        <w:left w:val="none" w:sz="0" w:space="0" w:color="auto"/>
        <w:bottom w:val="none" w:sz="0" w:space="0" w:color="auto"/>
        <w:right w:val="none" w:sz="0" w:space="0" w:color="auto"/>
      </w:divBdr>
    </w:div>
    <w:div w:id="1629505862">
      <w:bodyDiv w:val="1"/>
      <w:marLeft w:val="0"/>
      <w:marRight w:val="0"/>
      <w:marTop w:val="0"/>
      <w:marBottom w:val="0"/>
      <w:divBdr>
        <w:top w:val="none" w:sz="0" w:space="0" w:color="auto"/>
        <w:left w:val="none" w:sz="0" w:space="0" w:color="auto"/>
        <w:bottom w:val="none" w:sz="0" w:space="0" w:color="auto"/>
        <w:right w:val="none" w:sz="0" w:space="0" w:color="auto"/>
      </w:divBdr>
    </w:div>
    <w:div w:id="1629777417">
      <w:bodyDiv w:val="1"/>
      <w:marLeft w:val="0"/>
      <w:marRight w:val="0"/>
      <w:marTop w:val="0"/>
      <w:marBottom w:val="0"/>
      <w:divBdr>
        <w:top w:val="none" w:sz="0" w:space="0" w:color="auto"/>
        <w:left w:val="none" w:sz="0" w:space="0" w:color="auto"/>
        <w:bottom w:val="none" w:sz="0" w:space="0" w:color="auto"/>
        <w:right w:val="none" w:sz="0" w:space="0" w:color="auto"/>
      </w:divBdr>
    </w:div>
    <w:div w:id="1630470718">
      <w:bodyDiv w:val="1"/>
      <w:marLeft w:val="0"/>
      <w:marRight w:val="0"/>
      <w:marTop w:val="0"/>
      <w:marBottom w:val="0"/>
      <w:divBdr>
        <w:top w:val="none" w:sz="0" w:space="0" w:color="auto"/>
        <w:left w:val="none" w:sz="0" w:space="0" w:color="auto"/>
        <w:bottom w:val="none" w:sz="0" w:space="0" w:color="auto"/>
        <w:right w:val="none" w:sz="0" w:space="0" w:color="auto"/>
      </w:divBdr>
    </w:div>
    <w:div w:id="1630668534">
      <w:bodyDiv w:val="1"/>
      <w:marLeft w:val="0"/>
      <w:marRight w:val="0"/>
      <w:marTop w:val="0"/>
      <w:marBottom w:val="0"/>
      <w:divBdr>
        <w:top w:val="none" w:sz="0" w:space="0" w:color="auto"/>
        <w:left w:val="none" w:sz="0" w:space="0" w:color="auto"/>
        <w:bottom w:val="none" w:sz="0" w:space="0" w:color="auto"/>
        <w:right w:val="none" w:sz="0" w:space="0" w:color="auto"/>
      </w:divBdr>
    </w:div>
    <w:div w:id="1631672319">
      <w:bodyDiv w:val="1"/>
      <w:marLeft w:val="0"/>
      <w:marRight w:val="0"/>
      <w:marTop w:val="0"/>
      <w:marBottom w:val="0"/>
      <w:divBdr>
        <w:top w:val="none" w:sz="0" w:space="0" w:color="auto"/>
        <w:left w:val="none" w:sz="0" w:space="0" w:color="auto"/>
        <w:bottom w:val="none" w:sz="0" w:space="0" w:color="auto"/>
        <w:right w:val="none" w:sz="0" w:space="0" w:color="auto"/>
      </w:divBdr>
    </w:div>
    <w:div w:id="1633167877">
      <w:bodyDiv w:val="1"/>
      <w:marLeft w:val="0"/>
      <w:marRight w:val="0"/>
      <w:marTop w:val="0"/>
      <w:marBottom w:val="0"/>
      <w:divBdr>
        <w:top w:val="none" w:sz="0" w:space="0" w:color="auto"/>
        <w:left w:val="none" w:sz="0" w:space="0" w:color="auto"/>
        <w:bottom w:val="none" w:sz="0" w:space="0" w:color="auto"/>
        <w:right w:val="none" w:sz="0" w:space="0" w:color="auto"/>
      </w:divBdr>
    </w:div>
    <w:div w:id="1634287475">
      <w:bodyDiv w:val="1"/>
      <w:marLeft w:val="0"/>
      <w:marRight w:val="0"/>
      <w:marTop w:val="0"/>
      <w:marBottom w:val="0"/>
      <w:divBdr>
        <w:top w:val="none" w:sz="0" w:space="0" w:color="auto"/>
        <w:left w:val="none" w:sz="0" w:space="0" w:color="auto"/>
        <w:bottom w:val="none" w:sz="0" w:space="0" w:color="auto"/>
        <w:right w:val="none" w:sz="0" w:space="0" w:color="auto"/>
      </w:divBdr>
    </w:div>
    <w:div w:id="1636131862">
      <w:bodyDiv w:val="1"/>
      <w:marLeft w:val="0"/>
      <w:marRight w:val="0"/>
      <w:marTop w:val="0"/>
      <w:marBottom w:val="0"/>
      <w:divBdr>
        <w:top w:val="none" w:sz="0" w:space="0" w:color="auto"/>
        <w:left w:val="none" w:sz="0" w:space="0" w:color="auto"/>
        <w:bottom w:val="none" w:sz="0" w:space="0" w:color="auto"/>
        <w:right w:val="none" w:sz="0" w:space="0" w:color="auto"/>
      </w:divBdr>
    </w:div>
    <w:div w:id="1638417440">
      <w:bodyDiv w:val="1"/>
      <w:marLeft w:val="0"/>
      <w:marRight w:val="0"/>
      <w:marTop w:val="0"/>
      <w:marBottom w:val="0"/>
      <w:divBdr>
        <w:top w:val="none" w:sz="0" w:space="0" w:color="auto"/>
        <w:left w:val="none" w:sz="0" w:space="0" w:color="auto"/>
        <w:bottom w:val="none" w:sz="0" w:space="0" w:color="auto"/>
        <w:right w:val="none" w:sz="0" w:space="0" w:color="auto"/>
      </w:divBdr>
    </w:div>
    <w:div w:id="1638753598">
      <w:bodyDiv w:val="1"/>
      <w:marLeft w:val="0"/>
      <w:marRight w:val="0"/>
      <w:marTop w:val="0"/>
      <w:marBottom w:val="0"/>
      <w:divBdr>
        <w:top w:val="none" w:sz="0" w:space="0" w:color="auto"/>
        <w:left w:val="none" w:sz="0" w:space="0" w:color="auto"/>
        <w:bottom w:val="none" w:sz="0" w:space="0" w:color="auto"/>
        <w:right w:val="none" w:sz="0" w:space="0" w:color="auto"/>
      </w:divBdr>
    </w:div>
    <w:div w:id="1639066684">
      <w:bodyDiv w:val="1"/>
      <w:marLeft w:val="0"/>
      <w:marRight w:val="0"/>
      <w:marTop w:val="0"/>
      <w:marBottom w:val="0"/>
      <w:divBdr>
        <w:top w:val="none" w:sz="0" w:space="0" w:color="auto"/>
        <w:left w:val="none" w:sz="0" w:space="0" w:color="auto"/>
        <w:bottom w:val="none" w:sz="0" w:space="0" w:color="auto"/>
        <w:right w:val="none" w:sz="0" w:space="0" w:color="auto"/>
      </w:divBdr>
    </w:div>
    <w:div w:id="1641767145">
      <w:bodyDiv w:val="1"/>
      <w:marLeft w:val="0"/>
      <w:marRight w:val="0"/>
      <w:marTop w:val="0"/>
      <w:marBottom w:val="0"/>
      <w:divBdr>
        <w:top w:val="none" w:sz="0" w:space="0" w:color="auto"/>
        <w:left w:val="none" w:sz="0" w:space="0" w:color="auto"/>
        <w:bottom w:val="none" w:sz="0" w:space="0" w:color="auto"/>
        <w:right w:val="none" w:sz="0" w:space="0" w:color="auto"/>
      </w:divBdr>
    </w:div>
    <w:div w:id="1642147215">
      <w:bodyDiv w:val="1"/>
      <w:marLeft w:val="0"/>
      <w:marRight w:val="0"/>
      <w:marTop w:val="0"/>
      <w:marBottom w:val="0"/>
      <w:divBdr>
        <w:top w:val="none" w:sz="0" w:space="0" w:color="auto"/>
        <w:left w:val="none" w:sz="0" w:space="0" w:color="auto"/>
        <w:bottom w:val="none" w:sz="0" w:space="0" w:color="auto"/>
        <w:right w:val="none" w:sz="0" w:space="0" w:color="auto"/>
      </w:divBdr>
    </w:div>
    <w:div w:id="1643147858">
      <w:bodyDiv w:val="1"/>
      <w:marLeft w:val="0"/>
      <w:marRight w:val="0"/>
      <w:marTop w:val="0"/>
      <w:marBottom w:val="0"/>
      <w:divBdr>
        <w:top w:val="none" w:sz="0" w:space="0" w:color="auto"/>
        <w:left w:val="none" w:sz="0" w:space="0" w:color="auto"/>
        <w:bottom w:val="none" w:sz="0" w:space="0" w:color="auto"/>
        <w:right w:val="none" w:sz="0" w:space="0" w:color="auto"/>
      </w:divBdr>
    </w:div>
    <w:div w:id="1644919376">
      <w:bodyDiv w:val="1"/>
      <w:marLeft w:val="0"/>
      <w:marRight w:val="0"/>
      <w:marTop w:val="0"/>
      <w:marBottom w:val="0"/>
      <w:divBdr>
        <w:top w:val="none" w:sz="0" w:space="0" w:color="auto"/>
        <w:left w:val="none" w:sz="0" w:space="0" w:color="auto"/>
        <w:bottom w:val="none" w:sz="0" w:space="0" w:color="auto"/>
        <w:right w:val="none" w:sz="0" w:space="0" w:color="auto"/>
      </w:divBdr>
    </w:div>
    <w:div w:id="1645550667">
      <w:bodyDiv w:val="1"/>
      <w:marLeft w:val="0"/>
      <w:marRight w:val="0"/>
      <w:marTop w:val="0"/>
      <w:marBottom w:val="0"/>
      <w:divBdr>
        <w:top w:val="none" w:sz="0" w:space="0" w:color="auto"/>
        <w:left w:val="none" w:sz="0" w:space="0" w:color="auto"/>
        <w:bottom w:val="none" w:sz="0" w:space="0" w:color="auto"/>
        <w:right w:val="none" w:sz="0" w:space="0" w:color="auto"/>
      </w:divBdr>
    </w:div>
    <w:div w:id="1646081737">
      <w:bodyDiv w:val="1"/>
      <w:marLeft w:val="0"/>
      <w:marRight w:val="0"/>
      <w:marTop w:val="0"/>
      <w:marBottom w:val="0"/>
      <w:divBdr>
        <w:top w:val="none" w:sz="0" w:space="0" w:color="auto"/>
        <w:left w:val="none" w:sz="0" w:space="0" w:color="auto"/>
        <w:bottom w:val="none" w:sz="0" w:space="0" w:color="auto"/>
        <w:right w:val="none" w:sz="0" w:space="0" w:color="auto"/>
      </w:divBdr>
    </w:div>
    <w:div w:id="1646885934">
      <w:bodyDiv w:val="1"/>
      <w:marLeft w:val="0"/>
      <w:marRight w:val="0"/>
      <w:marTop w:val="0"/>
      <w:marBottom w:val="0"/>
      <w:divBdr>
        <w:top w:val="none" w:sz="0" w:space="0" w:color="auto"/>
        <w:left w:val="none" w:sz="0" w:space="0" w:color="auto"/>
        <w:bottom w:val="none" w:sz="0" w:space="0" w:color="auto"/>
        <w:right w:val="none" w:sz="0" w:space="0" w:color="auto"/>
      </w:divBdr>
    </w:div>
    <w:div w:id="1646933356">
      <w:bodyDiv w:val="1"/>
      <w:marLeft w:val="0"/>
      <w:marRight w:val="0"/>
      <w:marTop w:val="0"/>
      <w:marBottom w:val="0"/>
      <w:divBdr>
        <w:top w:val="none" w:sz="0" w:space="0" w:color="auto"/>
        <w:left w:val="none" w:sz="0" w:space="0" w:color="auto"/>
        <w:bottom w:val="none" w:sz="0" w:space="0" w:color="auto"/>
        <w:right w:val="none" w:sz="0" w:space="0" w:color="auto"/>
      </w:divBdr>
    </w:div>
    <w:div w:id="1650283315">
      <w:bodyDiv w:val="1"/>
      <w:marLeft w:val="0"/>
      <w:marRight w:val="0"/>
      <w:marTop w:val="0"/>
      <w:marBottom w:val="0"/>
      <w:divBdr>
        <w:top w:val="none" w:sz="0" w:space="0" w:color="auto"/>
        <w:left w:val="none" w:sz="0" w:space="0" w:color="auto"/>
        <w:bottom w:val="none" w:sz="0" w:space="0" w:color="auto"/>
        <w:right w:val="none" w:sz="0" w:space="0" w:color="auto"/>
      </w:divBdr>
    </w:div>
    <w:div w:id="1651014835">
      <w:bodyDiv w:val="1"/>
      <w:marLeft w:val="0"/>
      <w:marRight w:val="0"/>
      <w:marTop w:val="0"/>
      <w:marBottom w:val="0"/>
      <w:divBdr>
        <w:top w:val="none" w:sz="0" w:space="0" w:color="auto"/>
        <w:left w:val="none" w:sz="0" w:space="0" w:color="auto"/>
        <w:bottom w:val="none" w:sz="0" w:space="0" w:color="auto"/>
        <w:right w:val="none" w:sz="0" w:space="0" w:color="auto"/>
      </w:divBdr>
    </w:div>
    <w:div w:id="1651904681">
      <w:bodyDiv w:val="1"/>
      <w:marLeft w:val="0"/>
      <w:marRight w:val="0"/>
      <w:marTop w:val="0"/>
      <w:marBottom w:val="0"/>
      <w:divBdr>
        <w:top w:val="none" w:sz="0" w:space="0" w:color="auto"/>
        <w:left w:val="none" w:sz="0" w:space="0" w:color="auto"/>
        <w:bottom w:val="none" w:sz="0" w:space="0" w:color="auto"/>
        <w:right w:val="none" w:sz="0" w:space="0" w:color="auto"/>
      </w:divBdr>
    </w:div>
    <w:div w:id="1653831359">
      <w:bodyDiv w:val="1"/>
      <w:marLeft w:val="0"/>
      <w:marRight w:val="0"/>
      <w:marTop w:val="0"/>
      <w:marBottom w:val="0"/>
      <w:divBdr>
        <w:top w:val="none" w:sz="0" w:space="0" w:color="auto"/>
        <w:left w:val="none" w:sz="0" w:space="0" w:color="auto"/>
        <w:bottom w:val="none" w:sz="0" w:space="0" w:color="auto"/>
        <w:right w:val="none" w:sz="0" w:space="0" w:color="auto"/>
      </w:divBdr>
    </w:div>
    <w:div w:id="1654218793">
      <w:bodyDiv w:val="1"/>
      <w:marLeft w:val="0"/>
      <w:marRight w:val="0"/>
      <w:marTop w:val="0"/>
      <w:marBottom w:val="0"/>
      <w:divBdr>
        <w:top w:val="none" w:sz="0" w:space="0" w:color="auto"/>
        <w:left w:val="none" w:sz="0" w:space="0" w:color="auto"/>
        <w:bottom w:val="none" w:sz="0" w:space="0" w:color="auto"/>
        <w:right w:val="none" w:sz="0" w:space="0" w:color="auto"/>
      </w:divBdr>
    </w:div>
    <w:div w:id="1654915247">
      <w:bodyDiv w:val="1"/>
      <w:marLeft w:val="0"/>
      <w:marRight w:val="0"/>
      <w:marTop w:val="0"/>
      <w:marBottom w:val="0"/>
      <w:divBdr>
        <w:top w:val="none" w:sz="0" w:space="0" w:color="auto"/>
        <w:left w:val="none" w:sz="0" w:space="0" w:color="auto"/>
        <w:bottom w:val="none" w:sz="0" w:space="0" w:color="auto"/>
        <w:right w:val="none" w:sz="0" w:space="0" w:color="auto"/>
      </w:divBdr>
    </w:div>
    <w:div w:id="1655791940">
      <w:bodyDiv w:val="1"/>
      <w:marLeft w:val="0"/>
      <w:marRight w:val="0"/>
      <w:marTop w:val="0"/>
      <w:marBottom w:val="0"/>
      <w:divBdr>
        <w:top w:val="none" w:sz="0" w:space="0" w:color="auto"/>
        <w:left w:val="none" w:sz="0" w:space="0" w:color="auto"/>
        <w:bottom w:val="none" w:sz="0" w:space="0" w:color="auto"/>
        <w:right w:val="none" w:sz="0" w:space="0" w:color="auto"/>
      </w:divBdr>
    </w:div>
    <w:div w:id="1657033191">
      <w:bodyDiv w:val="1"/>
      <w:marLeft w:val="0"/>
      <w:marRight w:val="0"/>
      <w:marTop w:val="0"/>
      <w:marBottom w:val="0"/>
      <w:divBdr>
        <w:top w:val="none" w:sz="0" w:space="0" w:color="auto"/>
        <w:left w:val="none" w:sz="0" w:space="0" w:color="auto"/>
        <w:bottom w:val="none" w:sz="0" w:space="0" w:color="auto"/>
        <w:right w:val="none" w:sz="0" w:space="0" w:color="auto"/>
      </w:divBdr>
    </w:div>
    <w:div w:id="1659573054">
      <w:bodyDiv w:val="1"/>
      <w:marLeft w:val="0"/>
      <w:marRight w:val="0"/>
      <w:marTop w:val="0"/>
      <w:marBottom w:val="0"/>
      <w:divBdr>
        <w:top w:val="none" w:sz="0" w:space="0" w:color="auto"/>
        <w:left w:val="none" w:sz="0" w:space="0" w:color="auto"/>
        <w:bottom w:val="none" w:sz="0" w:space="0" w:color="auto"/>
        <w:right w:val="none" w:sz="0" w:space="0" w:color="auto"/>
      </w:divBdr>
    </w:div>
    <w:div w:id="1661159335">
      <w:bodyDiv w:val="1"/>
      <w:marLeft w:val="0"/>
      <w:marRight w:val="0"/>
      <w:marTop w:val="0"/>
      <w:marBottom w:val="0"/>
      <w:divBdr>
        <w:top w:val="none" w:sz="0" w:space="0" w:color="auto"/>
        <w:left w:val="none" w:sz="0" w:space="0" w:color="auto"/>
        <w:bottom w:val="none" w:sz="0" w:space="0" w:color="auto"/>
        <w:right w:val="none" w:sz="0" w:space="0" w:color="auto"/>
      </w:divBdr>
    </w:div>
    <w:div w:id="1661812491">
      <w:bodyDiv w:val="1"/>
      <w:marLeft w:val="0"/>
      <w:marRight w:val="0"/>
      <w:marTop w:val="0"/>
      <w:marBottom w:val="0"/>
      <w:divBdr>
        <w:top w:val="none" w:sz="0" w:space="0" w:color="auto"/>
        <w:left w:val="none" w:sz="0" w:space="0" w:color="auto"/>
        <w:bottom w:val="none" w:sz="0" w:space="0" w:color="auto"/>
        <w:right w:val="none" w:sz="0" w:space="0" w:color="auto"/>
      </w:divBdr>
    </w:div>
    <w:div w:id="1662345381">
      <w:bodyDiv w:val="1"/>
      <w:marLeft w:val="0"/>
      <w:marRight w:val="0"/>
      <w:marTop w:val="0"/>
      <w:marBottom w:val="0"/>
      <w:divBdr>
        <w:top w:val="none" w:sz="0" w:space="0" w:color="auto"/>
        <w:left w:val="none" w:sz="0" w:space="0" w:color="auto"/>
        <w:bottom w:val="none" w:sz="0" w:space="0" w:color="auto"/>
        <w:right w:val="none" w:sz="0" w:space="0" w:color="auto"/>
      </w:divBdr>
    </w:div>
    <w:div w:id="1664384395">
      <w:bodyDiv w:val="1"/>
      <w:marLeft w:val="0"/>
      <w:marRight w:val="0"/>
      <w:marTop w:val="0"/>
      <w:marBottom w:val="0"/>
      <w:divBdr>
        <w:top w:val="none" w:sz="0" w:space="0" w:color="auto"/>
        <w:left w:val="none" w:sz="0" w:space="0" w:color="auto"/>
        <w:bottom w:val="none" w:sz="0" w:space="0" w:color="auto"/>
        <w:right w:val="none" w:sz="0" w:space="0" w:color="auto"/>
      </w:divBdr>
    </w:div>
    <w:div w:id="1664888682">
      <w:bodyDiv w:val="1"/>
      <w:marLeft w:val="0"/>
      <w:marRight w:val="0"/>
      <w:marTop w:val="0"/>
      <w:marBottom w:val="0"/>
      <w:divBdr>
        <w:top w:val="none" w:sz="0" w:space="0" w:color="auto"/>
        <w:left w:val="none" w:sz="0" w:space="0" w:color="auto"/>
        <w:bottom w:val="none" w:sz="0" w:space="0" w:color="auto"/>
        <w:right w:val="none" w:sz="0" w:space="0" w:color="auto"/>
      </w:divBdr>
    </w:div>
    <w:div w:id="1665428877">
      <w:bodyDiv w:val="1"/>
      <w:marLeft w:val="0"/>
      <w:marRight w:val="0"/>
      <w:marTop w:val="0"/>
      <w:marBottom w:val="0"/>
      <w:divBdr>
        <w:top w:val="none" w:sz="0" w:space="0" w:color="auto"/>
        <w:left w:val="none" w:sz="0" w:space="0" w:color="auto"/>
        <w:bottom w:val="none" w:sz="0" w:space="0" w:color="auto"/>
        <w:right w:val="none" w:sz="0" w:space="0" w:color="auto"/>
      </w:divBdr>
    </w:div>
    <w:div w:id="1666351049">
      <w:bodyDiv w:val="1"/>
      <w:marLeft w:val="0"/>
      <w:marRight w:val="0"/>
      <w:marTop w:val="0"/>
      <w:marBottom w:val="0"/>
      <w:divBdr>
        <w:top w:val="none" w:sz="0" w:space="0" w:color="auto"/>
        <w:left w:val="none" w:sz="0" w:space="0" w:color="auto"/>
        <w:bottom w:val="none" w:sz="0" w:space="0" w:color="auto"/>
        <w:right w:val="none" w:sz="0" w:space="0" w:color="auto"/>
      </w:divBdr>
    </w:div>
    <w:div w:id="1669095047">
      <w:bodyDiv w:val="1"/>
      <w:marLeft w:val="0"/>
      <w:marRight w:val="0"/>
      <w:marTop w:val="0"/>
      <w:marBottom w:val="0"/>
      <w:divBdr>
        <w:top w:val="none" w:sz="0" w:space="0" w:color="auto"/>
        <w:left w:val="none" w:sz="0" w:space="0" w:color="auto"/>
        <w:bottom w:val="none" w:sz="0" w:space="0" w:color="auto"/>
        <w:right w:val="none" w:sz="0" w:space="0" w:color="auto"/>
      </w:divBdr>
    </w:div>
    <w:div w:id="1671987033">
      <w:bodyDiv w:val="1"/>
      <w:marLeft w:val="0"/>
      <w:marRight w:val="0"/>
      <w:marTop w:val="0"/>
      <w:marBottom w:val="0"/>
      <w:divBdr>
        <w:top w:val="none" w:sz="0" w:space="0" w:color="auto"/>
        <w:left w:val="none" w:sz="0" w:space="0" w:color="auto"/>
        <w:bottom w:val="none" w:sz="0" w:space="0" w:color="auto"/>
        <w:right w:val="none" w:sz="0" w:space="0" w:color="auto"/>
      </w:divBdr>
    </w:div>
    <w:div w:id="1672641843">
      <w:bodyDiv w:val="1"/>
      <w:marLeft w:val="0"/>
      <w:marRight w:val="0"/>
      <w:marTop w:val="0"/>
      <w:marBottom w:val="0"/>
      <w:divBdr>
        <w:top w:val="none" w:sz="0" w:space="0" w:color="auto"/>
        <w:left w:val="none" w:sz="0" w:space="0" w:color="auto"/>
        <w:bottom w:val="none" w:sz="0" w:space="0" w:color="auto"/>
        <w:right w:val="none" w:sz="0" w:space="0" w:color="auto"/>
      </w:divBdr>
    </w:div>
    <w:div w:id="1673532980">
      <w:bodyDiv w:val="1"/>
      <w:marLeft w:val="0"/>
      <w:marRight w:val="0"/>
      <w:marTop w:val="0"/>
      <w:marBottom w:val="0"/>
      <w:divBdr>
        <w:top w:val="none" w:sz="0" w:space="0" w:color="auto"/>
        <w:left w:val="none" w:sz="0" w:space="0" w:color="auto"/>
        <w:bottom w:val="none" w:sz="0" w:space="0" w:color="auto"/>
        <w:right w:val="none" w:sz="0" w:space="0" w:color="auto"/>
      </w:divBdr>
    </w:div>
    <w:div w:id="1676226533">
      <w:bodyDiv w:val="1"/>
      <w:marLeft w:val="0"/>
      <w:marRight w:val="0"/>
      <w:marTop w:val="0"/>
      <w:marBottom w:val="0"/>
      <w:divBdr>
        <w:top w:val="none" w:sz="0" w:space="0" w:color="auto"/>
        <w:left w:val="none" w:sz="0" w:space="0" w:color="auto"/>
        <w:bottom w:val="none" w:sz="0" w:space="0" w:color="auto"/>
        <w:right w:val="none" w:sz="0" w:space="0" w:color="auto"/>
      </w:divBdr>
    </w:div>
    <w:div w:id="1680736303">
      <w:bodyDiv w:val="1"/>
      <w:marLeft w:val="0"/>
      <w:marRight w:val="0"/>
      <w:marTop w:val="0"/>
      <w:marBottom w:val="0"/>
      <w:divBdr>
        <w:top w:val="none" w:sz="0" w:space="0" w:color="auto"/>
        <w:left w:val="none" w:sz="0" w:space="0" w:color="auto"/>
        <w:bottom w:val="none" w:sz="0" w:space="0" w:color="auto"/>
        <w:right w:val="none" w:sz="0" w:space="0" w:color="auto"/>
      </w:divBdr>
    </w:div>
    <w:div w:id="1685864852">
      <w:bodyDiv w:val="1"/>
      <w:marLeft w:val="0"/>
      <w:marRight w:val="0"/>
      <w:marTop w:val="0"/>
      <w:marBottom w:val="0"/>
      <w:divBdr>
        <w:top w:val="none" w:sz="0" w:space="0" w:color="auto"/>
        <w:left w:val="none" w:sz="0" w:space="0" w:color="auto"/>
        <w:bottom w:val="none" w:sz="0" w:space="0" w:color="auto"/>
        <w:right w:val="none" w:sz="0" w:space="0" w:color="auto"/>
      </w:divBdr>
    </w:div>
    <w:div w:id="1687289898">
      <w:bodyDiv w:val="1"/>
      <w:marLeft w:val="0"/>
      <w:marRight w:val="0"/>
      <w:marTop w:val="0"/>
      <w:marBottom w:val="0"/>
      <w:divBdr>
        <w:top w:val="none" w:sz="0" w:space="0" w:color="auto"/>
        <w:left w:val="none" w:sz="0" w:space="0" w:color="auto"/>
        <w:bottom w:val="none" w:sz="0" w:space="0" w:color="auto"/>
        <w:right w:val="none" w:sz="0" w:space="0" w:color="auto"/>
      </w:divBdr>
    </w:div>
    <w:div w:id="1688865775">
      <w:bodyDiv w:val="1"/>
      <w:marLeft w:val="0"/>
      <w:marRight w:val="0"/>
      <w:marTop w:val="0"/>
      <w:marBottom w:val="0"/>
      <w:divBdr>
        <w:top w:val="none" w:sz="0" w:space="0" w:color="auto"/>
        <w:left w:val="none" w:sz="0" w:space="0" w:color="auto"/>
        <w:bottom w:val="none" w:sz="0" w:space="0" w:color="auto"/>
        <w:right w:val="none" w:sz="0" w:space="0" w:color="auto"/>
      </w:divBdr>
    </w:div>
    <w:div w:id="1690984930">
      <w:bodyDiv w:val="1"/>
      <w:marLeft w:val="0"/>
      <w:marRight w:val="0"/>
      <w:marTop w:val="0"/>
      <w:marBottom w:val="0"/>
      <w:divBdr>
        <w:top w:val="none" w:sz="0" w:space="0" w:color="auto"/>
        <w:left w:val="none" w:sz="0" w:space="0" w:color="auto"/>
        <w:bottom w:val="none" w:sz="0" w:space="0" w:color="auto"/>
        <w:right w:val="none" w:sz="0" w:space="0" w:color="auto"/>
      </w:divBdr>
    </w:div>
    <w:div w:id="1692300340">
      <w:bodyDiv w:val="1"/>
      <w:marLeft w:val="0"/>
      <w:marRight w:val="0"/>
      <w:marTop w:val="0"/>
      <w:marBottom w:val="0"/>
      <w:divBdr>
        <w:top w:val="none" w:sz="0" w:space="0" w:color="auto"/>
        <w:left w:val="none" w:sz="0" w:space="0" w:color="auto"/>
        <w:bottom w:val="none" w:sz="0" w:space="0" w:color="auto"/>
        <w:right w:val="none" w:sz="0" w:space="0" w:color="auto"/>
      </w:divBdr>
    </w:div>
    <w:div w:id="1694110940">
      <w:bodyDiv w:val="1"/>
      <w:marLeft w:val="0"/>
      <w:marRight w:val="0"/>
      <w:marTop w:val="0"/>
      <w:marBottom w:val="0"/>
      <w:divBdr>
        <w:top w:val="none" w:sz="0" w:space="0" w:color="auto"/>
        <w:left w:val="none" w:sz="0" w:space="0" w:color="auto"/>
        <w:bottom w:val="none" w:sz="0" w:space="0" w:color="auto"/>
        <w:right w:val="none" w:sz="0" w:space="0" w:color="auto"/>
      </w:divBdr>
    </w:div>
    <w:div w:id="1694460292">
      <w:bodyDiv w:val="1"/>
      <w:marLeft w:val="0"/>
      <w:marRight w:val="0"/>
      <w:marTop w:val="0"/>
      <w:marBottom w:val="0"/>
      <w:divBdr>
        <w:top w:val="none" w:sz="0" w:space="0" w:color="auto"/>
        <w:left w:val="none" w:sz="0" w:space="0" w:color="auto"/>
        <w:bottom w:val="none" w:sz="0" w:space="0" w:color="auto"/>
        <w:right w:val="none" w:sz="0" w:space="0" w:color="auto"/>
      </w:divBdr>
    </w:div>
    <w:div w:id="1696272327">
      <w:bodyDiv w:val="1"/>
      <w:marLeft w:val="0"/>
      <w:marRight w:val="0"/>
      <w:marTop w:val="0"/>
      <w:marBottom w:val="0"/>
      <w:divBdr>
        <w:top w:val="none" w:sz="0" w:space="0" w:color="auto"/>
        <w:left w:val="none" w:sz="0" w:space="0" w:color="auto"/>
        <w:bottom w:val="none" w:sz="0" w:space="0" w:color="auto"/>
        <w:right w:val="none" w:sz="0" w:space="0" w:color="auto"/>
      </w:divBdr>
    </w:div>
    <w:div w:id="1699501235">
      <w:bodyDiv w:val="1"/>
      <w:marLeft w:val="0"/>
      <w:marRight w:val="0"/>
      <w:marTop w:val="0"/>
      <w:marBottom w:val="0"/>
      <w:divBdr>
        <w:top w:val="none" w:sz="0" w:space="0" w:color="auto"/>
        <w:left w:val="none" w:sz="0" w:space="0" w:color="auto"/>
        <w:bottom w:val="none" w:sz="0" w:space="0" w:color="auto"/>
        <w:right w:val="none" w:sz="0" w:space="0" w:color="auto"/>
      </w:divBdr>
    </w:div>
    <w:div w:id="1699743265">
      <w:bodyDiv w:val="1"/>
      <w:marLeft w:val="0"/>
      <w:marRight w:val="0"/>
      <w:marTop w:val="0"/>
      <w:marBottom w:val="0"/>
      <w:divBdr>
        <w:top w:val="none" w:sz="0" w:space="0" w:color="auto"/>
        <w:left w:val="none" w:sz="0" w:space="0" w:color="auto"/>
        <w:bottom w:val="none" w:sz="0" w:space="0" w:color="auto"/>
        <w:right w:val="none" w:sz="0" w:space="0" w:color="auto"/>
      </w:divBdr>
    </w:div>
    <w:div w:id="1700163232">
      <w:bodyDiv w:val="1"/>
      <w:marLeft w:val="0"/>
      <w:marRight w:val="0"/>
      <w:marTop w:val="0"/>
      <w:marBottom w:val="0"/>
      <w:divBdr>
        <w:top w:val="none" w:sz="0" w:space="0" w:color="auto"/>
        <w:left w:val="none" w:sz="0" w:space="0" w:color="auto"/>
        <w:bottom w:val="none" w:sz="0" w:space="0" w:color="auto"/>
        <w:right w:val="none" w:sz="0" w:space="0" w:color="auto"/>
      </w:divBdr>
    </w:div>
    <w:div w:id="1702124948">
      <w:bodyDiv w:val="1"/>
      <w:marLeft w:val="0"/>
      <w:marRight w:val="0"/>
      <w:marTop w:val="0"/>
      <w:marBottom w:val="0"/>
      <w:divBdr>
        <w:top w:val="none" w:sz="0" w:space="0" w:color="auto"/>
        <w:left w:val="none" w:sz="0" w:space="0" w:color="auto"/>
        <w:bottom w:val="none" w:sz="0" w:space="0" w:color="auto"/>
        <w:right w:val="none" w:sz="0" w:space="0" w:color="auto"/>
      </w:divBdr>
    </w:div>
    <w:div w:id="1704135277">
      <w:bodyDiv w:val="1"/>
      <w:marLeft w:val="0"/>
      <w:marRight w:val="0"/>
      <w:marTop w:val="0"/>
      <w:marBottom w:val="0"/>
      <w:divBdr>
        <w:top w:val="none" w:sz="0" w:space="0" w:color="auto"/>
        <w:left w:val="none" w:sz="0" w:space="0" w:color="auto"/>
        <w:bottom w:val="none" w:sz="0" w:space="0" w:color="auto"/>
        <w:right w:val="none" w:sz="0" w:space="0" w:color="auto"/>
      </w:divBdr>
    </w:div>
    <w:div w:id="1706785815">
      <w:bodyDiv w:val="1"/>
      <w:marLeft w:val="0"/>
      <w:marRight w:val="0"/>
      <w:marTop w:val="0"/>
      <w:marBottom w:val="0"/>
      <w:divBdr>
        <w:top w:val="none" w:sz="0" w:space="0" w:color="auto"/>
        <w:left w:val="none" w:sz="0" w:space="0" w:color="auto"/>
        <w:bottom w:val="none" w:sz="0" w:space="0" w:color="auto"/>
        <w:right w:val="none" w:sz="0" w:space="0" w:color="auto"/>
      </w:divBdr>
    </w:div>
    <w:div w:id="1707680552">
      <w:bodyDiv w:val="1"/>
      <w:marLeft w:val="0"/>
      <w:marRight w:val="0"/>
      <w:marTop w:val="0"/>
      <w:marBottom w:val="0"/>
      <w:divBdr>
        <w:top w:val="none" w:sz="0" w:space="0" w:color="auto"/>
        <w:left w:val="none" w:sz="0" w:space="0" w:color="auto"/>
        <w:bottom w:val="none" w:sz="0" w:space="0" w:color="auto"/>
        <w:right w:val="none" w:sz="0" w:space="0" w:color="auto"/>
      </w:divBdr>
    </w:div>
    <w:div w:id="1709452375">
      <w:bodyDiv w:val="1"/>
      <w:marLeft w:val="0"/>
      <w:marRight w:val="0"/>
      <w:marTop w:val="0"/>
      <w:marBottom w:val="0"/>
      <w:divBdr>
        <w:top w:val="none" w:sz="0" w:space="0" w:color="auto"/>
        <w:left w:val="none" w:sz="0" w:space="0" w:color="auto"/>
        <w:bottom w:val="none" w:sz="0" w:space="0" w:color="auto"/>
        <w:right w:val="none" w:sz="0" w:space="0" w:color="auto"/>
      </w:divBdr>
    </w:div>
    <w:div w:id="1709604153">
      <w:bodyDiv w:val="1"/>
      <w:marLeft w:val="0"/>
      <w:marRight w:val="0"/>
      <w:marTop w:val="0"/>
      <w:marBottom w:val="0"/>
      <w:divBdr>
        <w:top w:val="none" w:sz="0" w:space="0" w:color="auto"/>
        <w:left w:val="none" w:sz="0" w:space="0" w:color="auto"/>
        <w:bottom w:val="none" w:sz="0" w:space="0" w:color="auto"/>
        <w:right w:val="none" w:sz="0" w:space="0" w:color="auto"/>
      </w:divBdr>
    </w:div>
    <w:div w:id="1710373100">
      <w:bodyDiv w:val="1"/>
      <w:marLeft w:val="0"/>
      <w:marRight w:val="0"/>
      <w:marTop w:val="0"/>
      <w:marBottom w:val="0"/>
      <w:divBdr>
        <w:top w:val="none" w:sz="0" w:space="0" w:color="auto"/>
        <w:left w:val="none" w:sz="0" w:space="0" w:color="auto"/>
        <w:bottom w:val="none" w:sz="0" w:space="0" w:color="auto"/>
        <w:right w:val="none" w:sz="0" w:space="0" w:color="auto"/>
      </w:divBdr>
    </w:div>
    <w:div w:id="1711031604">
      <w:bodyDiv w:val="1"/>
      <w:marLeft w:val="0"/>
      <w:marRight w:val="0"/>
      <w:marTop w:val="0"/>
      <w:marBottom w:val="0"/>
      <w:divBdr>
        <w:top w:val="none" w:sz="0" w:space="0" w:color="auto"/>
        <w:left w:val="none" w:sz="0" w:space="0" w:color="auto"/>
        <w:bottom w:val="none" w:sz="0" w:space="0" w:color="auto"/>
        <w:right w:val="none" w:sz="0" w:space="0" w:color="auto"/>
      </w:divBdr>
    </w:div>
    <w:div w:id="1711296639">
      <w:bodyDiv w:val="1"/>
      <w:marLeft w:val="0"/>
      <w:marRight w:val="0"/>
      <w:marTop w:val="0"/>
      <w:marBottom w:val="0"/>
      <w:divBdr>
        <w:top w:val="none" w:sz="0" w:space="0" w:color="auto"/>
        <w:left w:val="none" w:sz="0" w:space="0" w:color="auto"/>
        <w:bottom w:val="none" w:sz="0" w:space="0" w:color="auto"/>
        <w:right w:val="none" w:sz="0" w:space="0" w:color="auto"/>
      </w:divBdr>
    </w:div>
    <w:div w:id="1713187927">
      <w:bodyDiv w:val="1"/>
      <w:marLeft w:val="0"/>
      <w:marRight w:val="0"/>
      <w:marTop w:val="0"/>
      <w:marBottom w:val="0"/>
      <w:divBdr>
        <w:top w:val="none" w:sz="0" w:space="0" w:color="auto"/>
        <w:left w:val="none" w:sz="0" w:space="0" w:color="auto"/>
        <w:bottom w:val="none" w:sz="0" w:space="0" w:color="auto"/>
        <w:right w:val="none" w:sz="0" w:space="0" w:color="auto"/>
      </w:divBdr>
    </w:div>
    <w:div w:id="1714113588">
      <w:bodyDiv w:val="1"/>
      <w:marLeft w:val="0"/>
      <w:marRight w:val="0"/>
      <w:marTop w:val="0"/>
      <w:marBottom w:val="0"/>
      <w:divBdr>
        <w:top w:val="none" w:sz="0" w:space="0" w:color="auto"/>
        <w:left w:val="none" w:sz="0" w:space="0" w:color="auto"/>
        <w:bottom w:val="none" w:sz="0" w:space="0" w:color="auto"/>
        <w:right w:val="none" w:sz="0" w:space="0" w:color="auto"/>
      </w:divBdr>
    </w:div>
    <w:div w:id="1718048444">
      <w:bodyDiv w:val="1"/>
      <w:marLeft w:val="0"/>
      <w:marRight w:val="0"/>
      <w:marTop w:val="0"/>
      <w:marBottom w:val="0"/>
      <w:divBdr>
        <w:top w:val="none" w:sz="0" w:space="0" w:color="auto"/>
        <w:left w:val="none" w:sz="0" w:space="0" w:color="auto"/>
        <w:bottom w:val="none" w:sz="0" w:space="0" w:color="auto"/>
        <w:right w:val="none" w:sz="0" w:space="0" w:color="auto"/>
      </w:divBdr>
    </w:div>
    <w:div w:id="1718774674">
      <w:bodyDiv w:val="1"/>
      <w:marLeft w:val="0"/>
      <w:marRight w:val="0"/>
      <w:marTop w:val="0"/>
      <w:marBottom w:val="0"/>
      <w:divBdr>
        <w:top w:val="none" w:sz="0" w:space="0" w:color="auto"/>
        <w:left w:val="none" w:sz="0" w:space="0" w:color="auto"/>
        <w:bottom w:val="none" w:sz="0" w:space="0" w:color="auto"/>
        <w:right w:val="none" w:sz="0" w:space="0" w:color="auto"/>
      </w:divBdr>
    </w:div>
    <w:div w:id="1718814103">
      <w:bodyDiv w:val="1"/>
      <w:marLeft w:val="0"/>
      <w:marRight w:val="0"/>
      <w:marTop w:val="0"/>
      <w:marBottom w:val="0"/>
      <w:divBdr>
        <w:top w:val="none" w:sz="0" w:space="0" w:color="auto"/>
        <w:left w:val="none" w:sz="0" w:space="0" w:color="auto"/>
        <w:bottom w:val="none" w:sz="0" w:space="0" w:color="auto"/>
        <w:right w:val="none" w:sz="0" w:space="0" w:color="auto"/>
      </w:divBdr>
    </w:div>
    <w:div w:id="1718820993">
      <w:bodyDiv w:val="1"/>
      <w:marLeft w:val="0"/>
      <w:marRight w:val="0"/>
      <w:marTop w:val="0"/>
      <w:marBottom w:val="0"/>
      <w:divBdr>
        <w:top w:val="none" w:sz="0" w:space="0" w:color="auto"/>
        <w:left w:val="none" w:sz="0" w:space="0" w:color="auto"/>
        <w:bottom w:val="none" w:sz="0" w:space="0" w:color="auto"/>
        <w:right w:val="none" w:sz="0" w:space="0" w:color="auto"/>
      </w:divBdr>
    </w:div>
    <w:div w:id="1720208488">
      <w:bodyDiv w:val="1"/>
      <w:marLeft w:val="0"/>
      <w:marRight w:val="0"/>
      <w:marTop w:val="0"/>
      <w:marBottom w:val="0"/>
      <w:divBdr>
        <w:top w:val="none" w:sz="0" w:space="0" w:color="auto"/>
        <w:left w:val="none" w:sz="0" w:space="0" w:color="auto"/>
        <w:bottom w:val="none" w:sz="0" w:space="0" w:color="auto"/>
        <w:right w:val="none" w:sz="0" w:space="0" w:color="auto"/>
      </w:divBdr>
    </w:div>
    <w:div w:id="1720590787">
      <w:bodyDiv w:val="1"/>
      <w:marLeft w:val="0"/>
      <w:marRight w:val="0"/>
      <w:marTop w:val="0"/>
      <w:marBottom w:val="0"/>
      <w:divBdr>
        <w:top w:val="none" w:sz="0" w:space="0" w:color="auto"/>
        <w:left w:val="none" w:sz="0" w:space="0" w:color="auto"/>
        <w:bottom w:val="none" w:sz="0" w:space="0" w:color="auto"/>
        <w:right w:val="none" w:sz="0" w:space="0" w:color="auto"/>
      </w:divBdr>
    </w:div>
    <w:div w:id="1722822162">
      <w:bodyDiv w:val="1"/>
      <w:marLeft w:val="0"/>
      <w:marRight w:val="0"/>
      <w:marTop w:val="0"/>
      <w:marBottom w:val="0"/>
      <w:divBdr>
        <w:top w:val="none" w:sz="0" w:space="0" w:color="auto"/>
        <w:left w:val="none" w:sz="0" w:space="0" w:color="auto"/>
        <w:bottom w:val="none" w:sz="0" w:space="0" w:color="auto"/>
        <w:right w:val="none" w:sz="0" w:space="0" w:color="auto"/>
      </w:divBdr>
    </w:div>
    <w:div w:id="1722901045">
      <w:bodyDiv w:val="1"/>
      <w:marLeft w:val="0"/>
      <w:marRight w:val="0"/>
      <w:marTop w:val="0"/>
      <w:marBottom w:val="0"/>
      <w:divBdr>
        <w:top w:val="none" w:sz="0" w:space="0" w:color="auto"/>
        <w:left w:val="none" w:sz="0" w:space="0" w:color="auto"/>
        <w:bottom w:val="none" w:sz="0" w:space="0" w:color="auto"/>
        <w:right w:val="none" w:sz="0" w:space="0" w:color="auto"/>
      </w:divBdr>
    </w:div>
    <w:div w:id="1722905178">
      <w:bodyDiv w:val="1"/>
      <w:marLeft w:val="0"/>
      <w:marRight w:val="0"/>
      <w:marTop w:val="0"/>
      <w:marBottom w:val="0"/>
      <w:divBdr>
        <w:top w:val="none" w:sz="0" w:space="0" w:color="auto"/>
        <w:left w:val="none" w:sz="0" w:space="0" w:color="auto"/>
        <w:bottom w:val="none" w:sz="0" w:space="0" w:color="auto"/>
        <w:right w:val="none" w:sz="0" w:space="0" w:color="auto"/>
      </w:divBdr>
    </w:div>
    <w:div w:id="1725062956">
      <w:bodyDiv w:val="1"/>
      <w:marLeft w:val="0"/>
      <w:marRight w:val="0"/>
      <w:marTop w:val="0"/>
      <w:marBottom w:val="0"/>
      <w:divBdr>
        <w:top w:val="none" w:sz="0" w:space="0" w:color="auto"/>
        <w:left w:val="none" w:sz="0" w:space="0" w:color="auto"/>
        <w:bottom w:val="none" w:sz="0" w:space="0" w:color="auto"/>
        <w:right w:val="none" w:sz="0" w:space="0" w:color="auto"/>
      </w:divBdr>
    </w:div>
    <w:div w:id="1729910846">
      <w:bodyDiv w:val="1"/>
      <w:marLeft w:val="0"/>
      <w:marRight w:val="0"/>
      <w:marTop w:val="0"/>
      <w:marBottom w:val="0"/>
      <w:divBdr>
        <w:top w:val="none" w:sz="0" w:space="0" w:color="auto"/>
        <w:left w:val="none" w:sz="0" w:space="0" w:color="auto"/>
        <w:bottom w:val="none" w:sz="0" w:space="0" w:color="auto"/>
        <w:right w:val="none" w:sz="0" w:space="0" w:color="auto"/>
      </w:divBdr>
    </w:div>
    <w:div w:id="1731726503">
      <w:bodyDiv w:val="1"/>
      <w:marLeft w:val="0"/>
      <w:marRight w:val="0"/>
      <w:marTop w:val="0"/>
      <w:marBottom w:val="0"/>
      <w:divBdr>
        <w:top w:val="none" w:sz="0" w:space="0" w:color="auto"/>
        <w:left w:val="none" w:sz="0" w:space="0" w:color="auto"/>
        <w:bottom w:val="none" w:sz="0" w:space="0" w:color="auto"/>
        <w:right w:val="none" w:sz="0" w:space="0" w:color="auto"/>
      </w:divBdr>
    </w:div>
    <w:div w:id="1734087463">
      <w:bodyDiv w:val="1"/>
      <w:marLeft w:val="0"/>
      <w:marRight w:val="0"/>
      <w:marTop w:val="0"/>
      <w:marBottom w:val="0"/>
      <w:divBdr>
        <w:top w:val="none" w:sz="0" w:space="0" w:color="auto"/>
        <w:left w:val="none" w:sz="0" w:space="0" w:color="auto"/>
        <w:bottom w:val="none" w:sz="0" w:space="0" w:color="auto"/>
        <w:right w:val="none" w:sz="0" w:space="0" w:color="auto"/>
      </w:divBdr>
    </w:div>
    <w:div w:id="1735546639">
      <w:bodyDiv w:val="1"/>
      <w:marLeft w:val="0"/>
      <w:marRight w:val="0"/>
      <w:marTop w:val="0"/>
      <w:marBottom w:val="0"/>
      <w:divBdr>
        <w:top w:val="none" w:sz="0" w:space="0" w:color="auto"/>
        <w:left w:val="none" w:sz="0" w:space="0" w:color="auto"/>
        <w:bottom w:val="none" w:sz="0" w:space="0" w:color="auto"/>
        <w:right w:val="none" w:sz="0" w:space="0" w:color="auto"/>
      </w:divBdr>
    </w:div>
    <w:div w:id="1737435543">
      <w:bodyDiv w:val="1"/>
      <w:marLeft w:val="0"/>
      <w:marRight w:val="0"/>
      <w:marTop w:val="0"/>
      <w:marBottom w:val="0"/>
      <w:divBdr>
        <w:top w:val="none" w:sz="0" w:space="0" w:color="auto"/>
        <w:left w:val="none" w:sz="0" w:space="0" w:color="auto"/>
        <w:bottom w:val="none" w:sz="0" w:space="0" w:color="auto"/>
        <w:right w:val="none" w:sz="0" w:space="0" w:color="auto"/>
      </w:divBdr>
    </w:div>
    <w:div w:id="1740129661">
      <w:bodyDiv w:val="1"/>
      <w:marLeft w:val="0"/>
      <w:marRight w:val="0"/>
      <w:marTop w:val="0"/>
      <w:marBottom w:val="0"/>
      <w:divBdr>
        <w:top w:val="none" w:sz="0" w:space="0" w:color="auto"/>
        <w:left w:val="none" w:sz="0" w:space="0" w:color="auto"/>
        <w:bottom w:val="none" w:sz="0" w:space="0" w:color="auto"/>
        <w:right w:val="none" w:sz="0" w:space="0" w:color="auto"/>
      </w:divBdr>
    </w:div>
    <w:div w:id="1741248257">
      <w:bodyDiv w:val="1"/>
      <w:marLeft w:val="0"/>
      <w:marRight w:val="0"/>
      <w:marTop w:val="0"/>
      <w:marBottom w:val="0"/>
      <w:divBdr>
        <w:top w:val="none" w:sz="0" w:space="0" w:color="auto"/>
        <w:left w:val="none" w:sz="0" w:space="0" w:color="auto"/>
        <w:bottom w:val="none" w:sz="0" w:space="0" w:color="auto"/>
        <w:right w:val="none" w:sz="0" w:space="0" w:color="auto"/>
      </w:divBdr>
    </w:div>
    <w:div w:id="1742294349">
      <w:bodyDiv w:val="1"/>
      <w:marLeft w:val="0"/>
      <w:marRight w:val="0"/>
      <w:marTop w:val="0"/>
      <w:marBottom w:val="0"/>
      <w:divBdr>
        <w:top w:val="none" w:sz="0" w:space="0" w:color="auto"/>
        <w:left w:val="none" w:sz="0" w:space="0" w:color="auto"/>
        <w:bottom w:val="none" w:sz="0" w:space="0" w:color="auto"/>
        <w:right w:val="none" w:sz="0" w:space="0" w:color="auto"/>
      </w:divBdr>
    </w:div>
    <w:div w:id="1743329368">
      <w:bodyDiv w:val="1"/>
      <w:marLeft w:val="0"/>
      <w:marRight w:val="0"/>
      <w:marTop w:val="0"/>
      <w:marBottom w:val="0"/>
      <w:divBdr>
        <w:top w:val="none" w:sz="0" w:space="0" w:color="auto"/>
        <w:left w:val="none" w:sz="0" w:space="0" w:color="auto"/>
        <w:bottom w:val="none" w:sz="0" w:space="0" w:color="auto"/>
        <w:right w:val="none" w:sz="0" w:space="0" w:color="auto"/>
      </w:divBdr>
    </w:div>
    <w:div w:id="1744138212">
      <w:bodyDiv w:val="1"/>
      <w:marLeft w:val="0"/>
      <w:marRight w:val="0"/>
      <w:marTop w:val="0"/>
      <w:marBottom w:val="0"/>
      <w:divBdr>
        <w:top w:val="none" w:sz="0" w:space="0" w:color="auto"/>
        <w:left w:val="none" w:sz="0" w:space="0" w:color="auto"/>
        <w:bottom w:val="none" w:sz="0" w:space="0" w:color="auto"/>
        <w:right w:val="none" w:sz="0" w:space="0" w:color="auto"/>
      </w:divBdr>
    </w:div>
    <w:div w:id="1746342479">
      <w:bodyDiv w:val="1"/>
      <w:marLeft w:val="0"/>
      <w:marRight w:val="0"/>
      <w:marTop w:val="0"/>
      <w:marBottom w:val="0"/>
      <w:divBdr>
        <w:top w:val="none" w:sz="0" w:space="0" w:color="auto"/>
        <w:left w:val="none" w:sz="0" w:space="0" w:color="auto"/>
        <w:bottom w:val="none" w:sz="0" w:space="0" w:color="auto"/>
        <w:right w:val="none" w:sz="0" w:space="0" w:color="auto"/>
      </w:divBdr>
    </w:div>
    <w:div w:id="1746415706">
      <w:bodyDiv w:val="1"/>
      <w:marLeft w:val="0"/>
      <w:marRight w:val="0"/>
      <w:marTop w:val="0"/>
      <w:marBottom w:val="0"/>
      <w:divBdr>
        <w:top w:val="none" w:sz="0" w:space="0" w:color="auto"/>
        <w:left w:val="none" w:sz="0" w:space="0" w:color="auto"/>
        <w:bottom w:val="none" w:sz="0" w:space="0" w:color="auto"/>
        <w:right w:val="none" w:sz="0" w:space="0" w:color="auto"/>
      </w:divBdr>
    </w:div>
    <w:div w:id="1750422974">
      <w:bodyDiv w:val="1"/>
      <w:marLeft w:val="0"/>
      <w:marRight w:val="0"/>
      <w:marTop w:val="0"/>
      <w:marBottom w:val="0"/>
      <w:divBdr>
        <w:top w:val="none" w:sz="0" w:space="0" w:color="auto"/>
        <w:left w:val="none" w:sz="0" w:space="0" w:color="auto"/>
        <w:bottom w:val="none" w:sz="0" w:space="0" w:color="auto"/>
        <w:right w:val="none" w:sz="0" w:space="0" w:color="auto"/>
      </w:divBdr>
    </w:div>
    <w:div w:id="1752197545">
      <w:bodyDiv w:val="1"/>
      <w:marLeft w:val="0"/>
      <w:marRight w:val="0"/>
      <w:marTop w:val="0"/>
      <w:marBottom w:val="0"/>
      <w:divBdr>
        <w:top w:val="none" w:sz="0" w:space="0" w:color="auto"/>
        <w:left w:val="none" w:sz="0" w:space="0" w:color="auto"/>
        <w:bottom w:val="none" w:sz="0" w:space="0" w:color="auto"/>
        <w:right w:val="none" w:sz="0" w:space="0" w:color="auto"/>
      </w:divBdr>
    </w:div>
    <w:div w:id="1753043298">
      <w:bodyDiv w:val="1"/>
      <w:marLeft w:val="0"/>
      <w:marRight w:val="0"/>
      <w:marTop w:val="0"/>
      <w:marBottom w:val="0"/>
      <w:divBdr>
        <w:top w:val="none" w:sz="0" w:space="0" w:color="auto"/>
        <w:left w:val="none" w:sz="0" w:space="0" w:color="auto"/>
        <w:bottom w:val="none" w:sz="0" w:space="0" w:color="auto"/>
        <w:right w:val="none" w:sz="0" w:space="0" w:color="auto"/>
      </w:divBdr>
    </w:div>
    <w:div w:id="1755585244">
      <w:bodyDiv w:val="1"/>
      <w:marLeft w:val="0"/>
      <w:marRight w:val="0"/>
      <w:marTop w:val="0"/>
      <w:marBottom w:val="0"/>
      <w:divBdr>
        <w:top w:val="none" w:sz="0" w:space="0" w:color="auto"/>
        <w:left w:val="none" w:sz="0" w:space="0" w:color="auto"/>
        <w:bottom w:val="none" w:sz="0" w:space="0" w:color="auto"/>
        <w:right w:val="none" w:sz="0" w:space="0" w:color="auto"/>
      </w:divBdr>
    </w:div>
    <w:div w:id="1756508301">
      <w:bodyDiv w:val="1"/>
      <w:marLeft w:val="0"/>
      <w:marRight w:val="0"/>
      <w:marTop w:val="0"/>
      <w:marBottom w:val="0"/>
      <w:divBdr>
        <w:top w:val="none" w:sz="0" w:space="0" w:color="auto"/>
        <w:left w:val="none" w:sz="0" w:space="0" w:color="auto"/>
        <w:bottom w:val="none" w:sz="0" w:space="0" w:color="auto"/>
        <w:right w:val="none" w:sz="0" w:space="0" w:color="auto"/>
      </w:divBdr>
    </w:div>
    <w:div w:id="1756707112">
      <w:bodyDiv w:val="1"/>
      <w:marLeft w:val="0"/>
      <w:marRight w:val="0"/>
      <w:marTop w:val="0"/>
      <w:marBottom w:val="0"/>
      <w:divBdr>
        <w:top w:val="none" w:sz="0" w:space="0" w:color="auto"/>
        <w:left w:val="none" w:sz="0" w:space="0" w:color="auto"/>
        <w:bottom w:val="none" w:sz="0" w:space="0" w:color="auto"/>
        <w:right w:val="none" w:sz="0" w:space="0" w:color="auto"/>
      </w:divBdr>
    </w:div>
    <w:div w:id="1757284001">
      <w:bodyDiv w:val="1"/>
      <w:marLeft w:val="0"/>
      <w:marRight w:val="0"/>
      <w:marTop w:val="0"/>
      <w:marBottom w:val="0"/>
      <w:divBdr>
        <w:top w:val="none" w:sz="0" w:space="0" w:color="auto"/>
        <w:left w:val="none" w:sz="0" w:space="0" w:color="auto"/>
        <w:bottom w:val="none" w:sz="0" w:space="0" w:color="auto"/>
        <w:right w:val="none" w:sz="0" w:space="0" w:color="auto"/>
      </w:divBdr>
    </w:div>
    <w:div w:id="1757823823">
      <w:bodyDiv w:val="1"/>
      <w:marLeft w:val="0"/>
      <w:marRight w:val="0"/>
      <w:marTop w:val="0"/>
      <w:marBottom w:val="0"/>
      <w:divBdr>
        <w:top w:val="none" w:sz="0" w:space="0" w:color="auto"/>
        <w:left w:val="none" w:sz="0" w:space="0" w:color="auto"/>
        <w:bottom w:val="none" w:sz="0" w:space="0" w:color="auto"/>
        <w:right w:val="none" w:sz="0" w:space="0" w:color="auto"/>
      </w:divBdr>
    </w:div>
    <w:div w:id="1759598517">
      <w:bodyDiv w:val="1"/>
      <w:marLeft w:val="0"/>
      <w:marRight w:val="0"/>
      <w:marTop w:val="0"/>
      <w:marBottom w:val="0"/>
      <w:divBdr>
        <w:top w:val="none" w:sz="0" w:space="0" w:color="auto"/>
        <w:left w:val="none" w:sz="0" w:space="0" w:color="auto"/>
        <w:bottom w:val="none" w:sz="0" w:space="0" w:color="auto"/>
        <w:right w:val="none" w:sz="0" w:space="0" w:color="auto"/>
      </w:divBdr>
    </w:div>
    <w:div w:id="1759979079">
      <w:bodyDiv w:val="1"/>
      <w:marLeft w:val="0"/>
      <w:marRight w:val="0"/>
      <w:marTop w:val="0"/>
      <w:marBottom w:val="0"/>
      <w:divBdr>
        <w:top w:val="none" w:sz="0" w:space="0" w:color="auto"/>
        <w:left w:val="none" w:sz="0" w:space="0" w:color="auto"/>
        <w:bottom w:val="none" w:sz="0" w:space="0" w:color="auto"/>
        <w:right w:val="none" w:sz="0" w:space="0" w:color="auto"/>
      </w:divBdr>
    </w:div>
    <w:div w:id="1762332975">
      <w:bodyDiv w:val="1"/>
      <w:marLeft w:val="0"/>
      <w:marRight w:val="0"/>
      <w:marTop w:val="0"/>
      <w:marBottom w:val="0"/>
      <w:divBdr>
        <w:top w:val="none" w:sz="0" w:space="0" w:color="auto"/>
        <w:left w:val="none" w:sz="0" w:space="0" w:color="auto"/>
        <w:bottom w:val="none" w:sz="0" w:space="0" w:color="auto"/>
        <w:right w:val="none" w:sz="0" w:space="0" w:color="auto"/>
      </w:divBdr>
    </w:div>
    <w:div w:id="1766030738">
      <w:bodyDiv w:val="1"/>
      <w:marLeft w:val="0"/>
      <w:marRight w:val="0"/>
      <w:marTop w:val="0"/>
      <w:marBottom w:val="0"/>
      <w:divBdr>
        <w:top w:val="none" w:sz="0" w:space="0" w:color="auto"/>
        <w:left w:val="none" w:sz="0" w:space="0" w:color="auto"/>
        <w:bottom w:val="none" w:sz="0" w:space="0" w:color="auto"/>
        <w:right w:val="none" w:sz="0" w:space="0" w:color="auto"/>
      </w:divBdr>
    </w:div>
    <w:div w:id="1766146206">
      <w:bodyDiv w:val="1"/>
      <w:marLeft w:val="0"/>
      <w:marRight w:val="0"/>
      <w:marTop w:val="0"/>
      <w:marBottom w:val="0"/>
      <w:divBdr>
        <w:top w:val="none" w:sz="0" w:space="0" w:color="auto"/>
        <w:left w:val="none" w:sz="0" w:space="0" w:color="auto"/>
        <w:bottom w:val="none" w:sz="0" w:space="0" w:color="auto"/>
        <w:right w:val="none" w:sz="0" w:space="0" w:color="auto"/>
      </w:divBdr>
    </w:div>
    <w:div w:id="1767070097">
      <w:bodyDiv w:val="1"/>
      <w:marLeft w:val="0"/>
      <w:marRight w:val="0"/>
      <w:marTop w:val="0"/>
      <w:marBottom w:val="0"/>
      <w:divBdr>
        <w:top w:val="none" w:sz="0" w:space="0" w:color="auto"/>
        <w:left w:val="none" w:sz="0" w:space="0" w:color="auto"/>
        <w:bottom w:val="none" w:sz="0" w:space="0" w:color="auto"/>
        <w:right w:val="none" w:sz="0" w:space="0" w:color="auto"/>
      </w:divBdr>
    </w:div>
    <w:div w:id="1768233746">
      <w:bodyDiv w:val="1"/>
      <w:marLeft w:val="0"/>
      <w:marRight w:val="0"/>
      <w:marTop w:val="0"/>
      <w:marBottom w:val="0"/>
      <w:divBdr>
        <w:top w:val="none" w:sz="0" w:space="0" w:color="auto"/>
        <w:left w:val="none" w:sz="0" w:space="0" w:color="auto"/>
        <w:bottom w:val="none" w:sz="0" w:space="0" w:color="auto"/>
        <w:right w:val="none" w:sz="0" w:space="0" w:color="auto"/>
      </w:divBdr>
    </w:div>
    <w:div w:id="1770198319">
      <w:bodyDiv w:val="1"/>
      <w:marLeft w:val="0"/>
      <w:marRight w:val="0"/>
      <w:marTop w:val="0"/>
      <w:marBottom w:val="0"/>
      <w:divBdr>
        <w:top w:val="none" w:sz="0" w:space="0" w:color="auto"/>
        <w:left w:val="none" w:sz="0" w:space="0" w:color="auto"/>
        <w:bottom w:val="none" w:sz="0" w:space="0" w:color="auto"/>
        <w:right w:val="none" w:sz="0" w:space="0" w:color="auto"/>
      </w:divBdr>
    </w:div>
    <w:div w:id="1775007611">
      <w:bodyDiv w:val="1"/>
      <w:marLeft w:val="0"/>
      <w:marRight w:val="0"/>
      <w:marTop w:val="0"/>
      <w:marBottom w:val="0"/>
      <w:divBdr>
        <w:top w:val="none" w:sz="0" w:space="0" w:color="auto"/>
        <w:left w:val="none" w:sz="0" w:space="0" w:color="auto"/>
        <w:bottom w:val="none" w:sz="0" w:space="0" w:color="auto"/>
        <w:right w:val="none" w:sz="0" w:space="0" w:color="auto"/>
      </w:divBdr>
    </w:div>
    <w:div w:id="1775053223">
      <w:bodyDiv w:val="1"/>
      <w:marLeft w:val="0"/>
      <w:marRight w:val="0"/>
      <w:marTop w:val="0"/>
      <w:marBottom w:val="0"/>
      <w:divBdr>
        <w:top w:val="none" w:sz="0" w:space="0" w:color="auto"/>
        <w:left w:val="none" w:sz="0" w:space="0" w:color="auto"/>
        <w:bottom w:val="none" w:sz="0" w:space="0" w:color="auto"/>
        <w:right w:val="none" w:sz="0" w:space="0" w:color="auto"/>
      </w:divBdr>
    </w:div>
    <w:div w:id="1775854869">
      <w:bodyDiv w:val="1"/>
      <w:marLeft w:val="0"/>
      <w:marRight w:val="0"/>
      <w:marTop w:val="0"/>
      <w:marBottom w:val="0"/>
      <w:divBdr>
        <w:top w:val="none" w:sz="0" w:space="0" w:color="auto"/>
        <w:left w:val="none" w:sz="0" w:space="0" w:color="auto"/>
        <w:bottom w:val="none" w:sz="0" w:space="0" w:color="auto"/>
        <w:right w:val="none" w:sz="0" w:space="0" w:color="auto"/>
      </w:divBdr>
    </w:div>
    <w:div w:id="1776095809">
      <w:bodyDiv w:val="1"/>
      <w:marLeft w:val="0"/>
      <w:marRight w:val="0"/>
      <w:marTop w:val="0"/>
      <w:marBottom w:val="0"/>
      <w:divBdr>
        <w:top w:val="none" w:sz="0" w:space="0" w:color="auto"/>
        <w:left w:val="none" w:sz="0" w:space="0" w:color="auto"/>
        <w:bottom w:val="none" w:sz="0" w:space="0" w:color="auto"/>
        <w:right w:val="none" w:sz="0" w:space="0" w:color="auto"/>
      </w:divBdr>
    </w:div>
    <w:div w:id="1780250035">
      <w:bodyDiv w:val="1"/>
      <w:marLeft w:val="0"/>
      <w:marRight w:val="0"/>
      <w:marTop w:val="0"/>
      <w:marBottom w:val="0"/>
      <w:divBdr>
        <w:top w:val="none" w:sz="0" w:space="0" w:color="auto"/>
        <w:left w:val="none" w:sz="0" w:space="0" w:color="auto"/>
        <w:bottom w:val="none" w:sz="0" w:space="0" w:color="auto"/>
        <w:right w:val="none" w:sz="0" w:space="0" w:color="auto"/>
      </w:divBdr>
    </w:div>
    <w:div w:id="1780679941">
      <w:bodyDiv w:val="1"/>
      <w:marLeft w:val="0"/>
      <w:marRight w:val="0"/>
      <w:marTop w:val="0"/>
      <w:marBottom w:val="0"/>
      <w:divBdr>
        <w:top w:val="none" w:sz="0" w:space="0" w:color="auto"/>
        <w:left w:val="none" w:sz="0" w:space="0" w:color="auto"/>
        <w:bottom w:val="none" w:sz="0" w:space="0" w:color="auto"/>
        <w:right w:val="none" w:sz="0" w:space="0" w:color="auto"/>
      </w:divBdr>
    </w:div>
    <w:div w:id="1781022158">
      <w:bodyDiv w:val="1"/>
      <w:marLeft w:val="0"/>
      <w:marRight w:val="0"/>
      <w:marTop w:val="0"/>
      <w:marBottom w:val="0"/>
      <w:divBdr>
        <w:top w:val="none" w:sz="0" w:space="0" w:color="auto"/>
        <w:left w:val="none" w:sz="0" w:space="0" w:color="auto"/>
        <w:bottom w:val="none" w:sz="0" w:space="0" w:color="auto"/>
        <w:right w:val="none" w:sz="0" w:space="0" w:color="auto"/>
      </w:divBdr>
    </w:div>
    <w:div w:id="1783718633">
      <w:bodyDiv w:val="1"/>
      <w:marLeft w:val="0"/>
      <w:marRight w:val="0"/>
      <w:marTop w:val="0"/>
      <w:marBottom w:val="0"/>
      <w:divBdr>
        <w:top w:val="none" w:sz="0" w:space="0" w:color="auto"/>
        <w:left w:val="none" w:sz="0" w:space="0" w:color="auto"/>
        <w:bottom w:val="none" w:sz="0" w:space="0" w:color="auto"/>
        <w:right w:val="none" w:sz="0" w:space="0" w:color="auto"/>
      </w:divBdr>
    </w:div>
    <w:div w:id="1785079851">
      <w:bodyDiv w:val="1"/>
      <w:marLeft w:val="0"/>
      <w:marRight w:val="0"/>
      <w:marTop w:val="0"/>
      <w:marBottom w:val="0"/>
      <w:divBdr>
        <w:top w:val="none" w:sz="0" w:space="0" w:color="auto"/>
        <w:left w:val="none" w:sz="0" w:space="0" w:color="auto"/>
        <w:bottom w:val="none" w:sz="0" w:space="0" w:color="auto"/>
        <w:right w:val="none" w:sz="0" w:space="0" w:color="auto"/>
      </w:divBdr>
    </w:div>
    <w:div w:id="1787626290">
      <w:bodyDiv w:val="1"/>
      <w:marLeft w:val="0"/>
      <w:marRight w:val="0"/>
      <w:marTop w:val="0"/>
      <w:marBottom w:val="0"/>
      <w:divBdr>
        <w:top w:val="none" w:sz="0" w:space="0" w:color="auto"/>
        <w:left w:val="none" w:sz="0" w:space="0" w:color="auto"/>
        <w:bottom w:val="none" w:sz="0" w:space="0" w:color="auto"/>
        <w:right w:val="none" w:sz="0" w:space="0" w:color="auto"/>
      </w:divBdr>
    </w:div>
    <w:div w:id="1789663619">
      <w:bodyDiv w:val="1"/>
      <w:marLeft w:val="0"/>
      <w:marRight w:val="0"/>
      <w:marTop w:val="0"/>
      <w:marBottom w:val="0"/>
      <w:divBdr>
        <w:top w:val="none" w:sz="0" w:space="0" w:color="auto"/>
        <w:left w:val="none" w:sz="0" w:space="0" w:color="auto"/>
        <w:bottom w:val="none" w:sz="0" w:space="0" w:color="auto"/>
        <w:right w:val="none" w:sz="0" w:space="0" w:color="auto"/>
      </w:divBdr>
    </w:div>
    <w:div w:id="1791893187">
      <w:bodyDiv w:val="1"/>
      <w:marLeft w:val="0"/>
      <w:marRight w:val="0"/>
      <w:marTop w:val="0"/>
      <w:marBottom w:val="0"/>
      <w:divBdr>
        <w:top w:val="none" w:sz="0" w:space="0" w:color="auto"/>
        <w:left w:val="none" w:sz="0" w:space="0" w:color="auto"/>
        <w:bottom w:val="none" w:sz="0" w:space="0" w:color="auto"/>
        <w:right w:val="none" w:sz="0" w:space="0" w:color="auto"/>
      </w:divBdr>
    </w:div>
    <w:div w:id="1798798618">
      <w:bodyDiv w:val="1"/>
      <w:marLeft w:val="0"/>
      <w:marRight w:val="0"/>
      <w:marTop w:val="0"/>
      <w:marBottom w:val="0"/>
      <w:divBdr>
        <w:top w:val="none" w:sz="0" w:space="0" w:color="auto"/>
        <w:left w:val="none" w:sz="0" w:space="0" w:color="auto"/>
        <w:bottom w:val="none" w:sz="0" w:space="0" w:color="auto"/>
        <w:right w:val="none" w:sz="0" w:space="0" w:color="auto"/>
      </w:divBdr>
    </w:div>
    <w:div w:id="1799444584">
      <w:bodyDiv w:val="1"/>
      <w:marLeft w:val="0"/>
      <w:marRight w:val="0"/>
      <w:marTop w:val="0"/>
      <w:marBottom w:val="0"/>
      <w:divBdr>
        <w:top w:val="none" w:sz="0" w:space="0" w:color="auto"/>
        <w:left w:val="none" w:sz="0" w:space="0" w:color="auto"/>
        <w:bottom w:val="none" w:sz="0" w:space="0" w:color="auto"/>
        <w:right w:val="none" w:sz="0" w:space="0" w:color="auto"/>
      </w:divBdr>
    </w:div>
    <w:div w:id="1802306706">
      <w:bodyDiv w:val="1"/>
      <w:marLeft w:val="0"/>
      <w:marRight w:val="0"/>
      <w:marTop w:val="0"/>
      <w:marBottom w:val="0"/>
      <w:divBdr>
        <w:top w:val="none" w:sz="0" w:space="0" w:color="auto"/>
        <w:left w:val="none" w:sz="0" w:space="0" w:color="auto"/>
        <w:bottom w:val="none" w:sz="0" w:space="0" w:color="auto"/>
        <w:right w:val="none" w:sz="0" w:space="0" w:color="auto"/>
      </w:divBdr>
    </w:div>
    <w:div w:id="1802965004">
      <w:bodyDiv w:val="1"/>
      <w:marLeft w:val="0"/>
      <w:marRight w:val="0"/>
      <w:marTop w:val="0"/>
      <w:marBottom w:val="0"/>
      <w:divBdr>
        <w:top w:val="none" w:sz="0" w:space="0" w:color="auto"/>
        <w:left w:val="none" w:sz="0" w:space="0" w:color="auto"/>
        <w:bottom w:val="none" w:sz="0" w:space="0" w:color="auto"/>
        <w:right w:val="none" w:sz="0" w:space="0" w:color="auto"/>
      </w:divBdr>
    </w:div>
    <w:div w:id="1804035993">
      <w:bodyDiv w:val="1"/>
      <w:marLeft w:val="0"/>
      <w:marRight w:val="0"/>
      <w:marTop w:val="0"/>
      <w:marBottom w:val="0"/>
      <w:divBdr>
        <w:top w:val="none" w:sz="0" w:space="0" w:color="auto"/>
        <w:left w:val="none" w:sz="0" w:space="0" w:color="auto"/>
        <w:bottom w:val="none" w:sz="0" w:space="0" w:color="auto"/>
        <w:right w:val="none" w:sz="0" w:space="0" w:color="auto"/>
      </w:divBdr>
    </w:div>
    <w:div w:id="1804150090">
      <w:bodyDiv w:val="1"/>
      <w:marLeft w:val="0"/>
      <w:marRight w:val="0"/>
      <w:marTop w:val="0"/>
      <w:marBottom w:val="0"/>
      <w:divBdr>
        <w:top w:val="none" w:sz="0" w:space="0" w:color="auto"/>
        <w:left w:val="none" w:sz="0" w:space="0" w:color="auto"/>
        <w:bottom w:val="none" w:sz="0" w:space="0" w:color="auto"/>
        <w:right w:val="none" w:sz="0" w:space="0" w:color="auto"/>
      </w:divBdr>
    </w:div>
    <w:div w:id="1805928139">
      <w:bodyDiv w:val="1"/>
      <w:marLeft w:val="0"/>
      <w:marRight w:val="0"/>
      <w:marTop w:val="0"/>
      <w:marBottom w:val="0"/>
      <w:divBdr>
        <w:top w:val="none" w:sz="0" w:space="0" w:color="auto"/>
        <w:left w:val="none" w:sz="0" w:space="0" w:color="auto"/>
        <w:bottom w:val="none" w:sz="0" w:space="0" w:color="auto"/>
        <w:right w:val="none" w:sz="0" w:space="0" w:color="auto"/>
      </w:divBdr>
    </w:div>
    <w:div w:id="1806852323">
      <w:bodyDiv w:val="1"/>
      <w:marLeft w:val="0"/>
      <w:marRight w:val="0"/>
      <w:marTop w:val="0"/>
      <w:marBottom w:val="0"/>
      <w:divBdr>
        <w:top w:val="none" w:sz="0" w:space="0" w:color="auto"/>
        <w:left w:val="none" w:sz="0" w:space="0" w:color="auto"/>
        <w:bottom w:val="none" w:sz="0" w:space="0" w:color="auto"/>
        <w:right w:val="none" w:sz="0" w:space="0" w:color="auto"/>
      </w:divBdr>
    </w:div>
    <w:div w:id="1808815427">
      <w:bodyDiv w:val="1"/>
      <w:marLeft w:val="0"/>
      <w:marRight w:val="0"/>
      <w:marTop w:val="0"/>
      <w:marBottom w:val="0"/>
      <w:divBdr>
        <w:top w:val="none" w:sz="0" w:space="0" w:color="auto"/>
        <w:left w:val="none" w:sz="0" w:space="0" w:color="auto"/>
        <w:bottom w:val="none" w:sz="0" w:space="0" w:color="auto"/>
        <w:right w:val="none" w:sz="0" w:space="0" w:color="auto"/>
      </w:divBdr>
    </w:div>
    <w:div w:id="1811746812">
      <w:bodyDiv w:val="1"/>
      <w:marLeft w:val="0"/>
      <w:marRight w:val="0"/>
      <w:marTop w:val="0"/>
      <w:marBottom w:val="0"/>
      <w:divBdr>
        <w:top w:val="none" w:sz="0" w:space="0" w:color="auto"/>
        <w:left w:val="none" w:sz="0" w:space="0" w:color="auto"/>
        <w:bottom w:val="none" w:sz="0" w:space="0" w:color="auto"/>
        <w:right w:val="none" w:sz="0" w:space="0" w:color="auto"/>
      </w:divBdr>
    </w:div>
    <w:div w:id="1812750023">
      <w:bodyDiv w:val="1"/>
      <w:marLeft w:val="0"/>
      <w:marRight w:val="0"/>
      <w:marTop w:val="0"/>
      <w:marBottom w:val="0"/>
      <w:divBdr>
        <w:top w:val="none" w:sz="0" w:space="0" w:color="auto"/>
        <w:left w:val="none" w:sz="0" w:space="0" w:color="auto"/>
        <w:bottom w:val="none" w:sz="0" w:space="0" w:color="auto"/>
        <w:right w:val="none" w:sz="0" w:space="0" w:color="auto"/>
      </w:divBdr>
    </w:div>
    <w:div w:id="1817258284">
      <w:bodyDiv w:val="1"/>
      <w:marLeft w:val="0"/>
      <w:marRight w:val="0"/>
      <w:marTop w:val="0"/>
      <w:marBottom w:val="0"/>
      <w:divBdr>
        <w:top w:val="none" w:sz="0" w:space="0" w:color="auto"/>
        <w:left w:val="none" w:sz="0" w:space="0" w:color="auto"/>
        <w:bottom w:val="none" w:sz="0" w:space="0" w:color="auto"/>
        <w:right w:val="none" w:sz="0" w:space="0" w:color="auto"/>
      </w:divBdr>
    </w:div>
    <w:div w:id="1818034601">
      <w:bodyDiv w:val="1"/>
      <w:marLeft w:val="0"/>
      <w:marRight w:val="0"/>
      <w:marTop w:val="0"/>
      <w:marBottom w:val="0"/>
      <w:divBdr>
        <w:top w:val="none" w:sz="0" w:space="0" w:color="auto"/>
        <w:left w:val="none" w:sz="0" w:space="0" w:color="auto"/>
        <w:bottom w:val="none" w:sz="0" w:space="0" w:color="auto"/>
        <w:right w:val="none" w:sz="0" w:space="0" w:color="auto"/>
      </w:divBdr>
    </w:div>
    <w:div w:id="1820534316">
      <w:bodyDiv w:val="1"/>
      <w:marLeft w:val="0"/>
      <w:marRight w:val="0"/>
      <w:marTop w:val="0"/>
      <w:marBottom w:val="0"/>
      <w:divBdr>
        <w:top w:val="none" w:sz="0" w:space="0" w:color="auto"/>
        <w:left w:val="none" w:sz="0" w:space="0" w:color="auto"/>
        <w:bottom w:val="none" w:sz="0" w:space="0" w:color="auto"/>
        <w:right w:val="none" w:sz="0" w:space="0" w:color="auto"/>
      </w:divBdr>
    </w:div>
    <w:div w:id="1820802274">
      <w:bodyDiv w:val="1"/>
      <w:marLeft w:val="0"/>
      <w:marRight w:val="0"/>
      <w:marTop w:val="0"/>
      <w:marBottom w:val="0"/>
      <w:divBdr>
        <w:top w:val="none" w:sz="0" w:space="0" w:color="auto"/>
        <w:left w:val="none" w:sz="0" w:space="0" w:color="auto"/>
        <w:bottom w:val="none" w:sz="0" w:space="0" w:color="auto"/>
        <w:right w:val="none" w:sz="0" w:space="0" w:color="auto"/>
      </w:divBdr>
    </w:div>
    <w:div w:id="1824393638">
      <w:bodyDiv w:val="1"/>
      <w:marLeft w:val="0"/>
      <w:marRight w:val="0"/>
      <w:marTop w:val="0"/>
      <w:marBottom w:val="0"/>
      <w:divBdr>
        <w:top w:val="none" w:sz="0" w:space="0" w:color="auto"/>
        <w:left w:val="none" w:sz="0" w:space="0" w:color="auto"/>
        <w:bottom w:val="none" w:sz="0" w:space="0" w:color="auto"/>
        <w:right w:val="none" w:sz="0" w:space="0" w:color="auto"/>
      </w:divBdr>
    </w:div>
    <w:div w:id="1825079210">
      <w:bodyDiv w:val="1"/>
      <w:marLeft w:val="0"/>
      <w:marRight w:val="0"/>
      <w:marTop w:val="0"/>
      <w:marBottom w:val="0"/>
      <w:divBdr>
        <w:top w:val="none" w:sz="0" w:space="0" w:color="auto"/>
        <w:left w:val="none" w:sz="0" w:space="0" w:color="auto"/>
        <w:bottom w:val="none" w:sz="0" w:space="0" w:color="auto"/>
        <w:right w:val="none" w:sz="0" w:space="0" w:color="auto"/>
      </w:divBdr>
    </w:div>
    <w:div w:id="1826044747">
      <w:bodyDiv w:val="1"/>
      <w:marLeft w:val="0"/>
      <w:marRight w:val="0"/>
      <w:marTop w:val="0"/>
      <w:marBottom w:val="0"/>
      <w:divBdr>
        <w:top w:val="none" w:sz="0" w:space="0" w:color="auto"/>
        <w:left w:val="none" w:sz="0" w:space="0" w:color="auto"/>
        <w:bottom w:val="none" w:sz="0" w:space="0" w:color="auto"/>
        <w:right w:val="none" w:sz="0" w:space="0" w:color="auto"/>
      </w:divBdr>
    </w:div>
    <w:div w:id="1828129466">
      <w:bodyDiv w:val="1"/>
      <w:marLeft w:val="0"/>
      <w:marRight w:val="0"/>
      <w:marTop w:val="0"/>
      <w:marBottom w:val="0"/>
      <w:divBdr>
        <w:top w:val="none" w:sz="0" w:space="0" w:color="auto"/>
        <w:left w:val="none" w:sz="0" w:space="0" w:color="auto"/>
        <w:bottom w:val="none" w:sz="0" w:space="0" w:color="auto"/>
        <w:right w:val="none" w:sz="0" w:space="0" w:color="auto"/>
      </w:divBdr>
    </w:div>
    <w:div w:id="1830124331">
      <w:bodyDiv w:val="1"/>
      <w:marLeft w:val="0"/>
      <w:marRight w:val="0"/>
      <w:marTop w:val="0"/>
      <w:marBottom w:val="0"/>
      <w:divBdr>
        <w:top w:val="none" w:sz="0" w:space="0" w:color="auto"/>
        <w:left w:val="none" w:sz="0" w:space="0" w:color="auto"/>
        <w:bottom w:val="none" w:sz="0" w:space="0" w:color="auto"/>
        <w:right w:val="none" w:sz="0" w:space="0" w:color="auto"/>
      </w:divBdr>
    </w:div>
    <w:div w:id="1832482136">
      <w:bodyDiv w:val="1"/>
      <w:marLeft w:val="0"/>
      <w:marRight w:val="0"/>
      <w:marTop w:val="0"/>
      <w:marBottom w:val="0"/>
      <w:divBdr>
        <w:top w:val="none" w:sz="0" w:space="0" w:color="auto"/>
        <w:left w:val="none" w:sz="0" w:space="0" w:color="auto"/>
        <w:bottom w:val="none" w:sz="0" w:space="0" w:color="auto"/>
        <w:right w:val="none" w:sz="0" w:space="0" w:color="auto"/>
      </w:divBdr>
    </w:div>
    <w:div w:id="1833644355">
      <w:bodyDiv w:val="1"/>
      <w:marLeft w:val="0"/>
      <w:marRight w:val="0"/>
      <w:marTop w:val="0"/>
      <w:marBottom w:val="0"/>
      <w:divBdr>
        <w:top w:val="none" w:sz="0" w:space="0" w:color="auto"/>
        <w:left w:val="none" w:sz="0" w:space="0" w:color="auto"/>
        <w:bottom w:val="none" w:sz="0" w:space="0" w:color="auto"/>
        <w:right w:val="none" w:sz="0" w:space="0" w:color="auto"/>
      </w:divBdr>
    </w:div>
    <w:div w:id="1834879841">
      <w:bodyDiv w:val="1"/>
      <w:marLeft w:val="0"/>
      <w:marRight w:val="0"/>
      <w:marTop w:val="0"/>
      <w:marBottom w:val="0"/>
      <w:divBdr>
        <w:top w:val="none" w:sz="0" w:space="0" w:color="auto"/>
        <w:left w:val="none" w:sz="0" w:space="0" w:color="auto"/>
        <w:bottom w:val="none" w:sz="0" w:space="0" w:color="auto"/>
        <w:right w:val="none" w:sz="0" w:space="0" w:color="auto"/>
      </w:divBdr>
    </w:div>
    <w:div w:id="1835140854">
      <w:bodyDiv w:val="1"/>
      <w:marLeft w:val="0"/>
      <w:marRight w:val="0"/>
      <w:marTop w:val="0"/>
      <w:marBottom w:val="0"/>
      <w:divBdr>
        <w:top w:val="none" w:sz="0" w:space="0" w:color="auto"/>
        <w:left w:val="none" w:sz="0" w:space="0" w:color="auto"/>
        <w:bottom w:val="none" w:sz="0" w:space="0" w:color="auto"/>
        <w:right w:val="none" w:sz="0" w:space="0" w:color="auto"/>
      </w:divBdr>
    </w:div>
    <w:div w:id="1835680629">
      <w:bodyDiv w:val="1"/>
      <w:marLeft w:val="0"/>
      <w:marRight w:val="0"/>
      <w:marTop w:val="0"/>
      <w:marBottom w:val="0"/>
      <w:divBdr>
        <w:top w:val="none" w:sz="0" w:space="0" w:color="auto"/>
        <w:left w:val="none" w:sz="0" w:space="0" w:color="auto"/>
        <w:bottom w:val="none" w:sz="0" w:space="0" w:color="auto"/>
        <w:right w:val="none" w:sz="0" w:space="0" w:color="auto"/>
      </w:divBdr>
    </w:div>
    <w:div w:id="1837529335">
      <w:bodyDiv w:val="1"/>
      <w:marLeft w:val="0"/>
      <w:marRight w:val="0"/>
      <w:marTop w:val="0"/>
      <w:marBottom w:val="0"/>
      <w:divBdr>
        <w:top w:val="none" w:sz="0" w:space="0" w:color="auto"/>
        <w:left w:val="none" w:sz="0" w:space="0" w:color="auto"/>
        <w:bottom w:val="none" w:sz="0" w:space="0" w:color="auto"/>
        <w:right w:val="none" w:sz="0" w:space="0" w:color="auto"/>
      </w:divBdr>
    </w:div>
    <w:div w:id="1839416364">
      <w:bodyDiv w:val="1"/>
      <w:marLeft w:val="0"/>
      <w:marRight w:val="0"/>
      <w:marTop w:val="0"/>
      <w:marBottom w:val="0"/>
      <w:divBdr>
        <w:top w:val="none" w:sz="0" w:space="0" w:color="auto"/>
        <w:left w:val="none" w:sz="0" w:space="0" w:color="auto"/>
        <w:bottom w:val="none" w:sz="0" w:space="0" w:color="auto"/>
        <w:right w:val="none" w:sz="0" w:space="0" w:color="auto"/>
      </w:divBdr>
    </w:div>
    <w:div w:id="1839734342">
      <w:bodyDiv w:val="1"/>
      <w:marLeft w:val="0"/>
      <w:marRight w:val="0"/>
      <w:marTop w:val="0"/>
      <w:marBottom w:val="0"/>
      <w:divBdr>
        <w:top w:val="none" w:sz="0" w:space="0" w:color="auto"/>
        <w:left w:val="none" w:sz="0" w:space="0" w:color="auto"/>
        <w:bottom w:val="none" w:sz="0" w:space="0" w:color="auto"/>
        <w:right w:val="none" w:sz="0" w:space="0" w:color="auto"/>
      </w:divBdr>
    </w:div>
    <w:div w:id="1840610748">
      <w:bodyDiv w:val="1"/>
      <w:marLeft w:val="0"/>
      <w:marRight w:val="0"/>
      <w:marTop w:val="0"/>
      <w:marBottom w:val="0"/>
      <w:divBdr>
        <w:top w:val="none" w:sz="0" w:space="0" w:color="auto"/>
        <w:left w:val="none" w:sz="0" w:space="0" w:color="auto"/>
        <w:bottom w:val="none" w:sz="0" w:space="0" w:color="auto"/>
        <w:right w:val="none" w:sz="0" w:space="0" w:color="auto"/>
      </w:divBdr>
    </w:div>
    <w:div w:id="1844975179">
      <w:bodyDiv w:val="1"/>
      <w:marLeft w:val="0"/>
      <w:marRight w:val="0"/>
      <w:marTop w:val="0"/>
      <w:marBottom w:val="0"/>
      <w:divBdr>
        <w:top w:val="none" w:sz="0" w:space="0" w:color="auto"/>
        <w:left w:val="none" w:sz="0" w:space="0" w:color="auto"/>
        <w:bottom w:val="none" w:sz="0" w:space="0" w:color="auto"/>
        <w:right w:val="none" w:sz="0" w:space="0" w:color="auto"/>
      </w:divBdr>
    </w:div>
    <w:div w:id="1845244448">
      <w:bodyDiv w:val="1"/>
      <w:marLeft w:val="0"/>
      <w:marRight w:val="0"/>
      <w:marTop w:val="0"/>
      <w:marBottom w:val="0"/>
      <w:divBdr>
        <w:top w:val="none" w:sz="0" w:space="0" w:color="auto"/>
        <w:left w:val="none" w:sz="0" w:space="0" w:color="auto"/>
        <w:bottom w:val="none" w:sz="0" w:space="0" w:color="auto"/>
        <w:right w:val="none" w:sz="0" w:space="0" w:color="auto"/>
      </w:divBdr>
    </w:div>
    <w:div w:id="1845322965">
      <w:bodyDiv w:val="1"/>
      <w:marLeft w:val="0"/>
      <w:marRight w:val="0"/>
      <w:marTop w:val="0"/>
      <w:marBottom w:val="0"/>
      <w:divBdr>
        <w:top w:val="none" w:sz="0" w:space="0" w:color="auto"/>
        <w:left w:val="none" w:sz="0" w:space="0" w:color="auto"/>
        <w:bottom w:val="none" w:sz="0" w:space="0" w:color="auto"/>
        <w:right w:val="none" w:sz="0" w:space="0" w:color="auto"/>
      </w:divBdr>
    </w:div>
    <w:div w:id="1848787315">
      <w:bodyDiv w:val="1"/>
      <w:marLeft w:val="0"/>
      <w:marRight w:val="0"/>
      <w:marTop w:val="0"/>
      <w:marBottom w:val="0"/>
      <w:divBdr>
        <w:top w:val="none" w:sz="0" w:space="0" w:color="auto"/>
        <w:left w:val="none" w:sz="0" w:space="0" w:color="auto"/>
        <w:bottom w:val="none" w:sz="0" w:space="0" w:color="auto"/>
        <w:right w:val="none" w:sz="0" w:space="0" w:color="auto"/>
      </w:divBdr>
    </w:div>
    <w:div w:id="1849639402">
      <w:bodyDiv w:val="1"/>
      <w:marLeft w:val="0"/>
      <w:marRight w:val="0"/>
      <w:marTop w:val="0"/>
      <w:marBottom w:val="0"/>
      <w:divBdr>
        <w:top w:val="none" w:sz="0" w:space="0" w:color="auto"/>
        <w:left w:val="none" w:sz="0" w:space="0" w:color="auto"/>
        <w:bottom w:val="none" w:sz="0" w:space="0" w:color="auto"/>
        <w:right w:val="none" w:sz="0" w:space="0" w:color="auto"/>
      </w:divBdr>
    </w:div>
    <w:div w:id="1850754180">
      <w:bodyDiv w:val="1"/>
      <w:marLeft w:val="0"/>
      <w:marRight w:val="0"/>
      <w:marTop w:val="0"/>
      <w:marBottom w:val="0"/>
      <w:divBdr>
        <w:top w:val="none" w:sz="0" w:space="0" w:color="auto"/>
        <w:left w:val="none" w:sz="0" w:space="0" w:color="auto"/>
        <w:bottom w:val="none" w:sz="0" w:space="0" w:color="auto"/>
        <w:right w:val="none" w:sz="0" w:space="0" w:color="auto"/>
      </w:divBdr>
    </w:div>
    <w:div w:id="1852138011">
      <w:bodyDiv w:val="1"/>
      <w:marLeft w:val="0"/>
      <w:marRight w:val="0"/>
      <w:marTop w:val="0"/>
      <w:marBottom w:val="0"/>
      <w:divBdr>
        <w:top w:val="none" w:sz="0" w:space="0" w:color="auto"/>
        <w:left w:val="none" w:sz="0" w:space="0" w:color="auto"/>
        <w:bottom w:val="none" w:sz="0" w:space="0" w:color="auto"/>
        <w:right w:val="none" w:sz="0" w:space="0" w:color="auto"/>
      </w:divBdr>
    </w:div>
    <w:div w:id="1854420399">
      <w:bodyDiv w:val="1"/>
      <w:marLeft w:val="0"/>
      <w:marRight w:val="0"/>
      <w:marTop w:val="0"/>
      <w:marBottom w:val="0"/>
      <w:divBdr>
        <w:top w:val="none" w:sz="0" w:space="0" w:color="auto"/>
        <w:left w:val="none" w:sz="0" w:space="0" w:color="auto"/>
        <w:bottom w:val="none" w:sz="0" w:space="0" w:color="auto"/>
        <w:right w:val="none" w:sz="0" w:space="0" w:color="auto"/>
      </w:divBdr>
    </w:div>
    <w:div w:id="1860509632">
      <w:bodyDiv w:val="1"/>
      <w:marLeft w:val="0"/>
      <w:marRight w:val="0"/>
      <w:marTop w:val="0"/>
      <w:marBottom w:val="0"/>
      <w:divBdr>
        <w:top w:val="none" w:sz="0" w:space="0" w:color="auto"/>
        <w:left w:val="none" w:sz="0" w:space="0" w:color="auto"/>
        <w:bottom w:val="none" w:sz="0" w:space="0" w:color="auto"/>
        <w:right w:val="none" w:sz="0" w:space="0" w:color="auto"/>
      </w:divBdr>
    </w:div>
    <w:div w:id="1861581157">
      <w:bodyDiv w:val="1"/>
      <w:marLeft w:val="0"/>
      <w:marRight w:val="0"/>
      <w:marTop w:val="0"/>
      <w:marBottom w:val="0"/>
      <w:divBdr>
        <w:top w:val="none" w:sz="0" w:space="0" w:color="auto"/>
        <w:left w:val="none" w:sz="0" w:space="0" w:color="auto"/>
        <w:bottom w:val="none" w:sz="0" w:space="0" w:color="auto"/>
        <w:right w:val="none" w:sz="0" w:space="0" w:color="auto"/>
      </w:divBdr>
    </w:div>
    <w:div w:id="1863207762">
      <w:bodyDiv w:val="1"/>
      <w:marLeft w:val="0"/>
      <w:marRight w:val="0"/>
      <w:marTop w:val="0"/>
      <w:marBottom w:val="0"/>
      <w:divBdr>
        <w:top w:val="none" w:sz="0" w:space="0" w:color="auto"/>
        <w:left w:val="none" w:sz="0" w:space="0" w:color="auto"/>
        <w:bottom w:val="none" w:sz="0" w:space="0" w:color="auto"/>
        <w:right w:val="none" w:sz="0" w:space="0" w:color="auto"/>
      </w:divBdr>
    </w:div>
    <w:div w:id="1865243606">
      <w:bodyDiv w:val="1"/>
      <w:marLeft w:val="0"/>
      <w:marRight w:val="0"/>
      <w:marTop w:val="0"/>
      <w:marBottom w:val="0"/>
      <w:divBdr>
        <w:top w:val="none" w:sz="0" w:space="0" w:color="auto"/>
        <w:left w:val="none" w:sz="0" w:space="0" w:color="auto"/>
        <w:bottom w:val="none" w:sz="0" w:space="0" w:color="auto"/>
        <w:right w:val="none" w:sz="0" w:space="0" w:color="auto"/>
      </w:divBdr>
    </w:div>
    <w:div w:id="1867012539">
      <w:bodyDiv w:val="1"/>
      <w:marLeft w:val="0"/>
      <w:marRight w:val="0"/>
      <w:marTop w:val="0"/>
      <w:marBottom w:val="0"/>
      <w:divBdr>
        <w:top w:val="none" w:sz="0" w:space="0" w:color="auto"/>
        <w:left w:val="none" w:sz="0" w:space="0" w:color="auto"/>
        <w:bottom w:val="none" w:sz="0" w:space="0" w:color="auto"/>
        <w:right w:val="none" w:sz="0" w:space="0" w:color="auto"/>
      </w:divBdr>
    </w:div>
    <w:div w:id="1868983048">
      <w:bodyDiv w:val="1"/>
      <w:marLeft w:val="0"/>
      <w:marRight w:val="0"/>
      <w:marTop w:val="0"/>
      <w:marBottom w:val="0"/>
      <w:divBdr>
        <w:top w:val="none" w:sz="0" w:space="0" w:color="auto"/>
        <w:left w:val="none" w:sz="0" w:space="0" w:color="auto"/>
        <w:bottom w:val="none" w:sz="0" w:space="0" w:color="auto"/>
        <w:right w:val="none" w:sz="0" w:space="0" w:color="auto"/>
      </w:divBdr>
    </w:div>
    <w:div w:id="1869294547">
      <w:bodyDiv w:val="1"/>
      <w:marLeft w:val="0"/>
      <w:marRight w:val="0"/>
      <w:marTop w:val="0"/>
      <w:marBottom w:val="0"/>
      <w:divBdr>
        <w:top w:val="none" w:sz="0" w:space="0" w:color="auto"/>
        <w:left w:val="none" w:sz="0" w:space="0" w:color="auto"/>
        <w:bottom w:val="none" w:sz="0" w:space="0" w:color="auto"/>
        <w:right w:val="none" w:sz="0" w:space="0" w:color="auto"/>
      </w:divBdr>
    </w:div>
    <w:div w:id="1871331155">
      <w:bodyDiv w:val="1"/>
      <w:marLeft w:val="0"/>
      <w:marRight w:val="0"/>
      <w:marTop w:val="0"/>
      <w:marBottom w:val="0"/>
      <w:divBdr>
        <w:top w:val="none" w:sz="0" w:space="0" w:color="auto"/>
        <w:left w:val="none" w:sz="0" w:space="0" w:color="auto"/>
        <w:bottom w:val="none" w:sz="0" w:space="0" w:color="auto"/>
        <w:right w:val="none" w:sz="0" w:space="0" w:color="auto"/>
      </w:divBdr>
    </w:div>
    <w:div w:id="1873104763">
      <w:bodyDiv w:val="1"/>
      <w:marLeft w:val="0"/>
      <w:marRight w:val="0"/>
      <w:marTop w:val="0"/>
      <w:marBottom w:val="0"/>
      <w:divBdr>
        <w:top w:val="none" w:sz="0" w:space="0" w:color="auto"/>
        <w:left w:val="none" w:sz="0" w:space="0" w:color="auto"/>
        <w:bottom w:val="none" w:sz="0" w:space="0" w:color="auto"/>
        <w:right w:val="none" w:sz="0" w:space="0" w:color="auto"/>
      </w:divBdr>
    </w:div>
    <w:div w:id="1874423425">
      <w:bodyDiv w:val="1"/>
      <w:marLeft w:val="0"/>
      <w:marRight w:val="0"/>
      <w:marTop w:val="0"/>
      <w:marBottom w:val="0"/>
      <w:divBdr>
        <w:top w:val="none" w:sz="0" w:space="0" w:color="auto"/>
        <w:left w:val="none" w:sz="0" w:space="0" w:color="auto"/>
        <w:bottom w:val="none" w:sz="0" w:space="0" w:color="auto"/>
        <w:right w:val="none" w:sz="0" w:space="0" w:color="auto"/>
      </w:divBdr>
    </w:div>
    <w:div w:id="1875120567">
      <w:bodyDiv w:val="1"/>
      <w:marLeft w:val="0"/>
      <w:marRight w:val="0"/>
      <w:marTop w:val="0"/>
      <w:marBottom w:val="0"/>
      <w:divBdr>
        <w:top w:val="none" w:sz="0" w:space="0" w:color="auto"/>
        <w:left w:val="none" w:sz="0" w:space="0" w:color="auto"/>
        <w:bottom w:val="none" w:sz="0" w:space="0" w:color="auto"/>
        <w:right w:val="none" w:sz="0" w:space="0" w:color="auto"/>
      </w:divBdr>
    </w:div>
    <w:div w:id="1875270763">
      <w:bodyDiv w:val="1"/>
      <w:marLeft w:val="0"/>
      <w:marRight w:val="0"/>
      <w:marTop w:val="0"/>
      <w:marBottom w:val="0"/>
      <w:divBdr>
        <w:top w:val="none" w:sz="0" w:space="0" w:color="auto"/>
        <w:left w:val="none" w:sz="0" w:space="0" w:color="auto"/>
        <w:bottom w:val="none" w:sz="0" w:space="0" w:color="auto"/>
        <w:right w:val="none" w:sz="0" w:space="0" w:color="auto"/>
      </w:divBdr>
    </w:div>
    <w:div w:id="1876114761">
      <w:bodyDiv w:val="1"/>
      <w:marLeft w:val="0"/>
      <w:marRight w:val="0"/>
      <w:marTop w:val="0"/>
      <w:marBottom w:val="0"/>
      <w:divBdr>
        <w:top w:val="none" w:sz="0" w:space="0" w:color="auto"/>
        <w:left w:val="none" w:sz="0" w:space="0" w:color="auto"/>
        <w:bottom w:val="none" w:sz="0" w:space="0" w:color="auto"/>
        <w:right w:val="none" w:sz="0" w:space="0" w:color="auto"/>
      </w:divBdr>
    </w:div>
    <w:div w:id="1876382072">
      <w:bodyDiv w:val="1"/>
      <w:marLeft w:val="0"/>
      <w:marRight w:val="0"/>
      <w:marTop w:val="0"/>
      <w:marBottom w:val="0"/>
      <w:divBdr>
        <w:top w:val="none" w:sz="0" w:space="0" w:color="auto"/>
        <w:left w:val="none" w:sz="0" w:space="0" w:color="auto"/>
        <w:bottom w:val="none" w:sz="0" w:space="0" w:color="auto"/>
        <w:right w:val="none" w:sz="0" w:space="0" w:color="auto"/>
      </w:divBdr>
    </w:div>
    <w:div w:id="1877428546">
      <w:bodyDiv w:val="1"/>
      <w:marLeft w:val="0"/>
      <w:marRight w:val="0"/>
      <w:marTop w:val="0"/>
      <w:marBottom w:val="0"/>
      <w:divBdr>
        <w:top w:val="none" w:sz="0" w:space="0" w:color="auto"/>
        <w:left w:val="none" w:sz="0" w:space="0" w:color="auto"/>
        <w:bottom w:val="none" w:sz="0" w:space="0" w:color="auto"/>
        <w:right w:val="none" w:sz="0" w:space="0" w:color="auto"/>
      </w:divBdr>
    </w:div>
    <w:div w:id="1880582532">
      <w:bodyDiv w:val="1"/>
      <w:marLeft w:val="0"/>
      <w:marRight w:val="0"/>
      <w:marTop w:val="0"/>
      <w:marBottom w:val="0"/>
      <w:divBdr>
        <w:top w:val="none" w:sz="0" w:space="0" w:color="auto"/>
        <w:left w:val="none" w:sz="0" w:space="0" w:color="auto"/>
        <w:bottom w:val="none" w:sz="0" w:space="0" w:color="auto"/>
        <w:right w:val="none" w:sz="0" w:space="0" w:color="auto"/>
      </w:divBdr>
    </w:div>
    <w:div w:id="1880780018">
      <w:bodyDiv w:val="1"/>
      <w:marLeft w:val="0"/>
      <w:marRight w:val="0"/>
      <w:marTop w:val="0"/>
      <w:marBottom w:val="0"/>
      <w:divBdr>
        <w:top w:val="none" w:sz="0" w:space="0" w:color="auto"/>
        <w:left w:val="none" w:sz="0" w:space="0" w:color="auto"/>
        <w:bottom w:val="none" w:sz="0" w:space="0" w:color="auto"/>
        <w:right w:val="none" w:sz="0" w:space="0" w:color="auto"/>
      </w:divBdr>
    </w:div>
    <w:div w:id="1881822852">
      <w:bodyDiv w:val="1"/>
      <w:marLeft w:val="0"/>
      <w:marRight w:val="0"/>
      <w:marTop w:val="0"/>
      <w:marBottom w:val="0"/>
      <w:divBdr>
        <w:top w:val="none" w:sz="0" w:space="0" w:color="auto"/>
        <w:left w:val="none" w:sz="0" w:space="0" w:color="auto"/>
        <w:bottom w:val="none" w:sz="0" w:space="0" w:color="auto"/>
        <w:right w:val="none" w:sz="0" w:space="0" w:color="auto"/>
      </w:divBdr>
    </w:div>
    <w:div w:id="1882084091">
      <w:bodyDiv w:val="1"/>
      <w:marLeft w:val="0"/>
      <w:marRight w:val="0"/>
      <w:marTop w:val="0"/>
      <w:marBottom w:val="0"/>
      <w:divBdr>
        <w:top w:val="none" w:sz="0" w:space="0" w:color="auto"/>
        <w:left w:val="none" w:sz="0" w:space="0" w:color="auto"/>
        <w:bottom w:val="none" w:sz="0" w:space="0" w:color="auto"/>
        <w:right w:val="none" w:sz="0" w:space="0" w:color="auto"/>
      </w:divBdr>
    </w:div>
    <w:div w:id="1884442838">
      <w:bodyDiv w:val="1"/>
      <w:marLeft w:val="0"/>
      <w:marRight w:val="0"/>
      <w:marTop w:val="0"/>
      <w:marBottom w:val="0"/>
      <w:divBdr>
        <w:top w:val="none" w:sz="0" w:space="0" w:color="auto"/>
        <w:left w:val="none" w:sz="0" w:space="0" w:color="auto"/>
        <w:bottom w:val="none" w:sz="0" w:space="0" w:color="auto"/>
        <w:right w:val="none" w:sz="0" w:space="0" w:color="auto"/>
      </w:divBdr>
    </w:div>
    <w:div w:id="1885016397">
      <w:bodyDiv w:val="1"/>
      <w:marLeft w:val="0"/>
      <w:marRight w:val="0"/>
      <w:marTop w:val="0"/>
      <w:marBottom w:val="0"/>
      <w:divBdr>
        <w:top w:val="none" w:sz="0" w:space="0" w:color="auto"/>
        <w:left w:val="none" w:sz="0" w:space="0" w:color="auto"/>
        <w:bottom w:val="none" w:sz="0" w:space="0" w:color="auto"/>
        <w:right w:val="none" w:sz="0" w:space="0" w:color="auto"/>
      </w:divBdr>
    </w:div>
    <w:div w:id="1887639211">
      <w:bodyDiv w:val="1"/>
      <w:marLeft w:val="0"/>
      <w:marRight w:val="0"/>
      <w:marTop w:val="0"/>
      <w:marBottom w:val="0"/>
      <w:divBdr>
        <w:top w:val="none" w:sz="0" w:space="0" w:color="auto"/>
        <w:left w:val="none" w:sz="0" w:space="0" w:color="auto"/>
        <w:bottom w:val="none" w:sz="0" w:space="0" w:color="auto"/>
        <w:right w:val="none" w:sz="0" w:space="0" w:color="auto"/>
      </w:divBdr>
    </w:div>
    <w:div w:id="1887831022">
      <w:bodyDiv w:val="1"/>
      <w:marLeft w:val="0"/>
      <w:marRight w:val="0"/>
      <w:marTop w:val="0"/>
      <w:marBottom w:val="0"/>
      <w:divBdr>
        <w:top w:val="none" w:sz="0" w:space="0" w:color="auto"/>
        <w:left w:val="none" w:sz="0" w:space="0" w:color="auto"/>
        <w:bottom w:val="none" w:sz="0" w:space="0" w:color="auto"/>
        <w:right w:val="none" w:sz="0" w:space="0" w:color="auto"/>
      </w:divBdr>
    </w:div>
    <w:div w:id="1890150030">
      <w:bodyDiv w:val="1"/>
      <w:marLeft w:val="0"/>
      <w:marRight w:val="0"/>
      <w:marTop w:val="0"/>
      <w:marBottom w:val="0"/>
      <w:divBdr>
        <w:top w:val="none" w:sz="0" w:space="0" w:color="auto"/>
        <w:left w:val="none" w:sz="0" w:space="0" w:color="auto"/>
        <w:bottom w:val="none" w:sz="0" w:space="0" w:color="auto"/>
        <w:right w:val="none" w:sz="0" w:space="0" w:color="auto"/>
      </w:divBdr>
    </w:div>
    <w:div w:id="1890721901">
      <w:bodyDiv w:val="1"/>
      <w:marLeft w:val="0"/>
      <w:marRight w:val="0"/>
      <w:marTop w:val="0"/>
      <w:marBottom w:val="0"/>
      <w:divBdr>
        <w:top w:val="none" w:sz="0" w:space="0" w:color="auto"/>
        <w:left w:val="none" w:sz="0" w:space="0" w:color="auto"/>
        <w:bottom w:val="none" w:sz="0" w:space="0" w:color="auto"/>
        <w:right w:val="none" w:sz="0" w:space="0" w:color="auto"/>
      </w:divBdr>
    </w:div>
    <w:div w:id="1890991965">
      <w:bodyDiv w:val="1"/>
      <w:marLeft w:val="0"/>
      <w:marRight w:val="0"/>
      <w:marTop w:val="0"/>
      <w:marBottom w:val="0"/>
      <w:divBdr>
        <w:top w:val="none" w:sz="0" w:space="0" w:color="auto"/>
        <w:left w:val="none" w:sz="0" w:space="0" w:color="auto"/>
        <w:bottom w:val="none" w:sz="0" w:space="0" w:color="auto"/>
        <w:right w:val="none" w:sz="0" w:space="0" w:color="auto"/>
      </w:divBdr>
    </w:div>
    <w:div w:id="1891571257">
      <w:bodyDiv w:val="1"/>
      <w:marLeft w:val="0"/>
      <w:marRight w:val="0"/>
      <w:marTop w:val="0"/>
      <w:marBottom w:val="0"/>
      <w:divBdr>
        <w:top w:val="none" w:sz="0" w:space="0" w:color="auto"/>
        <w:left w:val="none" w:sz="0" w:space="0" w:color="auto"/>
        <w:bottom w:val="none" w:sz="0" w:space="0" w:color="auto"/>
        <w:right w:val="none" w:sz="0" w:space="0" w:color="auto"/>
      </w:divBdr>
    </w:div>
    <w:div w:id="1891726335">
      <w:bodyDiv w:val="1"/>
      <w:marLeft w:val="0"/>
      <w:marRight w:val="0"/>
      <w:marTop w:val="0"/>
      <w:marBottom w:val="0"/>
      <w:divBdr>
        <w:top w:val="none" w:sz="0" w:space="0" w:color="auto"/>
        <w:left w:val="none" w:sz="0" w:space="0" w:color="auto"/>
        <w:bottom w:val="none" w:sz="0" w:space="0" w:color="auto"/>
        <w:right w:val="none" w:sz="0" w:space="0" w:color="auto"/>
      </w:divBdr>
    </w:div>
    <w:div w:id="1892418158">
      <w:bodyDiv w:val="1"/>
      <w:marLeft w:val="0"/>
      <w:marRight w:val="0"/>
      <w:marTop w:val="0"/>
      <w:marBottom w:val="0"/>
      <w:divBdr>
        <w:top w:val="none" w:sz="0" w:space="0" w:color="auto"/>
        <w:left w:val="none" w:sz="0" w:space="0" w:color="auto"/>
        <w:bottom w:val="none" w:sz="0" w:space="0" w:color="auto"/>
        <w:right w:val="none" w:sz="0" w:space="0" w:color="auto"/>
      </w:divBdr>
    </w:div>
    <w:div w:id="1897936947">
      <w:bodyDiv w:val="1"/>
      <w:marLeft w:val="0"/>
      <w:marRight w:val="0"/>
      <w:marTop w:val="0"/>
      <w:marBottom w:val="0"/>
      <w:divBdr>
        <w:top w:val="none" w:sz="0" w:space="0" w:color="auto"/>
        <w:left w:val="none" w:sz="0" w:space="0" w:color="auto"/>
        <w:bottom w:val="none" w:sz="0" w:space="0" w:color="auto"/>
        <w:right w:val="none" w:sz="0" w:space="0" w:color="auto"/>
      </w:divBdr>
    </w:div>
    <w:div w:id="1899583402">
      <w:bodyDiv w:val="1"/>
      <w:marLeft w:val="0"/>
      <w:marRight w:val="0"/>
      <w:marTop w:val="0"/>
      <w:marBottom w:val="0"/>
      <w:divBdr>
        <w:top w:val="none" w:sz="0" w:space="0" w:color="auto"/>
        <w:left w:val="none" w:sz="0" w:space="0" w:color="auto"/>
        <w:bottom w:val="none" w:sz="0" w:space="0" w:color="auto"/>
        <w:right w:val="none" w:sz="0" w:space="0" w:color="auto"/>
      </w:divBdr>
    </w:div>
    <w:div w:id="1900743188">
      <w:bodyDiv w:val="1"/>
      <w:marLeft w:val="0"/>
      <w:marRight w:val="0"/>
      <w:marTop w:val="0"/>
      <w:marBottom w:val="0"/>
      <w:divBdr>
        <w:top w:val="none" w:sz="0" w:space="0" w:color="auto"/>
        <w:left w:val="none" w:sz="0" w:space="0" w:color="auto"/>
        <w:bottom w:val="none" w:sz="0" w:space="0" w:color="auto"/>
        <w:right w:val="none" w:sz="0" w:space="0" w:color="auto"/>
      </w:divBdr>
    </w:div>
    <w:div w:id="1900747319">
      <w:bodyDiv w:val="1"/>
      <w:marLeft w:val="0"/>
      <w:marRight w:val="0"/>
      <w:marTop w:val="0"/>
      <w:marBottom w:val="0"/>
      <w:divBdr>
        <w:top w:val="none" w:sz="0" w:space="0" w:color="auto"/>
        <w:left w:val="none" w:sz="0" w:space="0" w:color="auto"/>
        <w:bottom w:val="none" w:sz="0" w:space="0" w:color="auto"/>
        <w:right w:val="none" w:sz="0" w:space="0" w:color="auto"/>
      </w:divBdr>
    </w:div>
    <w:div w:id="1900969829">
      <w:bodyDiv w:val="1"/>
      <w:marLeft w:val="0"/>
      <w:marRight w:val="0"/>
      <w:marTop w:val="0"/>
      <w:marBottom w:val="0"/>
      <w:divBdr>
        <w:top w:val="none" w:sz="0" w:space="0" w:color="auto"/>
        <w:left w:val="none" w:sz="0" w:space="0" w:color="auto"/>
        <w:bottom w:val="none" w:sz="0" w:space="0" w:color="auto"/>
        <w:right w:val="none" w:sz="0" w:space="0" w:color="auto"/>
      </w:divBdr>
    </w:div>
    <w:div w:id="1901284960">
      <w:bodyDiv w:val="1"/>
      <w:marLeft w:val="0"/>
      <w:marRight w:val="0"/>
      <w:marTop w:val="0"/>
      <w:marBottom w:val="0"/>
      <w:divBdr>
        <w:top w:val="none" w:sz="0" w:space="0" w:color="auto"/>
        <w:left w:val="none" w:sz="0" w:space="0" w:color="auto"/>
        <w:bottom w:val="none" w:sz="0" w:space="0" w:color="auto"/>
        <w:right w:val="none" w:sz="0" w:space="0" w:color="auto"/>
      </w:divBdr>
    </w:div>
    <w:div w:id="1904830354">
      <w:bodyDiv w:val="1"/>
      <w:marLeft w:val="0"/>
      <w:marRight w:val="0"/>
      <w:marTop w:val="0"/>
      <w:marBottom w:val="0"/>
      <w:divBdr>
        <w:top w:val="none" w:sz="0" w:space="0" w:color="auto"/>
        <w:left w:val="none" w:sz="0" w:space="0" w:color="auto"/>
        <w:bottom w:val="none" w:sz="0" w:space="0" w:color="auto"/>
        <w:right w:val="none" w:sz="0" w:space="0" w:color="auto"/>
      </w:divBdr>
    </w:div>
    <w:div w:id="1905678362">
      <w:bodyDiv w:val="1"/>
      <w:marLeft w:val="0"/>
      <w:marRight w:val="0"/>
      <w:marTop w:val="0"/>
      <w:marBottom w:val="0"/>
      <w:divBdr>
        <w:top w:val="none" w:sz="0" w:space="0" w:color="auto"/>
        <w:left w:val="none" w:sz="0" w:space="0" w:color="auto"/>
        <w:bottom w:val="none" w:sz="0" w:space="0" w:color="auto"/>
        <w:right w:val="none" w:sz="0" w:space="0" w:color="auto"/>
      </w:divBdr>
    </w:div>
    <w:div w:id="1906065664">
      <w:bodyDiv w:val="1"/>
      <w:marLeft w:val="0"/>
      <w:marRight w:val="0"/>
      <w:marTop w:val="0"/>
      <w:marBottom w:val="0"/>
      <w:divBdr>
        <w:top w:val="none" w:sz="0" w:space="0" w:color="auto"/>
        <w:left w:val="none" w:sz="0" w:space="0" w:color="auto"/>
        <w:bottom w:val="none" w:sz="0" w:space="0" w:color="auto"/>
        <w:right w:val="none" w:sz="0" w:space="0" w:color="auto"/>
      </w:divBdr>
    </w:div>
    <w:div w:id="1906408921">
      <w:bodyDiv w:val="1"/>
      <w:marLeft w:val="0"/>
      <w:marRight w:val="0"/>
      <w:marTop w:val="0"/>
      <w:marBottom w:val="0"/>
      <w:divBdr>
        <w:top w:val="none" w:sz="0" w:space="0" w:color="auto"/>
        <w:left w:val="none" w:sz="0" w:space="0" w:color="auto"/>
        <w:bottom w:val="none" w:sz="0" w:space="0" w:color="auto"/>
        <w:right w:val="none" w:sz="0" w:space="0" w:color="auto"/>
      </w:divBdr>
    </w:div>
    <w:div w:id="1907373271">
      <w:bodyDiv w:val="1"/>
      <w:marLeft w:val="0"/>
      <w:marRight w:val="0"/>
      <w:marTop w:val="0"/>
      <w:marBottom w:val="0"/>
      <w:divBdr>
        <w:top w:val="none" w:sz="0" w:space="0" w:color="auto"/>
        <w:left w:val="none" w:sz="0" w:space="0" w:color="auto"/>
        <w:bottom w:val="none" w:sz="0" w:space="0" w:color="auto"/>
        <w:right w:val="none" w:sz="0" w:space="0" w:color="auto"/>
      </w:divBdr>
    </w:div>
    <w:div w:id="1909151985">
      <w:bodyDiv w:val="1"/>
      <w:marLeft w:val="0"/>
      <w:marRight w:val="0"/>
      <w:marTop w:val="0"/>
      <w:marBottom w:val="0"/>
      <w:divBdr>
        <w:top w:val="none" w:sz="0" w:space="0" w:color="auto"/>
        <w:left w:val="none" w:sz="0" w:space="0" w:color="auto"/>
        <w:bottom w:val="none" w:sz="0" w:space="0" w:color="auto"/>
        <w:right w:val="none" w:sz="0" w:space="0" w:color="auto"/>
      </w:divBdr>
    </w:div>
    <w:div w:id="1911189181">
      <w:bodyDiv w:val="1"/>
      <w:marLeft w:val="0"/>
      <w:marRight w:val="0"/>
      <w:marTop w:val="0"/>
      <w:marBottom w:val="0"/>
      <w:divBdr>
        <w:top w:val="none" w:sz="0" w:space="0" w:color="auto"/>
        <w:left w:val="none" w:sz="0" w:space="0" w:color="auto"/>
        <w:bottom w:val="none" w:sz="0" w:space="0" w:color="auto"/>
        <w:right w:val="none" w:sz="0" w:space="0" w:color="auto"/>
      </w:divBdr>
    </w:div>
    <w:div w:id="1911381917">
      <w:bodyDiv w:val="1"/>
      <w:marLeft w:val="0"/>
      <w:marRight w:val="0"/>
      <w:marTop w:val="0"/>
      <w:marBottom w:val="0"/>
      <w:divBdr>
        <w:top w:val="none" w:sz="0" w:space="0" w:color="auto"/>
        <w:left w:val="none" w:sz="0" w:space="0" w:color="auto"/>
        <w:bottom w:val="none" w:sz="0" w:space="0" w:color="auto"/>
        <w:right w:val="none" w:sz="0" w:space="0" w:color="auto"/>
      </w:divBdr>
    </w:div>
    <w:div w:id="1911689547">
      <w:bodyDiv w:val="1"/>
      <w:marLeft w:val="0"/>
      <w:marRight w:val="0"/>
      <w:marTop w:val="0"/>
      <w:marBottom w:val="0"/>
      <w:divBdr>
        <w:top w:val="none" w:sz="0" w:space="0" w:color="auto"/>
        <w:left w:val="none" w:sz="0" w:space="0" w:color="auto"/>
        <w:bottom w:val="none" w:sz="0" w:space="0" w:color="auto"/>
        <w:right w:val="none" w:sz="0" w:space="0" w:color="auto"/>
      </w:divBdr>
    </w:div>
    <w:div w:id="1911766378">
      <w:bodyDiv w:val="1"/>
      <w:marLeft w:val="0"/>
      <w:marRight w:val="0"/>
      <w:marTop w:val="0"/>
      <w:marBottom w:val="0"/>
      <w:divBdr>
        <w:top w:val="none" w:sz="0" w:space="0" w:color="auto"/>
        <w:left w:val="none" w:sz="0" w:space="0" w:color="auto"/>
        <w:bottom w:val="none" w:sz="0" w:space="0" w:color="auto"/>
        <w:right w:val="none" w:sz="0" w:space="0" w:color="auto"/>
      </w:divBdr>
    </w:div>
    <w:div w:id="1911887144">
      <w:bodyDiv w:val="1"/>
      <w:marLeft w:val="0"/>
      <w:marRight w:val="0"/>
      <w:marTop w:val="0"/>
      <w:marBottom w:val="0"/>
      <w:divBdr>
        <w:top w:val="none" w:sz="0" w:space="0" w:color="auto"/>
        <w:left w:val="none" w:sz="0" w:space="0" w:color="auto"/>
        <w:bottom w:val="none" w:sz="0" w:space="0" w:color="auto"/>
        <w:right w:val="none" w:sz="0" w:space="0" w:color="auto"/>
      </w:divBdr>
    </w:div>
    <w:div w:id="1912153382">
      <w:bodyDiv w:val="1"/>
      <w:marLeft w:val="0"/>
      <w:marRight w:val="0"/>
      <w:marTop w:val="0"/>
      <w:marBottom w:val="0"/>
      <w:divBdr>
        <w:top w:val="none" w:sz="0" w:space="0" w:color="auto"/>
        <w:left w:val="none" w:sz="0" w:space="0" w:color="auto"/>
        <w:bottom w:val="none" w:sz="0" w:space="0" w:color="auto"/>
        <w:right w:val="none" w:sz="0" w:space="0" w:color="auto"/>
      </w:divBdr>
    </w:div>
    <w:div w:id="1914124164">
      <w:bodyDiv w:val="1"/>
      <w:marLeft w:val="0"/>
      <w:marRight w:val="0"/>
      <w:marTop w:val="0"/>
      <w:marBottom w:val="0"/>
      <w:divBdr>
        <w:top w:val="none" w:sz="0" w:space="0" w:color="auto"/>
        <w:left w:val="none" w:sz="0" w:space="0" w:color="auto"/>
        <w:bottom w:val="none" w:sz="0" w:space="0" w:color="auto"/>
        <w:right w:val="none" w:sz="0" w:space="0" w:color="auto"/>
      </w:divBdr>
    </w:div>
    <w:div w:id="1914469006">
      <w:bodyDiv w:val="1"/>
      <w:marLeft w:val="0"/>
      <w:marRight w:val="0"/>
      <w:marTop w:val="0"/>
      <w:marBottom w:val="0"/>
      <w:divBdr>
        <w:top w:val="none" w:sz="0" w:space="0" w:color="auto"/>
        <w:left w:val="none" w:sz="0" w:space="0" w:color="auto"/>
        <w:bottom w:val="none" w:sz="0" w:space="0" w:color="auto"/>
        <w:right w:val="none" w:sz="0" w:space="0" w:color="auto"/>
      </w:divBdr>
    </w:div>
    <w:div w:id="1915432475">
      <w:bodyDiv w:val="1"/>
      <w:marLeft w:val="0"/>
      <w:marRight w:val="0"/>
      <w:marTop w:val="0"/>
      <w:marBottom w:val="0"/>
      <w:divBdr>
        <w:top w:val="none" w:sz="0" w:space="0" w:color="auto"/>
        <w:left w:val="none" w:sz="0" w:space="0" w:color="auto"/>
        <w:bottom w:val="none" w:sz="0" w:space="0" w:color="auto"/>
        <w:right w:val="none" w:sz="0" w:space="0" w:color="auto"/>
      </w:divBdr>
    </w:div>
    <w:div w:id="1916816882">
      <w:bodyDiv w:val="1"/>
      <w:marLeft w:val="0"/>
      <w:marRight w:val="0"/>
      <w:marTop w:val="0"/>
      <w:marBottom w:val="0"/>
      <w:divBdr>
        <w:top w:val="none" w:sz="0" w:space="0" w:color="auto"/>
        <w:left w:val="none" w:sz="0" w:space="0" w:color="auto"/>
        <w:bottom w:val="none" w:sz="0" w:space="0" w:color="auto"/>
        <w:right w:val="none" w:sz="0" w:space="0" w:color="auto"/>
      </w:divBdr>
    </w:div>
    <w:div w:id="1918857780">
      <w:bodyDiv w:val="1"/>
      <w:marLeft w:val="0"/>
      <w:marRight w:val="0"/>
      <w:marTop w:val="0"/>
      <w:marBottom w:val="0"/>
      <w:divBdr>
        <w:top w:val="none" w:sz="0" w:space="0" w:color="auto"/>
        <w:left w:val="none" w:sz="0" w:space="0" w:color="auto"/>
        <w:bottom w:val="none" w:sz="0" w:space="0" w:color="auto"/>
        <w:right w:val="none" w:sz="0" w:space="0" w:color="auto"/>
      </w:divBdr>
    </w:div>
    <w:div w:id="1921136303">
      <w:bodyDiv w:val="1"/>
      <w:marLeft w:val="0"/>
      <w:marRight w:val="0"/>
      <w:marTop w:val="0"/>
      <w:marBottom w:val="0"/>
      <w:divBdr>
        <w:top w:val="none" w:sz="0" w:space="0" w:color="auto"/>
        <w:left w:val="none" w:sz="0" w:space="0" w:color="auto"/>
        <w:bottom w:val="none" w:sz="0" w:space="0" w:color="auto"/>
        <w:right w:val="none" w:sz="0" w:space="0" w:color="auto"/>
      </w:divBdr>
    </w:div>
    <w:div w:id="1923175006">
      <w:bodyDiv w:val="1"/>
      <w:marLeft w:val="0"/>
      <w:marRight w:val="0"/>
      <w:marTop w:val="0"/>
      <w:marBottom w:val="0"/>
      <w:divBdr>
        <w:top w:val="none" w:sz="0" w:space="0" w:color="auto"/>
        <w:left w:val="none" w:sz="0" w:space="0" w:color="auto"/>
        <w:bottom w:val="none" w:sz="0" w:space="0" w:color="auto"/>
        <w:right w:val="none" w:sz="0" w:space="0" w:color="auto"/>
      </w:divBdr>
    </w:div>
    <w:div w:id="1925214520">
      <w:bodyDiv w:val="1"/>
      <w:marLeft w:val="0"/>
      <w:marRight w:val="0"/>
      <w:marTop w:val="0"/>
      <w:marBottom w:val="0"/>
      <w:divBdr>
        <w:top w:val="none" w:sz="0" w:space="0" w:color="auto"/>
        <w:left w:val="none" w:sz="0" w:space="0" w:color="auto"/>
        <w:bottom w:val="none" w:sz="0" w:space="0" w:color="auto"/>
        <w:right w:val="none" w:sz="0" w:space="0" w:color="auto"/>
      </w:divBdr>
    </w:div>
    <w:div w:id="1930237023">
      <w:bodyDiv w:val="1"/>
      <w:marLeft w:val="0"/>
      <w:marRight w:val="0"/>
      <w:marTop w:val="0"/>
      <w:marBottom w:val="0"/>
      <w:divBdr>
        <w:top w:val="none" w:sz="0" w:space="0" w:color="auto"/>
        <w:left w:val="none" w:sz="0" w:space="0" w:color="auto"/>
        <w:bottom w:val="none" w:sz="0" w:space="0" w:color="auto"/>
        <w:right w:val="none" w:sz="0" w:space="0" w:color="auto"/>
      </w:divBdr>
    </w:div>
    <w:div w:id="1930774999">
      <w:bodyDiv w:val="1"/>
      <w:marLeft w:val="0"/>
      <w:marRight w:val="0"/>
      <w:marTop w:val="0"/>
      <w:marBottom w:val="0"/>
      <w:divBdr>
        <w:top w:val="none" w:sz="0" w:space="0" w:color="auto"/>
        <w:left w:val="none" w:sz="0" w:space="0" w:color="auto"/>
        <w:bottom w:val="none" w:sz="0" w:space="0" w:color="auto"/>
        <w:right w:val="none" w:sz="0" w:space="0" w:color="auto"/>
      </w:divBdr>
    </w:div>
    <w:div w:id="1932733248">
      <w:bodyDiv w:val="1"/>
      <w:marLeft w:val="0"/>
      <w:marRight w:val="0"/>
      <w:marTop w:val="0"/>
      <w:marBottom w:val="0"/>
      <w:divBdr>
        <w:top w:val="none" w:sz="0" w:space="0" w:color="auto"/>
        <w:left w:val="none" w:sz="0" w:space="0" w:color="auto"/>
        <w:bottom w:val="none" w:sz="0" w:space="0" w:color="auto"/>
        <w:right w:val="none" w:sz="0" w:space="0" w:color="auto"/>
      </w:divBdr>
    </w:div>
    <w:div w:id="1933276985">
      <w:bodyDiv w:val="1"/>
      <w:marLeft w:val="0"/>
      <w:marRight w:val="0"/>
      <w:marTop w:val="0"/>
      <w:marBottom w:val="0"/>
      <w:divBdr>
        <w:top w:val="none" w:sz="0" w:space="0" w:color="auto"/>
        <w:left w:val="none" w:sz="0" w:space="0" w:color="auto"/>
        <w:bottom w:val="none" w:sz="0" w:space="0" w:color="auto"/>
        <w:right w:val="none" w:sz="0" w:space="0" w:color="auto"/>
      </w:divBdr>
    </w:div>
    <w:div w:id="1933859200">
      <w:bodyDiv w:val="1"/>
      <w:marLeft w:val="0"/>
      <w:marRight w:val="0"/>
      <w:marTop w:val="0"/>
      <w:marBottom w:val="0"/>
      <w:divBdr>
        <w:top w:val="none" w:sz="0" w:space="0" w:color="auto"/>
        <w:left w:val="none" w:sz="0" w:space="0" w:color="auto"/>
        <w:bottom w:val="none" w:sz="0" w:space="0" w:color="auto"/>
        <w:right w:val="none" w:sz="0" w:space="0" w:color="auto"/>
      </w:divBdr>
    </w:div>
    <w:div w:id="1937320165">
      <w:bodyDiv w:val="1"/>
      <w:marLeft w:val="0"/>
      <w:marRight w:val="0"/>
      <w:marTop w:val="0"/>
      <w:marBottom w:val="0"/>
      <w:divBdr>
        <w:top w:val="none" w:sz="0" w:space="0" w:color="auto"/>
        <w:left w:val="none" w:sz="0" w:space="0" w:color="auto"/>
        <w:bottom w:val="none" w:sz="0" w:space="0" w:color="auto"/>
        <w:right w:val="none" w:sz="0" w:space="0" w:color="auto"/>
      </w:divBdr>
    </w:div>
    <w:div w:id="1938977075">
      <w:bodyDiv w:val="1"/>
      <w:marLeft w:val="0"/>
      <w:marRight w:val="0"/>
      <w:marTop w:val="0"/>
      <w:marBottom w:val="0"/>
      <w:divBdr>
        <w:top w:val="none" w:sz="0" w:space="0" w:color="auto"/>
        <w:left w:val="none" w:sz="0" w:space="0" w:color="auto"/>
        <w:bottom w:val="none" w:sz="0" w:space="0" w:color="auto"/>
        <w:right w:val="none" w:sz="0" w:space="0" w:color="auto"/>
      </w:divBdr>
    </w:div>
    <w:div w:id="1938978128">
      <w:bodyDiv w:val="1"/>
      <w:marLeft w:val="0"/>
      <w:marRight w:val="0"/>
      <w:marTop w:val="0"/>
      <w:marBottom w:val="0"/>
      <w:divBdr>
        <w:top w:val="none" w:sz="0" w:space="0" w:color="auto"/>
        <w:left w:val="none" w:sz="0" w:space="0" w:color="auto"/>
        <w:bottom w:val="none" w:sz="0" w:space="0" w:color="auto"/>
        <w:right w:val="none" w:sz="0" w:space="0" w:color="auto"/>
      </w:divBdr>
    </w:div>
    <w:div w:id="1940871527">
      <w:bodyDiv w:val="1"/>
      <w:marLeft w:val="0"/>
      <w:marRight w:val="0"/>
      <w:marTop w:val="0"/>
      <w:marBottom w:val="0"/>
      <w:divBdr>
        <w:top w:val="none" w:sz="0" w:space="0" w:color="auto"/>
        <w:left w:val="none" w:sz="0" w:space="0" w:color="auto"/>
        <w:bottom w:val="none" w:sz="0" w:space="0" w:color="auto"/>
        <w:right w:val="none" w:sz="0" w:space="0" w:color="auto"/>
      </w:divBdr>
    </w:div>
    <w:div w:id="1942640141">
      <w:bodyDiv w:val="1"/>
      <w:marLeft w:val="0"/>
      <w:marRight w:val="0"/>
      <w:marTop w:val="0"/>
      <w:marBottom w:val="0"/>
      <w:divBdr>
        <w:top w:val="none" w:sz="0" w:space="0" w:color="auto"/>
        <w:left w:val="none" w:sz="0" w:space="0" w:color="auto"/>
        <w:bottom w:val="none" w:sz="0" w:space="0" w:color="auto"/>
        <w:right w:val="none" w:sz="0" w:space="0" w:color="auto"/>
      </w:divBdr>
    </w:div>
    <w:div w:id="1942756385">
      <w:bodyDiv w:val="1"/>
      <w:marLeft w:val="0"/>
      <w:marRight w:val="0"/>
      <w:marTop w:val="0"/>
      <w:marBottom w:val="0"/>
      <w:divBdr>
        <w:top w:val="none" w:sz="0" w:space="0" w:color="auto"/>
        <w:left w:val="none" w:sz="0" w:space="0" w:color="auto"/>
        <w:bottom w:val="none" w:sz="0" w:space="0" w:color="auto"/>
        <w:right w:val="none" w:sz="0" w:space="0" w:color="auto"/>
      </w:divBdr>
    </w:div>
    <w:div w:id="1944992659">
      <w:bodyDiv w:val="1"/>
      <w:marLeft w:val="0"/>
      <w:marRight w:val="0"/>
      <w:marTop w:val="0"/>
      <w:marBottom w:val="0"/>
      <w:divBdr>
        <w:top w:val="none" w:sz="0" w:space="0" w:color="auto"/>
        <w:left w:val="none" w:sz="0" w:space="0" w:color="auto"/>
        <w:bottom w:val="none" w:sz="0" w:space="0" w:color="auto"/>
        <w:right w:val="none" w:sz="0" w:space="0" w:color="auto"/>
      </w:divBdr>
    </w:div>
    <w:div w:id="1947617617">
      <w:bodyDiv w:val="1"/>
      <w:marLeft w:val="0"/>
      <w:marRight w:val="0"/>
      <w:marTop w:val="0"/>
      <w:marBottom w:val="0"/>
      <w:divBdr>
        <w:top w:val="none" w:sz="0" w:space="0" w:color="auto"/>
        <w:left w:val="none" w:sz="0" w:space="0" w:color="auto"/>
        <w:bottom w:val="none" w:sz="0" w:space="0" w:color="auto"/>
        <w:right w:val="none" w:sz="0" w:space="0" w:color="auto"/>
      </w:divBdr>
    </w:div>
    <w:div w:id="1949239026">
      <w:bodyDiv w:val="1"/>
      <w:marLeft w:val="0"/>
      <w:marRight w:val="0"/>
      <w:marTop w:val="0"/>
      <w:marBottom w:val="0"/>
      <w:divBdr>
        <w:top w:val="none" w:sz="0" w:space="0" w:color="auto"/>
        <w:left w:val="none" w:sz="0" w:space="0" w:color="auto"/>
        <w:bottom w:val="none" w:sz="0" w:space="0" w:color="auto"/>
        <w:right w:val="none" w:sz="0" w:space="0" w:color="auto"/>
      </w:divBdr>
    </w:div>
    <w:div w:id="1949655731">
      <w:bodyDiv w:val="1"/>
      <w:marLeft w:val="0"/>
      <w:marRight w:val="0"/>
      <w:marTop w:val="0"/>
      <w:marBottom w:val="0"/>
      <w:divBdr>
        <w:top w:val="none" w:sz="0" w:space="0" w:color="auto"/>
        <w:left w:val="none" w:sz="0" w:space="0" w:color="auto"/>
        <w:bottom w:val="none" w:sz="0" w:space="0" w:color="auto"/>
        <w:right w:val="none" w:sz="0" w:space="0" w:color="auto"/>
      </w:divBdr>
    </w:div>
    <w:div w:id="1949658915">
      <w:bodyDiv w:val="1"/>
      <w:marLeft w:val="0"/>
      <w:marRight w:val="0"/>
      <w:marTop w:val="0"/>
      <w:marBottom w:val="0"/>
      <w:divBdr>
        <w:top w:val="none" w:sz="0" w:space="0" w:color="auto"/>
        <w:left w:val="none" w:sz="0" w:space="0" w:color="auto"/>
        <w:bottom w:val="none" w:sz="0" w:space="0" w:color="auto"/>
        <w:right w:val="none" w:sz="0" w:space="0" w:color="auto"/>
      </w:divBdr>
    </w:div>
    <w:div w:id="1950160855">
      <w:bodyDiv w:val="1"/>
      <w:marLeft w:val="0"/>
      <w:marRight w:val="0"/>
      <w:marTop w:val="0"/>
      <w:marBottom w:val="0"/>
      <w:divBdr>
        <w:top w:val="none" w:sz="0" w:space="0" w:color="auto"/>
        <w:left w:val="none" w:sz="0" w:space="0" w:color="auto"/>
        <w:bottom w:val="none" w:sz="0" w:space="0" w:color="auto"/>
        <w:right w:val="none" w:sz="0" w:space="0" w:color="auto"/>
      </w:divBdr>
    </w:div>
    <w:div w:id="1950965241">
      <w:bodyDiv w:val="1"/>
      <w:marLeft w:val="0"/>
      <w:marRight w:val="0"/>
      <w:marTop w:val="0"/>
      <w:marBottom w:val="0"/>
      <w:divBdr>
        <w:top w:val="none" w:sz="0" w:space="0" w:color="auto"/>
        <w:left w:val="none" w:sz="0" w:space="0" w:color="auto"/>
        <w:bottom w:val="none" w:sz="0" w:space="0" w:color="auto"/>
        <w:right w:val="none" w:sz="0" w:space="0" w:color="auto"/>
      </w:divBdr>
    </w:div>
    <w:div w:id="1957560891">
      <w:bodyDiv w:val="1"/>
      <w:marLeft w:val="0"/>
      <w:marRight w:val="0"/>
      <w:marTop w:val="0"/>
      <w:marBottom w:val="0"/>
      <w:divBdr>
        <w:top w:val="none" w:sz="0" w:space="0" w:color="auto"/>
        <w:left w:val="none" w:sz="0" w:space="0" w:color="auto"/>
        <w:bottom w:val="none" w:sz="0" w:space="0" w:color="auto"/>
        <w:right w:val="none" w:sz="0" w:space="0" w:color="auto"/>
      </w:divBdr>
    </w:div>
    <w:div w:id="1959405599">
      <w:bodyDiv w:val="1"/>
      <w:marLeft w:val="0"/>
      <w:marRight w:val="0"/>
      <w:marTop w:val="0"/>
      <w:marBottom w:val="0"/>
      <w:divBdr>
        <w:top w:val="none" w:sz="0" w:space="0" w:color="auto"/>
        <w:left w:val="none" w:sz="0" w:space="0" w:color="auto"/>
        <w:bottom w:val="none" w:sz="0" w:space="0" w:color="auto"/>
        <w:right w:val="none" w:sz="0" w:space="0" w:color="auto"/>
      </w:divBdr>
    </w:div>
    <w:div w:id="1961374699">
      <w:bodyDiv w:val="1"/>
      <w:marLeft w:val="0"/>
      <w:marRight w:val="0"/>
      <w:marTop w:val="0"/>
      <w:marBottom w:val="0"/>
      <w:divBdr>
        <w:top w:val="none" w:sz="0" w:space="0" w:color="auto"/>
        <w:left w:val="none" w:sz="0" w:space="0" w:color="auto"/>
        <w:bottom w:val="none" w:sz="0" w:space="0" w:color="auto"/>
        <w:right w:val="none" w:sz="0" w:space="0" w:color="auto"/>
      </w:divBdr>
    </w:div>
    <w:div w:id="1961454906">
      <w:bodyDiv w:val="1"/>
      <w:marLeft w:val="0"/>
      <w:marRight w:val="0"/>
      <w:marTop w:val="0"/>
      <w:marBottom w:val="0"/>
      <w:divBdr>
        <w:top w:val="none" w:sz="0" w:space="0" w:color="auto"/>
        <w:left w:val="none" w:sz="0" w:space="0" w:color="auto"/>
        <w:bottom w:val="none" w:sz="0" w:space="0" w:color="auto"/>
        <w:right w:val="none" w:sz="0" w:space="0" w:color="auto"/>
      </w:divBdr>
    </w:div>
    <w:div w:id="1962149128">
      <w:bodyDiv w:val="1"/>
      <w:marLeft w:val="0"/>
      <w:marRight w:val="0"/>
      <w:marTop w:val="0"/>
      <w:marBottom w:val="0"/>
      <w:divBdr>
        <w:top w:val="none" w:sz="0" w:space="0" w:color="auto"/>
        <w:left w:val="none" w:sz="0" w:space="0" w:color="auto"/>
        <w:bottom w:val="none" w:sz="0" w:space="0" w:color="auto"/>
        <w:right w:val="none" w:sz="0" w:space="0" w:color="auto"/>
      </w:divBdr>
    </w:div>
    <w:div w:id="1962834205">
      <w:bodyDiv w:val="1"/>
      <w:marLeft w:val="0"/>
      <w:marRight w:val="0"/>
      <w:marTop w:val="0"/>
      <w:marBottom w:val="0"/>
      <w:divBdr>
        <w:top w:val="none" w:sz="0" w:space="0" w:color="auto"/>
        <w:left w:val="none" w:sz="0" w:space="0" w:color="auto"/>
        <w:bottom w:val="none" w:sz="0" w:space="0" w:color="auto"/>
        <w:right w:val="none" w:sz="0" w:space="0" w:color="auto"/>
      </w:divBdr>
    </w:div>
    <w:div w:id="1963999507">
      <w:bodyDiv w:val="1"/>
      <w:marLeft w:val="0"/>
      <w:marRight w:val="0"/>
      <w:marTop w:val="0"/>
      <w:marBottom w:val="0"/>
      <w:divBdr>
        <w:top w:val="none" w:sz="0" w:space="0" w:color="auto"/>
        <w:left w:val="none" w:sz="0" w:space="0" w:color="auto"/>
        <w:bottom w:val="none" w:sz="0" w:space="0" w:color="auto"/>
        <w:right w:val="none" w:sz="0" w:space="0" w:color="auto"/>
      </w:divBdr>
    </w:div>
    <w:div w:id="1966422780">
      <w:bodyDiv w:val="1"/>
      <w:marLeft w:val="0"/>
      <w:marRight w:val="0"/>
      <w:marTop w:val="0"/>
      <w:marBottom w:val="0"/>
      <w:divBdr>
        <w:top w:val="none" w:sz="0" w:space="0" w:color="auto"/>
        <w:left w:val="none" w:sz="0" w:space="0" w:color="auto"/>
        <w:bottom w:val="none" w:sz="0" w:space="0" w:color="auto"/>
        <w:right w:val="none" w:sz="0" w:space="0" w:color="auto"/>
      </w:divBdr>
    </w:div>
    <w:div w:id="1967273083">
      <w:bodyDiv w:val="1"/>
      <w:marLeft w:val="0"/>
      <w:marRight w:val="0"/>
      <w:marTop w:val="0"/>
      <w:marBottom w:val="0"/>
      <w:divBdr>
        <w:top w:val="none" w:sz="0" w:space="0" w:color="auto"/>
        <w:left w:val="none" w:sz="0" w:space="0" w:color="auto"/>
        <w:bottom w:val="none" w:sz="0" w:space="0" w:color="auto"/>
        <w:right w:val="none" w:sz="0" w:space="0" w:color="auto"/>
      </w:divBdr>
    </w:div>
    <w:div w:id="1967732936">
      <w:bodyDiv w:val="1"/>
      <w:marLeft w:val="0"/>
      <w:marRight w:val="0"/>
      <w:marTop w:val="0"/>
      <w:marBottom w:val="0"/>
      <w:divBdr>
        <w:top w:val="none" w:sz="0" w:space="0" w:color="auto"/>
        <w:left w:val="none" w:sz="0" w:space="0" w:color="auto"/>
        <w:bottom w:val="none" w:sz="0" w:space="0" w:color="auto"/>
        <w:right w:val="none" w:sz="0" w:space="0" w:color="auto"/>
      </w:divBdr>
    </w:div>
    <w:div w:id="1968319612">
      <w:bodyDiv w:val="1"/>
      <w:marLeft w:val="0"/>
      <w:marRight w:val="0"/>
      <w:marTop w:val="0"/>
      <w:marBottom w:val="0"/>
      <w:divBdr>
        <w:top w:val="none" w:sz="0" w:space="0" w:color="auto"/>
        <w:left w:val="none" w:sz="0" w:space="0" w:color="auto"/>
        <w:bottom w:val="none" w:sz="0" w:space="0" w:color="auto"/>
        <w:right w:val="none" w:sz="0" w:space="0" w:color="auto"/>
      </w:divBdr>
    </w:div>
    <w:div w:id="1968705355">
      <w:bodyDiv w:val="1"/>
      <w:marLeft w:val="0"/>
      <w:marRight w:val="0"/>
      <w:marTop w:val="0"/>
      <w:marBottom w:val="0"/>
      <w:divBdr>
        <w:top w:val="none" w:sz="0" w:space="0" w:color="auto"/>
        <w:left w:val="none" w:sz="0" w:space="0" w:color="auto"/>
        <w:bottom w:val="none" w:sz="0" w:space="0" w:color="auto"/>
        <w:right w:val="none" w:sz="0" w:space="0" w:color="auto"/>
      </w:divBdr>
    </w:div>
    <w:div w:id="1969164840">
      <w:bodyDiv w:val="1"/>
      <w:marLeft w:val="0"/>
      <w:marRight w:val="0"/>
      <w:marTop w:val="0"/>
      <w:marBottom w:val="0"/>
      <w:divBdr>
        <w:top w:val="none" w:sz="0" w:space="0" w:color="auto"/>
        <w:left w:val="none" w:sz="0" w:space="0" w:color="auto"/>
        <w:bottom w:val="none" w:sz="0" w:space="0" w:color="auto"/>
        <w:right w:val="none" w:sz="0" w:space="0" w:color="auto"/>
      </w:divBdr>
    </w:div>
    <w:div w:id="1969358515">
      <w:bodyDiv w:val="1"/>
      <w:marLeft w:val="0"/>
      <w:marRight w:val="0"/>
      <w:marTop w:val="0"/>
      <w:marBottom w:val="0"/>
      <w:divBdr>
        <w:top w:val="none" w:sz="0" w:space="0" w:color="auto"/>
        <w:left w:val="none" w:sz="0" w:space="0" w:color="auto"/>
        <w:bottom w:val="none" w:sz="0" w:space="0" w:color="auto"/>
        <w:right w:val="none" w:sz="0" w:space="0" w:color="auto"/>
      </w:divBdr>
    </w:div>
    <w:div w:id="1973290079">
      <w:bodyDiv w:val="1"/>
      <w:marLeft w:val="0"/>
      <w:marRight w:val="0"/>
      <w:marTop w:val="0"/>
      <w:marBottom w:val="0"/>
      <w:divBdr>
        <w:top w:val="none" w:sz="0" w:space="0" w:color="auto"/>
        <w:left w:val="none" w:sz="0" w:space="0" w:color="auto"/>
        <w:bottom w:val="none" w:sz="0" w:space="0" w:color="auto"/>
        <w:right w:val="none" w:sz="0" w:space="0" w:color="auto"/>
      </w:divBdr>
    </w:div>
    <w:div w:id="1975983144">
      <w:bodyDiv w:val="1"/>
      <w:marLeft w:val="0"/>
      <w:marRight w:val="0"/>
      <w:marTop w:val="0"/>
      <w:marBottom w:val="0"/>
      <w:divBdr>
        <w:top w:val="none" w:sz="0" w:space="0" w:color="auto"/>
        <w:left w:val="none" w:sz="0" w:space="0" w:color="auto"/>
        <w:bottom w:val="none" w:sz="0" w:space="0" w:color="auto"/>
        <w:right w:val="none" w:sz="0" w:space="0" w:color="auto"/>
      </w:divBdr>
    </w:div>
    <w:div w:id="1976981215">
      <w:bodyDiv w:val="1"/>
      <w:marLeft w:val="0"/>
      <w:marRight w:val="0"/>
      <w:marTop w:val="0"/>
      <w:marBottom w:val="0"/>
      <w:divBdr>
        <w:top w:val="none" w:sz="0" w:space="0" w:color="auto"/>
        <w:left w:val="none" w:sz="0" w:space="0" w:color="auto"/>
        <w:bottom w:val="none" w:sz="0" w:space="0" w:color="auto"/>
        <w:right w:val="none" w:sz="0" w:space="0" w:color="auto"/>
      </w:divBdr>
    </w:div>
    <w:div w:id="1979335365">
      <w:bodyDiv w:val="1"/>
      <w:marLeft w:val="0"/>
      <w:marRight w:val="0"/>
      <w:marTop w:val="0"/>
      <w:marBottom w:val="0"/>
      <w:divBdr>
        <w:top w:val="none" w:sz="0" w:space="0" w:color="auto"/>
        <w:left w:val="none" w:sz="0" w:space="0" w:color="auto"/>
        <w:bottom w:val="none" w:sz="0" w:space="0" w:color="auto"/>
        <w:right w:val="none" w:sz="0" w:space="0" w:color="auto"/>
      </w:divBdr>
    </w:div>
    <w:div w:id="1979795052">
      <w:bodyDiv w:val="1"/>
      <w:marLeft w:val="0"/>
      <w:marRight w:val="0"/>
      <w:marTop w:val="0"/>
      <w:marBottom w:val="0"/>
      <w:divBdr>
        <w:top w:val="none" w:sz="0" w:space="0" w:color="auto"/>
        <w:left w:val="none" w:sz="0" w:space="0" w:color="auto"/>
        <w:bottom w:val="none" w:sz="0" w:space="0" w:color="auto"/>
        <w:right w:val="none" w:sz="0" w:space="0" w:color="auto"/>
      </w:divBdr>
    </w:div>
    <w:div w:id="1981425455">
      <w:bodyDiv w:val="1"/>
      <w:marLeft w:val="0"/>
      <w:marRight w:val="0"/>
      <w:marTop w:val="0"/>
      <w:marBottom w:val="0"/>
      <w:divBdr>
        <w:top w:val="none" w:sz="0" w:space="0" w:color="auto"/>
        <w:left w:val="none" w:sz="0" w:space="0" w:color="auto"/>
        <w:bottom w:val="none" w:sz="0" w:space="0" w:color="auto"/>
        <w:right w:val="none" w:sz="0" w:space="0" w:color="auto"/>
      </w:divBdr>
    </w:div>
    <w:div w:id="1982079180">
      <w:bodyDiv w:val="1"/>
      <w:marLeft w:val="0"/>
      <w:marRight w:val="0"/>
      <w:marTop w:val="0"/>
      <w:marBottom w:val="0"/>
      <w:divBdr>
        <w:top w:val="none" w:sz="0" w:space="0" w:color="auto"/>
        <w:left w:val="none" w:sz="0" w:space="0" w:color="auto"/>
        <w:bottom w:val="none" w:sz="0" w:space="0" w:color="auto"/>
        <w:right w:val="none" w:sz="0" w:space="0" w:color="auto"/>
      </w:divBdr>
    </w:div>
    <w:div w:id="1982299882">
      <w:bodyDiv w:val="1"/>
      <w:marLeft w:val="0"/>
      <w:marRight w:val="0"/>
      <w:marTop w:val="0"/>
      <w:marBottom w:val="0"/>
      <w:divBdr>
        <w:top w:val="none" w:sz="0" w:space="0" w:color="auto"/>
        <w:left w:val="none" w:sz="0" w:space="0" w:color="auto"/>
        <w:bottom w:val="none" w:sz="0" w:space="0" w:color="auto"/>
        <w:right w:val="none" w:sz="0" w:space="0" w:color="auto"/>
      </w:divBdr>
    </w:div>
    <w:div w:id="1984771365">
      <w:bodyDiv w:val="1"/>
      <w:marLeft w:val="0"/>
      <w:marRight w:val="0"/>
      <w:marTop w:val="0"/>
      <w:marBottom w:val="0"/>
      <w:divBdr>
        <w:top w:val="none" w:sz="0" w:space="0" w:color="auto"/>
        <w:left w:val="none" w:sz="0" w:space="0" w:color="auto"/>
        <w:bottom w:val="none" w:sz="0" w:space="0" w:color="auto"/>
        <w:right w:val="none" w:sz="0" w:space="0" w:color="auto"/>
      </w:divBdr>
    </w:div>
    <w:div w:id="1989555184">
      <w:bodyDiv w:val="1"/>
      <w:marLeft w:val="0"/>
      <w:marRight w:val="0"/>
      <w:marTop w:val="0"/>
      <w:marBottom w:val="0"/>
      <w:divBdr>
        <w:top w:val="none" w:sz="0" w:space="0" w:color="auto"/>
        <w:left w:val="none" w:sz="0" w:space="0" w:color="auto"/>
        <w:bottom w:val="none" w:sz="0" w:space="0" w:color="auto"/>
        <w:right w:val="none" w:sz="0" w:space="0" w:color="auto"/>
      </w:divBdr>
    </w:div>
    <w:div w:id="1992246236">
      <w:bodyDiv w:val="1"/>
      <w:marLeft w:val="0"/>
      <w:marRight w:val="0"/>
      <w:marTop w:val="0"/>
      <w:marBottom w:val="0"/>
      <w:divBdr>
        <w:top w:val="none" w:sz="0" w:space="0" w:color="auto"/>
        <w:left w:val="none" w:sz="0" w:space="0" w:color="auto"/>
        <w:bottom w:val="none" w:sz="0" w:space="0" w:color="auto"/>
        <w:right w:val="none" w:sz="0" w:space="0" w:color="auto"/>
      </w:divBdr>
    </w:div>
    <w:div w:id="1993168326">
      <w:bodyDiv w:val="1"/>
      <w:marLeft w:val="0"/>
      <w:marRight w:val="0"/>
      <w:marTop w:val="0"/>
      <w:marBottom w:val="0"/>
      <w:divBdr>
        <w:top w:val="none" w:sz="0" w:space="0" w:color="auto"/>
        <w:left w:val="none" w:sz="0" w:space="0" w:color="auto"/>
        <w:bottom w:val="none" w:sz="0" w:space="0" w:color="auto"/>
        <w:right w:val="none" w:sz="0" w:space="0" w:color="auto"/>
      </w:divBdr>
    </w:div>
    <w:div w:id="1996642542">
      <w:bodyDiv w:val="1"/>
      <w:marLeft w:val="0"/>
      <w:marRight w:val="0"/>
      <w:marTop w:val="0"/>
      <w:marBottom w:val="0"/>
      <w:divBdr>
        <w:top w:val="none" w:sz="0" w:space="0" w:color="auto"/>
        <w:left w:val="none" w:sz="0" w:space="0" w:color="auto"/>
        <w:bottom w:val="none" w:sz="0" w:space="0" w:color="auto"/>
        <w:right w:val="none" w:sz="0" w:space="0" w:color="auto"/>
      </w:divBdr>
    </w:div>
    <w:div w:id="1996833274">
      <w:bodyDiv w:val="1"/>
      <w:marLeft w:val="0"/>
      <w:marRight w:val="0"/>
      <w:marTop w:val="0"/>
      <w:marBottom w:val="0"/>
      <w:divBdr>
        <w:top w:val="none" w:sz="0" w:space="0" w:color="auto"/>
        <w:left w:val="none" w:sz="0" w:space="0" w:color="auto"/>
        <w:bottom w:val="none" w:sz="0" w:space="0" w:color="auto"/>
        <w:right w:val="none" w:sz="0" w:space="0" w:color="auto"/>
      </w:divBdr>
    </w:div>
    <w:div w:id="1997998256">
      <w:bodyDiv w:val="1"/>
      <w:marLeft w:val="0"/>
      <w:marRight w:val="0"/>
      <w:marTop w:val="0"/>
      <w:marBottom w:val="0"/>
      <w:divBdr>
        <w:top w:val="none" w:sz="0" w:space="0" w:color="auto"/>
        <w:left w:val="none" w:sz="0" w:space="0" w:color="auto"/>
        <w:bottom w:val="none" w:sz="0" w:space="0" w:color="auto"/>
        <w:right w:val="none" w:sz="0" w:space="0" w:color="auto"/>
      </w:divBdr>
    </w:div>
    <w:div w:id="1999259370">
      <w:bodyDiv w:val="1"/>
      <w:marLeft w:val="0"/>
      <w:marRight w:val="0"/>
      <w:marTop w:val="0"/>
      <w:marBottom w:val="0"/>
      <w:divBdr>
        <w:top w:val="none" w:sz="0" w:space="0" w:color="auto"/>
        <w:left w:val="none" w:sz="0" w:space="0" w:color="auto"/>
        <w:bottom w:val="none" w:sz="0" w:space="0" w:color="auto"/>
        <w:right w:val="none" w:sz="0" w:space="0" w:color="auto"/>
      </w:divBdr>
    </w:div>
    <w:div w:id="2003701049">
      <w:bodyDiv w:val="1"/>
      <w:marLeft w:val="0"/>
      <w:marRight w:val="0"/>
      <w:marTop w:val="0"/>
      <w:marBottom w:val="0"/>
      <w:divBdr>
        <w:top w:val="none" w:sz="0" w:space="0" w:color="auto"/>
        <w:left w:val="none" w:sz="0" w:space="0" w:color="auto"/>
        <w:bottom w:val="none" w:sz="0" w:space="0" w:color="auto"/>
        <w:right w:val="none" w:sz="0" w:space="0" w:color="auto"/>
      </w:divBdr>
    </w:div>
    <w:div w:id="2005237599">
      <w:bodyDiv w:val="1"/>
      <w:marLeft w:val="0"/>
      <w:marRight w:val="0"/>
      <w:marTop w:val="0"/>
      <w:marBottom w:val="0"/>
      <w:divBdr>
        <w:top w:val="none" w:sz="0" w:space="0" w:color="auto"/>
        <w:left w:val="none" w:sz="0" w:space="0" w:color="auto"/>
        <w:bottom w:val="none" w:sz="0" w:space="0" w:color="auto"/>
        <w:right w:val="none" w:sz="0" w:space="0" w:color="auto"/>
      </w:divBdr>
    </w:div>
    <w:div w:id="2005549197">
      <w:bodyDiv w:val="1"/>
      <w:marLeft w:val="0"/>
      <w:marRight w:val="0"/>
      <w:marTop w:val="0"/>
      <w:marBottom w:val="0"/>
      <w:divBdr>
        <w:top w:val="none" w:sz="0" w:space="0" w:color="auto"/>
        <w:left w:val="none" w:sz="0" w:space="0" w:color="auto"/>
        <w:bottom w:val="none" w:sz="0" w:space="0" w:color="auto"/>
        <w:right w:val="none" w:sz="0" w:space="0" w:color="auto"/>
      </w:divBdr>
    </w:div>
    <w:div w:id="2007005679">
      <w:bodyDiv w:val="1"/>
      <w:marLeft w:val="0"/>
      <w:marRight w:val="0"/>
      <w:marTop w:val="0"/>
      <w:marBottom w:val="0"/>
      <w:divBdr>
        <w:top w:val="none" w:sz="0" w:space="0" w:color="auto"/>
        <w:left w:val="none" w:sz="0" w:space="0" w:color="auto"/>
        <w:bottom w:val="none" w:sz="0" w:space="0" w:color="auto"/>
        <w:right w:val="none" w:sz="0" w:space="0" w:color="auto"/>
      </w:divBdr>
    </w:div>
    <w:div w:id="2008051718">
      <w:bodyDiv w:val="1"/>
      <w:marLeft w:val="0"/>
      <w:marRight w:val="0"/>
      <w:marTop w:val="0"/>
      <w:marBottom w:val="0"/>
      <w:divBdr>
        <w:top w:val="none" w:sz="0" w:space="0" w:color="auto"/>
        <w:left w:val="none" w:sz="0" w:space="0" w:color="auto"/>
        <w:bottom w:val="none" w:sz="0" w:space="0" w:color="auto"/>
        <w:right w:val="none" w:sz="0" w:space="0" w:color="auto"/>
      </w:divBdr>
    </w:div>
    <w:div w:id="2016492289">
      <w:bodyDiv w:val="1"/>
      <w:marLeft w:val="0"/>
      <w:marRight w:val="0"/>
      <w:marTop w:val="0"/>
      <w:marBottom w:val="0"/>
      <w:divBdr>
        <w:top w:val="none" w:sz="0" w:space="0" w:color="auto"/>
        <w:left w:val="none" w:sz="0" w:space="0" w:color="auto"/>
        <w:bottom w:val="none" w:sz="0" w:space="0" w:color="auto"/>
        <w:right w:val="none" w:sz="0" w:space="0" w:color="auto"/>
      </w:divBdr>
    </w:div>
    <w:div w:id="2017803251">
      <w:bodyDiv w:val="1"/>
      <w:marLeft w:val="0"/>
      <w:marRight w:val="0"/>
      <w:marTop w:val="0"/>
      <w:marBottom w:val="0"/>
      <w:divBdr>
        <w:top w:val="none" w:sz="0" w:space="0" w:color="auto"/>
        <w:left w:val="none" w:sz="0" w:space="0" w:color="auto"/>
        <w:bottom w:val="none" w:sz="0" w:space="0" w:color="auto"/>
        <w:right w:val="none" w:sz="0" w:space="0" w:color="auto"/>
      </w:divBdr>
    </w:div>
    <w:div w:id="2025815308">
      <w:bodyDiv w:val="1"/>
      <w:marLeft w:val="0"/>
      <w:marRight w:val="0"/>
      <w:marTop w:val="0"/>
      <w:marBottom w:val="0"/>
      <w:divBdr>
        <w:top w:val="none" w:sz="0" w:space="0" w:color="auto"/>
        <w:left w:val="none" w:sz="0" w:space="0" w:color="auto"/>
        <w:bottom w:val="none" w:sz="0" w:space="0" w:color="auto"/>
        <w:right w:val="none" w:sz="0" w:space="0" w:color="auto"/>
      </w:divBdr>
    </w:div>
    <w:div w:id="2026785694">
      <w:bodyDiv w:val="1"/>
      <w:marLeft w:val="0"/>
      <w:marRight w:val="0"/>
      <w:marTop w:val="0"/>
      <w:marBottom w:val="0"/>
      <w:divBdr>
        <w:top w:val="none" w:sz="0" w:space="0" w:color="auto"/>
        <w:left w:val="none" w:sz="0" w:space="0" w:color="auto"/>
        <w:bottom w:val="none" w:sz="0" w:space="0" w:color="auto"/>
        <w:right w:val="none" w:sz="0" w:space="0" w:color="auto"/>
      </w:divBdr>
    </w:div>
    <w:div w:id="2027442627">
      <w:bodyDiv w:val="1"/>
      <w:marLeft w:val="0"/>
      <w:marRight w:val="0"/>
      <w:marTop w:val="0"/>
      <w:marBottom w:val="0"/>
      <w:divBdr>
        <w:top w:val="none" w:sz="0" w:space="0" w:color="auto"/>
        <w:left w:val="none" w:sz="0" w:space="0" w:color="auto"/>
        <w:bottom w:val="none" w:sz="0" w:space="0" w:color="auto"/>
        <w:right w:val="none" w:sz="0" w:space="0" w:color="auto"/>
      </w:divBdr>
    </w:div>
    <w:div w:id="2027515602">
      <w:bodyDiv w:val="1"/>
      <w:marLeft w:val="0"/>
      <w:marRight w:val="0"/>
      <w:marTop w:val="0"/>
      <w:marBottom w:val="0"/>
      <w:divBdr>
        <w:top w:val="none" w:sz="0" w:space="0" w:color="auto"/>
        <w:left w:val="none" w:sz="0" w:space="0" w:color="auto"/>
        <w:bottom w:val="none" w:sz="0" w:space="0" w:color="auto"/>
        <w:right w:val="none" w:sz="0" w:space="0" w:color="auto"/>
      </w:divBdr>
    </w:div>
    <w:div w:id="2029599317">
      <w:bodyDiv w:val="1"/>
      <w:marLeft w:val="0"/>
      <w:marRight w:val="0"/>
      <w:marTop w:val="0"/>
      <w:marBottom w:val="0"/>
      <w:divBdr>
        <w:top w:val="none" w:sz="0" w:space="0" w:color="auto"/>
        <w:left w:val="none" w:sz="0" w:space="0" w:color="auto"/>
        <w:bottom w:val="none" w:sz="0" w:space="0" w:color="auto"/>
        <w:right w:val="none" w:sz="0" w:space="0" w:color="auto"/>
      </w:divBdr>
    </w:div>
    <w:div w:id="2030644194">
      <w:bodyDiv w:val="1"/>
      <w:marLeft w:val="0"/>
      <w:marRight w:val="0"/>
      <w:marTop w:val="0"/>
      <w:marBottom w:val="0"/>
      <w:divBdr>
        <w:top w:val="none" w:sz="0" w:space="0" w:color="auto"/>
        <w:left w:val="none" w:sz="0" w:space="0" w:color="auto"/>
        <w:bottom w:val="none" w:sz="0" w:space="0" w:color="auto"/>
        <w:right w:val="none" w:sz="0" w:space="0" w:color="auto"/>
      </w:divBdr>
    </w:div>
    <w:div w:id="2030795421">
      <w:bodyDiv w:val="1"/>
      <w:marLeft w:val="0"/>
      <w:marRight w:val="0"/>
      <w:marTop w:val="0"/>
      <w:marBottom w:val="0"/>
      <w:divBdr>
        <w:top w:val="none" w:sz="0" w:space="0" w:color="auto"/>
        <w:left w:val="none" w:sz="0" w:space="0" w:color="auto"/>
        <w:bottom w:val="none" w:sz="0" w:space="0" w:color="auto"/>
        <w:right w:val="none" w:sz="0" w:space="0" w:color="auto"/>
      </w:divBdr>
    </w:div>
    <w:div w:id="2031375614">
      <w:bodyDiv w:val="1"/>
      <w:marLeft w:val="0"/>
      <w:marRight w:val="0"/>
      <w:marTop w:val="0"/>
      <w:marBottom w:val="0"/>
      <w:divBdr>
        <w:top w:val="none" w:sz="0" w:space="0" w:color="auto"/>
        <w:left w:val="none" w:sz="0" w:space="0" w:color="auto"/>
        <w:bottom w:val="none" w:sz="0" w:space="0" w:color="auto"/>
        <w:right w:val="none" w:sz="0" w:space="0" w:color="auto"/>
      </w:divBdr>
    </w:div>
    <w:div w:id="2032565103">
      <w:bodyDiv w:val="1"/>
      <w:marLeft w:val="0"/>
      <w:marRight w:val="0"/>
      <w:marTop w:val="0"/>
      <w:marBottom w:val="0"/>
      <w:divBdr>
        <w:top w:val="none" w:sz="0" w:space="0" w:color="auto"/>
        <w:left w:val="none" w:sz="0" w:space="0" w:color="auto"/>
        <w:bottom w:val="none" w:sz="0" w:space="0" w:color="auto"/>
        <w:right w:val="none" w:sz="0" w:space="0" w:color="auto"/>
      </w:divBdr>
    </w:div>
    <w:div w:id="2032992869">
      <w:bodyDiv w:val="1"/>
      <w:marLeft w:val="0"/>
      <w:marRight w:val="0"/>
      <w:marTop w:val="0"/>
      <w:marBottom w:val="0"/>
      <w:divBdr>
        <w:top w:val="none" w:sz="0" w:space="0" w:color="auto"/>
        <w:left w:val="none" w:sz="0" w:space="0" w:color="auto"/>
        <w:bottom w:val="none" w:sz="0" w:space="0" w:color="auto"/>
        <w:right w:val="none" w:sz="0" w:space="0" w:color="auto"/>
      </w:divBdr>
    </w:div>
    <w:div w:id="2037807365">
      <w:bodyDiv w:val="1"/>
      <w:marLeft w:val="0"/>
      <w:marRight w:val="0"/>
      <w:marTop w:val="0"/>
      <w:marBottom w:val="0"/>
      <w:divBdr>
        <w:top w:val="none" w:sz="0" w:space="0" w:color="auto"/>
        <w:left w:val="none" w:sz="0" w:space="0" w:color="auto"/>
        <w:bottom w:val="none" w:sz="0" w:space="0" w:color="auto"/>
        <w:right w:val="none" w:sz="0" w:space="0" w:color="auto"/>
      </w:divBdr>
    </w:div>
    <w:div w:id="2038311815">
      <w:bodyDiv w:val="1"/>
      <w:marLeft w:val="0"/>
      <w:marRight w:val="0"/>
      <w:marTop w:val="0"/>
      <w:marBottom w:val="0"/>
      <w:divBdr>
        <w:top w:val="none" w:sz="0" w:space="0" w:color="auto"/>
        <w:left w:val="none" w:sz="0" w:space="0" w:color="auto"/>
        <w:bottom w:val="none" w:sz="0" w:space="0" w:color="auto"/>
        <w:right w:val="none" w:sz="0" w:space="0" w:color="auto"/>
      </w:divBdr>
    </w:div>
    <w:div w:id="2040083190">
      <w:bodyDiv w:val="1"/>
      <w:marLeft w:val="0"/>
      <w:marRight w:val="0"/>
      <w:marTop w:val="0"/>
      <w:marBottom w:val="0"/>
      <w:divBdr>
        <w:top w:val="none" w:sz="0" w:space="0" w:color="auto"/>
        <w:left w:val="none" w:sz="0" w:space="0" w:color="auto"/>
        <w:bottom w:val="none" w:sz="0" w:space="0" w:color="auto"/>
        <w:right w:val="none" w:sz="0" w:space="0" w:color="auto"/>
      </w:divBdr>
    </w:div>
    <w:div w:id="2040816094">
      <w:bodyDiv w:val="1"/>
      <w:marLeft w:val="0"/>
      <w:marRight w:val="0"/>
      <w:marTop w:val="0"/>
      <w:marBottom w:val="0"/>
      <w:divBdr>
        <w:top w:val="none" w:sz="0" w:space="0" w:color="auto"/>
        <w:left w:val="none" w:sz="0" w:space="0" w:color="auto"/>
        <w:bottom w:val="none" w:sz="0" w:space="0" w:color="auto"/>
        <w:right w:val="none" w:sz="0" w:space="0" w:color="auto"/>
      </w:divBdr>
    </w:div>
    <w:div w:id="2040931995">
      <w:bodyDiv w:val="1"/>
      <w:marLeft w:val="0"/>
      <w:marRight w:val="0"/>
      <w:marTop w:val="0"/>
      <w:marBottom w:val="0"/>
      <w:divBdr>
        <w:top w:val="none" w:sz="0" w:space="0" w:color="auto"/>
        <w:left w:val="none" w:sz="0" w:space="0" w:color="auto"/>
        <w:bottom w:val="none" w:sz="0" w:space="0" w:color="auto"/>
        <w:right w:val="none" w:sz="0" w:space="0" w:color="auto"/>
      </w:divBdr>
    </w:div>
    <w:div w:id="2041203735">
      <w:bodyDiv w:val="1"/>
      <w:marLeft w:val="0"/>
      <w:marRight w:val="0"/>
      <w:marTop w:val="0"/>
      <w:marBottom w:val="0"/>
      <w:divBdr>
        <w:top w:val="none" w:sz="0" w:space="0" w:color="auto"/>
        <w:left w:val="none" w:sz="0" w:space="0" w:color="auto"/>
        <w:bottom w:val="none" w:sz="0" w:space="0" w:color="auto"/>
        <w:right w:val="none" w:sz="0" w:space="0" w:color="auto"/>
      </w:divBdr>
    </w:div>
    <w:div w:id="2041859535">
      <w:bodyDiv w:val="1"/>
      <w:marLeft w:val="0"/>
      <w:marRight w:val="0"/>
      <w:marTop w:val="0"/>
      <w:marBottom w:val="0"/>
      <w:divBdr>
        <w:top w:val="none" w:sz="0" w:space="0" w:color="auto"/>
        <w:left w:val="none" w:sz="0" w:space="0" w:color="auto"/>
        <w:bottom w:val="none" w:sz="0" w:space="0" w:color="auto"/>
        <w:right w:val="none" w:sz="0" w:space="0" w:color="auto"/>
      </w:divBdr>
    </w:div>
    <w:div w:id="2044211889">
      <w:bodyDiv w:val="1"/>
      <w:marLeft w:val="0"/>
      <w:marRight w:val="0"/>
      <w:marTop w:val="0"/>
      <w:marBottom w:val="0"/>
      <w:divBdr>
        <w:top w:val="none" w:sz="0" w:space="0" w:color="auto"/>
        <w:left w:val="none" w:sz="0" w:space="0" w:color="auto"/>
        <w:bottom w:val="none" w:sz="0" w:space="0" w:color="auto"/>
        <w:right w:val="none" w:sz="0" w:space="0" w:color="auto"/>
      </w:divBdr>
    </w:div>
    <w:div w:id="2044556750">
      <w:bodyDiv w:val="1"/>
      <w:marLeft w:val="0"/>
      <w:marRight w:val="0"/>
      <w:marTop w:val="0"/>
      <w:marBottom w:val="0"/>
      <w:divBdr>
        <w:top w:val="none" w:sz="0" w:space="0" w:color="auto"/>
        <w:left w:val="none" w:sz="0" w:space="0" w:color="auto"/>
        <w:bottom w:val="none" w:sz="0" w:space="0" w:color="auto"/>
        <w:right w:val="none" w:sz="0" w:space="0" w:color="auto"/>
      </w:divBdr>
    </w:div>
    <w:div w:id="2050497062">
      <w:bodyDiv w:val="1"/>
      <w:marLeft w:val="0"/>
      <w:marRight w:val="0"/>
      <w:marTop w:val="0"/>
      <w:marBottom w:val="0"/>
      <w:divBdr>
        <w:top w:val="none" w:sz="0" w:space="0" w:color="auto"/>
        <w:left w:val="none" w:sz="0" w:space="0" w:color="auto"/>
        <w:bottom w:val="none" w:sz="0" w:space="0" w:color="auto"/>
        <w:right w:val="none" w:sz="0" w:space="0" w:color="auto"/>
      </w:divBdr>
    </w:div>
    <w:div w:id="2051539414">
      <w:bodyDiv w:val="1"/>
      <w:marLeft w:val="0"/>
      <w:marRight w:val="0"/>
      <w:marTop w:val="0"/>
      <w:marBottom w:val="0"/>
      <w:divBdr>
        <w:top w:val="none" w:sz="0" w:space="0" w:color="auto"/>
        <w:left w:val="none" w:sz="0" w:space="0" w:color="auto"/>
        <w:bottom w:val="none" w:sz="0" w:space="0" w:color="auto"/>
        <w:right w:val="none" w:sz="0" w:space="0" w:color="auto"/>
      </w:divBdr>
    </w:div>
    <w:div w:id="2055621241">
      <w:bodyDiv w:val="1"/>
      <w:marLeft w:val="0"/>
      <w:marRight w:val="0"/>
      <w:marTop w:val="0"/>
      <w:marBottom w:val="0"/>
      <w:divBdr>
        <w:top w:val="none" w:sz="0" w:space="0" w:color="auto"/>
        <w:left w:val="none" w:sz="0" w:space="0" w:color="auto"/>
        <w:bottom w:val="none" w:sz="0" w:space="0" w:color="auto"/>
        <w:right w:val="none" w:sz="0" w:space="0" w:color="auto"/>
      </w:divBdr>
    </w:div>
    <w:div w:id="2057270680">
      <w:bodyDiv w:val="1"/>
      <w:marLeft w:val="0"/>
      <w:marRight w:val="0"/>
      <w:marTop w:val="0"/>
      <w:marBottom w:val="0"/>
      <w:divBdr>
        <w:top w:val="none" w:sz="0" w:space="0" w:color="auto"/>
        <w:left w:val="none" w:sz="0" w:space="0" w:color="auto"/>
        <w:bottom w:val="none" w:sz="0" w:space="0" w:color="auto"/>
        <w:right w:val="none" w:sz="0" w:space="0" w:color="auto"/>
      </w:divBdr>
    </w:div>
    <w:div w:id="2057469387">
      <w:bodyDiv w:val="1"/>
      <w:marLeft w:val="0"/>
      <w:marRight w:val="0"/>
      <w:marTop w:val="0"/>
      <w:marBottom w:val="0"/>
      <w:divBdr>
        <w:top w:val="none" w:sz="0" w:space="0" w:color="auto"/>
        <w:left w:val="none" w:sz="0" w:space="0" w:color="auto"/>
        <w:bottom w:val="none" w:sz="0" w:space="0" w:color="auto"/>
        <w:right w:val="none" w:sz="0" w:space="0" w:color="auto"/>
      </w:divBdr>
    </w:div>
    <w:div w:id="2058387205">
      <w:bodyDiv w:val="1"/>
      <w:marLeft w:val="0"/>
      <w:marRight w:val="0"/>
      <w:marTop w:val="0"/>
      <w:marBottom w:val="0"/>
      <w:divBdr>
        <w:top w:val="none" w:sz="0" w:space="0" w:color="auto"/>
        <w:left w:val="none" w:sz="0" w:space="0" w:color="auto"/>
        <w:bottom w:val="none" w:sz="0" w:space="0" w:color="auto"/>
        <w:right w:val="none" w:sz="0" w:space="0" w:color="auto"/>
      </w:divBdr>
    </w:div>
    <w:div w:id="2059738155">
      <w:bodyDiv w:val="1"/>
      <w:marLeft w:val="0"/>
      <w:marRight w:val="0"/>
      <w:marTop w:val="0"/>
      <w:marBottom w:val="0"/>
      <w:divBdr>
        <w:top w:val="none" w:sz="0" w:space="0" w:color="auto"/>
        <w:left w:val="none" w:sz="0" w:space="0" w:color="auto"/>
        <w:bottom w:val="none" w:sz="0" w:space="0" w:color="auto"/>
        <w:right w:val="none" w:sz="0" w:space="0" w:color="auto"/>
      </w:divBdr>
    </w:div>
    <w:div w:id="2060130303">
      <w:bodyDiv w:val="1"/>
      <w:marLeft w:val="0"/>
      <w:marRight w:val="0"/>
      <w:marTop w:val="0"/>
      <w:marBottom w:val="0"/>
      <w:divBdr>
        <w:top w:val="none" w:sz="0" w:space="0" w:color="auto"/>
        <w:left w:val="none" w:sz="0" w:space="0" w:color="auto"/>
        <w:bottom w:val="none" w:sz="0" w:space="0" w:color="auto"/>
        <w:right w:val="none" w:sz="0" w:space="0" w:color="auto"/>
      </w:divBdr>
    </w:div>
    <w:div w:id="2060400183">
      <w:bodyDiv w:val="1"/>
      <w:marLeft w:val="0"/>
      <w:marRight w:val="0"/>
      <w:marTop w:val="0"/>
      <w:marBottom w:val="0"/>
      <w:divBdr>
        <w:top w:val="none" w:sz="0" w:space="0" w:color="auto"/>
        <w:left w:val="none" w:sz="0" w:space="0" w:color="auto"/>
        <w:bottom w:val="none" w:sz="0" w:space="0" w:color="auto"/>
        <w:right w:val="none" w:sz="0" w:space="0" w:color="auto"/>
      </w:divBdr>
    </w:div>
    <w:div w:id="2062171609">
      <w:bodyDiv w:val="1"/>
      <w:marLeft w:val="0"/>
      <w:marRight w:val="0"/>
      <w:marTop w:val="0"/>
      <w:marBottom w:val="0"/>
      <w:divBdr>
        <w:top w:val="none" w:sz="0" w:space="0" w:color="auto"/>
        <w:left w:val="none" w:sz="0" w:space="0" w:color="auto"/>
        <w:bottom w:val="none" w:sz="0" w:space="0" w:color="auto"/>
        <w:right w:val="none" w:sz="0" w:space="0" w:color="auto"/>
      </w:divBdr>
    </w:div>
    <w:div w:id="2063678247">
      <w:bodyDiv w:val="1"/>
      <w:marLeft w:val="0"/>
      <w:marRight w:val="0"/>
      <w:marTop w:val="0"/>
      <w:marBottom w:val="0"/>
      <w:divBdr>
        <w:top w:val="none" w:sz="0" w:space="0" w:color="auto"/>
        <w:left w:val="none" w:sz="0" w:space="0" w:color="auto"/>
        <w:bottom w:val="none" w:sz="0" w:space="0" w:color="auto"/>
        <w:right w:val="none" w:sz="0" w:space="0" w:color="auto"/>
      </w:divBdr>
    </w:div>
    <w:div w:id="2063943648">
      <w:bodyDiv w:val="1"/>
      <w:marLeft w:val="0"/>
      <w:marRight w:val="0"/>
      <w:marTop w:val="0"/>
      <w:marBottom w:val="0"/>
      <w:divBdr>
        <w:top w:val="none" w:sz="0" w:space="0" w:color="auto"/>
        <w:left w:val="none" w:sz="0" w:space="0" w:color="auto"/>
        <w:bottom w:val="none" w:sz="0" w:space="0" w:color="auto"/>
        <w:right w:val="none" w:sz="0" w:space="0" w:color="auto"/>
      </w:divBdr>
    </w:div>
    <w:div w:id="2066440969">
      <w:bodyDiv w:val="1"/>
      <w:marLeft w:val="0"/>
      <w:marRight w:val="0"/>
      <w:marTop w:val="0"/>
      <w:marBottom w:val="0"/>
      <w:divBdr>
        <w:top w:val="none" w:sz="0" w:space="0" w:color="auto"/>
        <w:left w:val="none" w:sz="0" w:space="0" w:color="auto"/>
        <w:bottom w:val="none" w:sz="0" w:space="0" w:color="auto"/>
        <w:right w:val="none" w:sz="0" w:space="0" w:color="auto"/>
      </w:divBdr>
    </w:div>
    <w:div w:id="2071492850">
      <w:bodyDiv w:val="1"/>
      <w:marLeft w:val="0"/>
      <w:marRight w:val="0"/>
      <w:marTop w:val="0"/>
      <w:marBottom w:val="0"/>
      <w:divBdr>
        <w:top w:val="none" w:sz="0" w:space="0" w:color="auto"/>
        <w:left w:val="none" w:sz="0" w:space="0" w:color="auto"/>
        <w:bottom w:val="none" w:sz="0" w:space="0" w:color="auto"/>
        <w:right w:val="none" w:sz="0" w:space="0" w:color="auto"/>
      </w:divBdr>
    </w:div>
    <w:div w:id="2072772705">
      <w:bodyDiv w:val="1"/>
      <w:marLeft w:val="0"/>
      <w:marRight w:val="0"/>
      <w:marTop w:val="0"/>
      <w:marBottom w:val="0"/>
      <w:divBdr>
        <w:top w:val="none" w:sz="0" w:space="0" w:color="auto"/>
        <w:left w:val="none" w:sz="0" w:space="0" w:color="auto"/>
        <w:bottom w:val="none" w:sz="0" w:space="0" w:color="auto"/>
        <w:right w:val="none" w:sz="0" w:space="0" w:color="auto"/>
      </w:divBdr>
    </w:div>
    <w:div w:id="2072918641">
      <w:bodyDiv w:val="1"/>
      <w:marLeft w:val="0"/>
      <w:marRight w:val="0"/>
      <w:marTop w:val="0"/>
      <w:marBottom w:val="0"/>
      <w:divBdr>
        <w:top w:val="none" w:sz="0" w:space="0" w:color="auto"/>
        <w:left w:val="none" w:sz="0" w:space="0" w:color="auto"/>
        <w:bottom w:val="none" w:sz="0" w:space="0" w:color="auto"/>
        <w:right w:val="none" w:sz="0" w:space="0" w:color="auto"/>
      </w:divBdr>
    </w:div>
    <w:div w:id="2075617935">
      <w:bodyDiv w:val="1"/>
      <w:marLeft w:val="0"/>
      <w:marRight w:val="0"/>
      <w:marTop w:val="0"/>
      <w:marBottom w:val="0"/>
      <w:divBdr>
        <w:top w:val="none" w:sz="0" w:space="0" w:color="auto"/>
        <w:left w:val="none" w:sz="0" w:space="0" w:color="auto"/>
        <w:bottom w:val="none" w:sz="0" w:space="0" w:color="auto"/>
        <w:right w:val="none" w:sz="0" w:space="0" w:color="auto"/>
      </w:divBdr>
    </w:div>
    <w:div w:id="2076775524">
      <w:bodyDiv w:val="1"/>
      <w:marLeft w:val="0"/>
      <w:marRight w:val="0"/>
      <w:marTop w:val="0"/>
      <w:marBottom w:val="0"/>
      <w:divBdr>
        <w:top w:val="none" w:sz="0" w:space="0" w:color="auto"/>
        <w:left w:val="none" w:sz="0" w:space="0" w:color="auto"/>
        <w:bottom w:val="none" w:sz="0" w:space="0" w:color="auto"/>
        <w:right w:val="none" w:sz="0" w:space="0" w:color="auto"/>
      </w:divBdr>
    </w:div>
    <w:div w:id="2078436107">
      <w:bodyDiv w:val="1"/>
      <w:marLeft w:val="0"/>
      <w:marRight w:val="0"/>
      <w:marTop w:val="0"/>
      <w:marBottom w:val="0"/>
      <w:divBdr>
        <w:top w:val="none" w:sz="0" w:space="0" w:color="auto"/>
        <w:left w:val="none" w:sz="0" w:space="0" w:color="auto"/>
        <w:bottom w:val="none" w:sz="0" w:space="0" w:color="auto"/>
        <w:right w:val="none" w:sz="0" w:space="0" w:color="auto"/>
      </w:divBdr>
    </w:div>
    <w:div w:id="2079982542">
      <w:bodyDiv w:val="1"/>
      <w:marLeft w:val="0"/>
      <w:marRight w:val="0"/>
      <w:marTop w:val="0"/>
      <w:marBottom w:val="0"/>
      <w:divBdr>
        <w:top w:val="none" w:sz="0" w:space="0" w:color="auto"/>
        <w:left w:val="none" w:sz="0" w:space="0" w:color="auto"/>
        <w:bottom w:val="none" w:sz="0" w:space="0" w:color="auto"/>
        <w:right w:val="none" w:sz="0" w:space="0" w:color="auto"/>
      </w:divBdr>
    </w:div>
    <w:div w:id="2080056992">
      <w:bodyDiv w:val="1"/>
      <w:marLeft w:val="0"/>
      <w:marRight w:val="0"/>
      <w:marTop w:val="0"/>
      <w:marBottom w:val="0"/>
      <w:divBdr>
        <w:top w:val="none" w:sz="0" w:space="0" w:color="auto"/>
        <w:left w:val="none" w:sz="0" w:space="0" w:color="auto"/>
        <w:bottom w:val="none" w:sz="0" w:space="0" w:color="auto"/>
        <w:right w:val="none" w:sz="0" w:space="0" w:color="auto"/>
      </w:divBdr>
    </w:div>
    <w:div w:id="2080595870">
      <w:bodyDiv w:val="1"/>
      <w:marLeft w:val="0"/>
      <w:marRight w:val="0"/>
      <w:marTop w:val="0"/>
      <w:marBottom w:val="0"/>
      <w:divBdr>
        <w:top w:val="none" w:sz="0" w:space="0" w:color="auto"/>
        <w:left w:val="none" w:sz="0" w:space="0" w:color="auto"/>
        <w:bottom w:val="none" w:sz="0" w:space="0" w:color="auto"/>
        <w:right w:val="none" w:sz="0" w:space="0" w:color="auto"/>
      </w:divBdr>
    </w:div>
    <w:div w:id="2081244049">
      <w:bodyDiv w:val="1"/>
      <w:marLeft w:val="0"/>
      <w:marRight w:val="0"/>
      <w:marTop w:val="0"/>
      <w:marBottom w:val="0"/>
      <w:divBdr>
        <w:top w:val="none" w:sz="0" w:space="0" w:color="auto"/>
        <w:left w:val="none" w:sz="0" w:space="0" w:color="auto"/>
        <w:bottom w:val="none" w:sz="0" w:space="0" w:color="auto"/>
        <w:right w:val="none" w:sz="0" w:space="0" w:color="auto"/>
      </w:divBdr>
    </w:div>
    <w:div w:id="2082096524">
      <w:bodyDiv w:val="1"/>
      <w:marLeft w:val="0"/>
      <w:marRight w:val="0"/>
      <w:marTop w:val="0"/>
      <w:marBottom w:val="0"/>
      <w:divBdr>
        <w:top w:val="none" w:sz="0" w:space="0" w:color="auto"/>
        <w:left w:val="none" w:sz="0" w:space="0" w:color="auto"/>
        <w:bottom w:val="none" w:sz="0" w:space="0" w:color="auto"/>
        <w:right w:val="none" w:sz="0" w:space="0" w:color="auto"/>
      </w:divBdr>
    </w:div>
    <w:div w:id="2082293739">
      <w:bodyDiv w:val="1"/>
      <w:marLeft w:val="0"/>
      <w:marRight w:val="0"/>
      <w:marTop w:val="0"/>
      <w:marBottom w:val="0"/>
      <w:divBdr>
        <w:top w:val="none" w:sz="0" w:space="0" w:color="auto"/>
        <w:left w:val="none" w:sz="0" w:space="0" w:color="auto"/>
        <w:bottom w:val="none" w:sz="0" w:space="0" w:color="auto"/>
        <w:right w:val="none" w:sz="0" w:space="0" w:color="auto"/>
      </w:divBdr>
    </w:div>
    <w:div w:id="2082676821">
      <w:bodyDiv w:val="1"/>
      <w:marLeft w:val="0"/>
      <w:marRight w:val="0"/>
      <w:marTop w:val="0"/>
      <w:marBottom w:val="0"/>
      <w:divBdr>
        <w:top w:val="none" w:sz="0" w:space="0" w:color="auto"/>
        <w:left w:val="none" w:sz="0" w:space="0" w:color="auto"/>
        <w:bottom w:val="none" w:sz="0" w:space="0" w:color="auto"/>
        <w:right w:val="none" w:sz="0" w:space="0" w:color="auto"/>
      </w:divBdr>
    </w:div>
    <w:div w:id="2084911579">
      <w:bodyDiv w:val="1"/>
      <w:marLeft w:val="0"/>
      <w:marRight w:val="0"/>
      <w:marTop w:val="0"/>
      <w:marBottom w:val="0"/>
      <w:divBdr>
        <w:top w:val="none" w:sz="0" w:space="0" w:color="auto"/>
        <w:left w:val="none" w:sz="0" w:space="0" w:color="auto"/>
        <w:bottom w:val="none" w:sz="0" w:space="0" w:color="auto"/>
        <w:right w:val="none" w:sz="0" w:space="0" w:color="auto"/>
      </w:divBdr>
    </w:div>
    <w:div w:id="2087411806">
      <w:bodyDiv w:val="1"/>
      <w:marLeft w:val="0"/>
      <w:marRight w:val="0"/>
      <w:marTop w:val="0"/>
      <w:marBottom w:val="0"/>
      <w:divBdr>
        <w:top w:val="none" w:sz="0" w:space="0" w:color="auto"/>
        <w:left w:val="none" w:sz="0" w:space="0" w:color="auto"/>
        <w:bottom w:val="none" w:sz="0" w:space="0" w:color="auto"/>
        <w:right w:val="none" w:sz="0" w:space="0" w:color="auto"/>
      </w:divBdr>
    </w:div>
    <w:div w:id="2095199056">
      <w:bodyDiv w:val="1"/>
      <w:marLeft w:val="0"/>
      <w:marRight w:val="0"/>
      <w:marTop w:val="0"/>
      <w:marBottom w:val="0"/>
      <w:divBdr>
        <w:top w:val="none" w:sz="0" w:space="0" w:color="auto"/>
        <w:left w:val="none" w:sz="0" w:space="0" w:color="auto"/>
        <w:bottom w:val="none" w:sz="0" w:space="0" w:color="auto"/>
        <w:right w:val="none" w:sz="0" w:space="0" w:color="auto"/>
      </w:divBdr>
    </w:div>
    <w:div w:id="2097051192">
      <w:bodyDiv w:val="1"/>
      <w:marLeft w:val="0"/>
      <w:marRight w:val="0"/>
      <w:marTop w:val="0"/>
      <w:marBottom w:val="0"/>
      <w:divBdr>
        <w:top w:val="none" w:sz="0" w:space="0" w:color="auto"/>
        <w:left w:val="none" w:sz="0" w:space="0" w:color="auto"/>
        <w:bottom w:val="none" w:sz="0" w:space="0" w:color="auto"/>
        <w:right w:val="none" w:sz="0" w:space="0" w:color="auto"/>
      </w:divBdr>
    </w:div>
    <w:div w:id="2098356007">
      <w:bodyDiv w:val="1"/>
      <w:marLeft w:val="0"/>
      <w:marRight w:val="0"/>
      <w:marTop w:val="0"/>
      <w:marBottom w:val="0"/>
      <w:divBdr>
        <w:top w:val="none" w:sz="0" w:space="0" w:color="auto"/>
        <w:left w:val="none" w:sz="0" w:space="0" w:color="auto"/>
        <w:bottom w:val="none" w:sz="0" w:space="0" w:color="auto"/>
        <w:right w:val="none" w:sz="0" w:space="0" w:color="auto"/>
      </w:divBdr>
    </w:div>
    <w:div w:id="2100054847">
      <w:bodyDiv w:val="1"/>
      <w:marLeft w:val="0"/>
      <w:marRight w:val="0"/>
      <w:marTop w:val="0"/>
      <w:marBottom w:val="0"/>
      <w:divBdr>
        <w:top w:val="none" w:sz="0" w:space="0" w:color="auto"/>
        <w:left w:val="none" w:sz="0" w:space="0" w:color="auto"/>
        <w:bottom w:val="none" w:sz="0" w:space="0" w:color="auto"/>
        <w:right w:val="none" w:sz="0" w:space="0" w:color="auto"/>
      </w:divBdr>
    </w:div>
    <w:div w:id="2102558560">
      <w:bodyDiv w:val="1"/>
      <w:marLeft w:val="0"/>
      <w:marRight w:val="0"/>
      <w:marTop w:val="0"/>
      <w:marBottom w:val="0"/>
      <w:divBdr>
        <w:top w:val="none" w:sz="0" w:space="0" w:color="auto"/>
        <w:left w:val="none" w:sz="0" w:space="0" w:color="auto"/>
        <w:bottom w:val="none" w:sz="0" w:space="0" w:color="auto"/>
        <w:right w:val="none" w:sz="0" w:space="0" w:color="auto"/>
      </w:divBdr>
    </w:div>
    <w:div w:id="2103792150">
      <w:bodyDiv w:val="1"/>
      <w:marLeft w:val="0"/>
      <w:marRight w:val="0"/>
      <w:marTop w:val="0"/>
      <w:marBottom w:val="0"/>
      <w:divBdr>
        <w:top w:val="none" w:sz="0" w:space="0" w:color="auto"/>
        <w:left w:val="none" w:sz="0" w:space="0" w:color="auto"/>
        <w:bottom w:val="none" w:sz="0" w:space="0" w:color="auto"/>
        <w:right w:val="none" w:sz="0" w:space="0" w:color="auto"/>
      </w:divBdr>
    </w:div>
    <w:div w:id="2105101744">
      <w:bodyDiv w:val="1"/>
      <w:marLeft w:val="0"/>
      <w:marRight w:val="0"/>
      <w:marTop w:val="0"/>
      <w:marBottom w:val="0"/>
      <w:divBdr>
        <w:top w:val="none" w:sz="0" w:space="0" w:color="auto"/>
        <w:left w:val="none" w:sz="0" w:space="0" w:color="auto"/>
        <w:bottom w:val="none" w:sz="0" w:space="0" w:color="auto"/>
        <w:right w:val="none" w:sz="0" w:space="0" w:color="auto"/>
      </w:divBdr>
    </w:div>
    <w:div w:id="2107145860">
      <w:bodyDiv w:val="1"/>
      <w:marLeft w:val="0"/>
      <w:marRight w:val="0"/>
      <w:marTop w:val="0"/>
      <w:marBottom w:val="0"/>
      <w:divBdr>
        <w:top w:val="none" w:sz="0" w:space="0" w:color="auto"/>
        <w:left w:val="none" w:sz="0" w:space="0" w:color="auto"/>
        <w:bottom w:val="none" w:sz="0" w:space="0" w:color="auto"/>
        <w:right w:val="none" w:sz="0" w:space="0" w:color="auto"/>
      </w:divBdr>
    </w:div>
    <w:div w:id="2108965905">
      <w:bodyDiv w:val="1"/>
      <w:marLeft w:val="0"/>
      <w:marRight w:val="0"/>
      <w:marTop w:val="0"/>
      <w:marBottom w:val="0"/>
      <w:divBdr>
        <w:top w:val="none" w:sz="0" w:space="0" w:color="auto"/>
        <w:left w:val="none" w:sz="0" w:space="0" w:color="auto"/>
        <w:bottom w:val="none" w:sz="0" w:space="0" w:color="auto"/>
        <w:right w:val="none" w:sz="0" w:space="0" w:color="auto"/>
      </w:divBdr>
    </w:div>
    <w:div w:id="2109155606">
      <w:bodyDiv w:val="1"/>
      <w:marLeft w:val="0"/>
      <w:marRight w:val="0"/>
      <w:marTop w:val="0"/>
      <w:marBottom w:val="0"/>
      <w:divBdr>
        <w:top w:val="none" w:sz="0" w:space="0" w:color="auto"/>
        <w:left w:val="none" w:sz="0" w:space="0" w:color="auto"/>
        <w:bottom w:val="none" w:sz="0" w:space="0" w:color="auto"/>
        <w:right w:val="none" w:sz="0" w:space="0" w:color="auto"/>
      </w:divBdr>
    </w:div>
    <w:div w:id="2110225837">
      <w:bodyDiv w:val="1"/>
      <w:marLeft w:val="0"/>
      <w:marRight w:val="0"/>
      <w:marTop w:val="0"/>
      <w:marBottom w:val="0"/>
      <w:divBdr>
        <w:top w:val="none" w:sz="0" w:space="0" w:color="auto"/>
        <w:left w:val="none" w:sz="0" w:space="0" w:color="auto"/>
        <w:bottom w:val="none" w:sz="0" w:space="0" w:color="auto"/>
        <w:right w:val="none" w:sz="0" w:space="0" w:color="auto"/>
      </w:divBdr>
    </w:div>
    <w:div w:id="2117014077">
      <w:bodyDiv w:val="1"/>
      <w:marLeft w:val="0"/>
      <w:marRight w:val="0"/>
      <w:marTop w:val="0"/>
      <w:marBottom w:val="0"/>
      <w:divBdr>
        <w:top w:val="none" w:sz="0" w:space="0" w:color="auto"/>
        <w:left w:val="none" w:sz="0" w:space="0" w:color="auto"/>
        <w:bottom w:val="none" w:sz="0" w:space="0" w:color="auto"/>
        <w:right w:val="none" w:sz="0" w:space="0" w:color="auto"/>
      </w:divBdr>
    </w:div>
    <w:div w:id="2118594225">
      <w:bodyDiv w:val="1"/>
      <w:marLeft w:val="0"/>
      <w:marRight w:val="0"/>
      <w:marTop w:val="0"/>
      <w:marBottom w:val="0"/>
      <w:divBdr>
        <w:top w:val="none" w:sz="0" w:space="0" w:color="auto"/>
        <w:left w:val="none" w:sz="0" w:space="0" w:color="auto"/>
        <w:bottom w:val="none" w:sz="0" w:space="0" w:color="auto"/>
        <w:right w:val="none" w:sz="0" w:space="0" w:color="auto"/>
      </w:divBdr>
    </w:div>
    <w:div w:id="2121563757">
      <w:bodyDiv w:val="1"/>
      <w:marLeft w:val="0"/>
      <w:marRight w:val="0"/>
      <w:marTop w:val="0"/>
      <w:marBottom w:val="0"/>
      <w:divBdr>
        <w:top w:val="none" w:sz="0" w:space="0" w:color="auto"/>
        <w:left w:val="none" w:sz="0" w:space="0" w:color="auto"/>
        <w:bottom w:val="none" w:sz="0" w:space="0" w:color="auto"/>
        <w:right w:val="none" w:sz="0" w:space="0" w:color="auto"/>
      </w:divBdr>
    </w:div>
    <w:div w:id="2126265392">
      <w:bodyDiv w:val="1"/>
      <w:marLeft w:val="0"/>
      <w:marRight w:val="0"/>
      <w:marTop w:val="0"/>
      <w:marBottom w:val="0"/>
      <w:divBdr>
        <w:top w:val="none" w:sz="0" w:space="0" w:color="auto"/>
        <w:left w:val="none" w:sz="0" w:space="0" w:color="auto"/>
        <w:bottom w:val="none" w:sz="0" w:space="0" w:color="auto"/>
        <w:right w:val="none" w:sz="0" w:space="0" w:color="auto"/>
      </w:divBdr>
    </w:div>
    <w:div w:id="2127575137">
      <w:bodyDiv w:val="1"/>
      <w:marLeft w:val="0"/>
      <w:marRight w:val="0"/>
      <w:marTop w:val="0"/>
      <w:marBottom w:val="0"/>
      <w:divBdr>
        <w:top w:val="none" w:sz="0" w:space="0" w:color="auto"/>
        <w:left w:val="none" w:sz="0" w:space="0" w:color="auto"/>
        <w:bottom w:val="none" w:sz="0" w:space="0" w:color="auto"/>
        <w:right w:val="none" w:sz="0" w:space="0" w:color="auto"/>
      </w:divBdr>
    </w:div>
    <w:div w:id="2143034903">
      <w:bodyDiv w:val="1"/>
      <w:marLeft w:val="0"/>
      <w:marRight w:val="0"/>
      <w:marTop w:val="0"/>
      <w:marBottom w:val="0"/>
      <w:divBdr>
        <w:top w:val="none" w:sz="0" w:space="0" w:color="auto"/>
        <w:left w:val="none" w:sz="0" w:space="0" w:color="auto"/>
        <w:bottom w:val="none" w:sz="0" w:space="0" w:color="auto"/>
        <w:right w:val="none" w:sz="0" w:space="0" w:color="auto"/>
      </w:divBdr>
    </w:div>
    <w:div w:id="2143886889">
      <w:bodyDiv w:val="1"/>
      <w:marLeft w:val="0"/>
      <w:marRight w:val="0"/>
      <w:marTop w:val="0"/>
      <w:marBottom w:val="0"/>
      <w:divBdr>
        <w:top w:val="none" w:sz="0" w:space="0" w:color="auto"/>
        <w:left w:val="none" w:sz="0" w:space="0" w:color="auto"/>
        <w:bottom w:val="none" w:sz="0" w:space="0" w:color="auto"/>
        <w:right w:val="none" w:sz="0" w:space="0" w:color="auto"/>
      </w:divBdr>
    </w:div>
    <w:div w:id="214488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mailto:info@rpharm.ru" TargetMode="External"/><Relationship Id="rId3" Type="http://schemas.openxmlformats.org/officeDocument/2006/relationships/customXml" Target="../customXml/item3.xml"/><Relationship Id="rId21" Type="http://schemas.openxmlformats.org/officeDocument/2006/relationships/image" Target="media/image2.emf"/><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ran.microsoft.com"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doctorbronov@gmail.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mailto:Safety@rpharm.r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348293D5A1496884051BBB42675006"/>
        <w:category>
          <w:name w:val="Общие"/>
          <w:gallery w:val="placeholder"/>
        </w:category>
        <w:types>
          <w:type w:val="bbPlcHdr"/>
        </w:types>
        <w:behaviors>
          <w:behavior w:val="content"/>
        </w:behaviors>
        <w:guid w:val="{3ACA28FB-B0E7-4B18-9279-3FF2CD85C971}"/>
      </w:docPartPr>
      <w:docPartBody>
        <w:p w:rsidR="00EF6FC8" w:rsidRDefault="00C07945" w:rsidP="00C07945">
          <w:pPr>
            <w:pStyle w:val="D1348293D5A1496884051BBB4267500619"/>
          </w:pPr>
          <w:r w:rsidRPr="00F36CDD">
            <w:rPr>
              <w:rStyle w:val="PlaceholderText"/>
            </w:rPr>
            <w:t>Место для ввода текста.</w:t>
          </w:r>
        </w:p>
      </w:docPartBody>
    </w:docPart>
    <w:docPart>
      <w:docPartPr>
        <w:name w:val="F7F4514C38364158BCCE3283B975504D"/>
        <w:category>
          <w:name w:val="Общие"/>
          <w:gallery w:val="placeholder"/>
        </w:category>
        <w:types>
          <w:type w:val="bbPlcHdr"/>
        </w:types>
        <w:behaviors>
          <w:behavior w:val="content"/>
        </w:behaviors>
        <w:guid w:val="{48E7FD81-8961-4377-909C-EB8E6CE2E227}"/>
      </w:docPartPr>
      <w:docPartBody>
        <w:p w:rsidR="00EF6FC8" w:rsidRDefault="006C493F" w:rsidP="006C493F">
          <w:pPr>
            <w:pStyle w:val="F7F4514C38364158BCCE3283B975504D"/>
          </w:pPr>
          <w:r w:rsidRPr="00F36CDD">
            <w:rPr>
              <w:rStyle w:val="PlaceholderText"/>
            </w:rPr>
            <w:t>Место для ввода текста.</w:t>
          </w:r>
        </w:p>
      </w:docPartBody>
    </w:docPart>
    <w:docPart>
      <w:docPartPr>
        <w:name w:val="C33E8210116849CD989C7A626BC0409F"/>
        <w:category>
          <w:name w:val="Общие"/>
          <w:gallery w:val="placeholder"/>
        </w:category>
        <w:types>
          <w:type w:val="bbPlcHdr"/>
        </w:types>
        <w:behaviors>
          <w:behavior w:val="content"/>
        </w:behaviors>
        <w:guid w:val="{C379C93A-C84A-4ED8-B118-78E90F1FDD1C}"/>
      </w:docPartPr>
      <w:docPartBody>
        <w:p w:rsidR="00EF6FC8" w:rsidRDefault="006C493F" w:rsidP="006C493F">
          <w:pPr>
            <w:pStyle w:val="C33E8210116849CD989C7A626BC0409F"/>
          </w:pPr>
          <w:r w:rsidRPr="00F36CDD">
            <w:rPr>
              <w:rStyle w:val="PlaceholderText"/>
            </w:rPr>
            <w:t>Место для ввода текста.</w:t>
          </w:r>
        </w:p>
      </w:docPartBody>
    </w:docPart>
    <w:docPart>
      <w:docPartPr>
        <w:name w:val="A11381EF122F4B50A444AA8B3D56E202"/>
        <w:category>
          <w:name w:val="Общие"/>
          <w:gallery w:val="placeholder"/>
        </w:category>
        <w:types>
          <w:type w:val="bbPlcHdr"/>
        </w:types>
        <w:behaviors>
          <w:behavior w:val="content"/>
        </w:behaviors>
        <w:guid w:val="{CEF20C4F-9F71-4379-90EE-19C0C6B27498}"/>
      </w:docPartPr>
      <w:docPartBody>
        <w:p w:rsidR="00EF6FC8" w:rsidRDefault="006C493F" w:rsidP="006C493F">
          <w:pPr>
            <w:pStyle w:val="A11381EF122F4B50A444AA8B3D56E202"/>
          </w:pPr>
          <w:r w:rsidRPr="00F36CDD">
            <w:rPr>
              <w:rStyle w:val="PlaceholderText"/>
            </w:rPr>
            <w:t>Место для ввода текста.</w:t>
          </w:r>
        </w:p>
      </w:docPartBody>
    </w:docPart>
    <w:docPart>
      <w:docPartPr>
        <w:name w:val="E5676C8573974760AB2E513643EE5625"/>
        <w:category>
          <w:name w:val="Общие"/>
          <w:gallery w:val="placeholder"/>
        </w:category>
        <w:types>
          <w:type w:val="bbPlcHdr"/>
        </w:types>
        <w:behaviors>
          <w:behavior w:val="content"/>
        </w:behaviors>
        <w:guid w:val="{308CC22C-54AF-42B7-8CD1-000485CA190F}"/>
      </w:docPartPr>
      <w:docPartBody>
        <w:p w:rsidR="00EF6FC8" w:rsidRDefault="00121033" w:rsidP="00121033">
          <w:pPr>
            <w:pStyle w:val="E5676C8573974760AB2E513643EE56254"/>
          </w:pPr>
          <w:r w:rsidRPr="00F36CDD">
            <w:rPr>
              <w:rStyle w:val="PlaceholderText"/>
            </w:rPr>
            <w:t>Место для ввода текста.</w:t>
          </w:r>
        </w:p>
      </w:docPartBody>
    </w:docPart>
    <w:docPart>
      <w:docPartPr>
        <w:name w:val="FFC3F02904D14899B46BAAF727D27C1A"/>
        <w:category>
          <w:name w:val="Общие"/>
          <w:gallery w:val="placeholder"/>
        </w:category>
        <w:types>
          <w:type w:val="bbPlcHdr"/>
        </w:types>
        <w:behaviors>
          <w:behavior w:val="content"/>
        </w:behaviors>
        <w:guid w:val="{08E95A91-D00C-4DF4-BD0D-CD162D895C77}"/>
      </w:docPartPr>
      <w:docPartBody>
        <w:p w:rsidR="00EF6FC8" w:rsidRDefault="006C493F" w:rsidP="006C493F">
          <w:pPr>
            <w:pStyle w:val="FFC3F02904D14899B46BAAF727D27C1A"/>
          </w:pPr>
          <w:r w:rsidRPr="00F36CDD">
            <w:rPr>
              <w:rStyle w:val="PlaceholderText"/>
            </w:rPr>
            <w:t>Место для ввода текста.</w:t>
          </w:r>
        </w:p>
      </w:docPartBody>
    </w:docPart>
    <w:docPart>
      <w:docPartPr>
        <w:name w:val="12D2BE05EFC445E8BE6BC116C2182C56"/>
        <w:category>
          <w:name w:val="Общие"/>
          <w:gallery w:val="placeholder"/>
        </w:category>
        <w:types>
          <w:type w:val="bbPlcHdr"/>
        </w:types>
        <w:behaviors>
          <w:behavior w:val="content"/>
        </w:behaviors>
        <w:guid w:val="{A028DFD8-804F-49ED-BA8C-BDFEA5155338}"/>
      </w:docPartPr>
      <w:docPartBody>
        <w:p w:rsidR="00EF6FC8" w:rsidRDefault="006C493F" w:rsidP="006C493F">
          <w:pPr>
            <w:pStyle w:val="12D2BE05EFC445E8BE6BC116C2182C56"/>
          </w:pPr>
          <w:r w:rsidRPr="00F36CDD">
            <w:rPr>
              <w:rStyle w:val="PlaceholderText"/>
            </w:rPr>
            <w:t>Место для ввода текста.</w:t>
          </w:r>
        </w:p>
      </w:docPartBody>
    </w:docPart>
    <w:docPart>
      <w:docPartPr>
        <w:name w:val="621D8BDDD8CE43D6BB8BA78627557CA3"/>
        <w:category>
          <w:name w:val="Общие"/>
          <w:gallery w:val="placeholder"/>
        </w:category>
        <w:types>
          <w:type w:val="bbPlcHdr"/>
        </w:types>
        <w:behaviors>
          <w:behavior w:val="content"/>
        </w:behaviors>
        <w:guid w:val="{5F8B57F9-BCEC-46CA-8736-B4FF8D9BEDEA}"/>
      </w:docPartPr>
      <w:docPartBody>
        <w:p w:rsidR="00EF6FC8" w:rsidRDefault="006C493F" w:rsidP="006C493F">
          <w:pPr>
            <w:pStyle w:val="621D8BDDD8CE43D6BB8BA78627557CA3"/>
          </w:pPr>
          <w:r w:rsidRPr="00F36CDD">
            <w:rPr>
              <w:rStyle w:val="PlaceholderText"/>
            </w:rPr>
            <w:t>Место для ввода текста.</w:t>
          </w:r>
        </w:p>
      </w:docPartBody>
    </w:docPart>
    <w:docPart>
      <w:docPartPr>
        <w:name w:val="EFF81C2C6ACB48CF81869568BCE81D41"/>
        <w:category>
          <w:name w:val="Общие"/>
          <w:gallery w:val="placeholder"/>
        </w:category>
        <w:types>
          <w:type w:val="bbPlcHdr"/>
        </w:types>
        <w:behaviors>
          <w:behavior w:val="content"/>
        </w:behaviors>
        <w:guid w:val="{C99DCDBC-A8D4-4CA2-B12F-9C101A0FD4E8}"/>
      </w:docPartPr>
      <w:docPartBody>
        <w:p w:rsidR="00C07945" w:rsidRDefault="00121033" w:rsidP="00121033">
          <w:pPr>
            <w:pStyle w:val="EFF81C2C6ACB48CF81869568BCE81D41"/>
          </w:pPr>
          <w:r w:rsidRPr="00F36CDD">
            <w:rPr>
              <w:rStyle w:val="PlaceholderText"/>
            </w:rPr>
            <w:t>Место для ввода текста.</w:t>
          </w:r>
        </w:p>
      </w:docPartBody>
    </w:docPart>
    <w:docPart>
      <w:docPartPr>
        <w:name w:val="DefaultPlaceholder_-1854013440"/>
        <w:category>
          <w:name w:val="Общие"/>
          <w:gallery w:val="placeholder"/>
        </w:category>
        <w:types>
          <w:type w:val="bbPlcHdr"/>
        </w:types>
        <w:behaviors>
          <w:behavior w:val="content"/>
        </w:behaviors>
        <w:guid w:val="{38839AED-8FCB-4E7C-9B81-B79722B97772}"/>
      </w:docPartPr>
      <w:docPartBody>
        <w:p w:rsidR="00C07945" w:rsidRDefault="00C07945">
          <w:r w:rsidRPr="00FC0203">
            <w:rPr>
              <w:rStyle w:val="PlaceholderText"/>
            </w:rPr>
            <w:t>Место для ввода текста.</w:t>
          </w:r>
        </w:p>
      </w:docPartBody>
    </w:docPart>
    <w:docPart>
      <w:docPartPr>
        <w:name w:val="DF3542474D704B8FBE081AE31EFDA90A"/>
        <w:category>
          <w:name w:val="Общие"/>
          <w:gallery w:val="placeholder"/>
        </w:category>
        <w:types>
          <w:type w:val="bbPlcHdr"/>
        </w:types>
        <w:behaviors>
          <w:behavior w:val="content"/>
        </w:behaviors>
        <w:guid w:val="{B09FE339-A099-41D3-BC79-3AED48498F73}"/>
      </w:docPartPr>
      <w:docPartBody>
        <w:p w:rsidR="00C07945" w:rsidRDefault="000A6771" w:rsidP="000A6771">
          <w:pPr>
            <w:pStyle w:val="DF3542474D704B8FBE081AE31EFDA90A3"/>
          </w:pPr>
          <w:r w:rsidRPr="008F2D01">
            <w:rPr>
              <w:lang w:eastAsia="ru-RU"/>
            </w:rPr>
            <w:t xml:space="preserve">с неплоскоклеточным </w:t>
          </w:r>
          <w:r>
            <w:rPr>
              <w:lang w:eastAsia="ru-RU"/>
            </w:rPr>
            <w:t xml:space="preserve">НМРЛ стадии </w:t>
          </w:r>
          <w:r>
            <w:rPr>
              <w:lang w:val="en-US" w:eastAsia="ru-RU"/>
            </w:rPr>
            <w:t>IIIB</w:t>
          </w:r>
          <w:r w:rsidRPr="008F4306">
            <w:rPr>
              <w:lang w:eastAsia="ru-RU"/>
            </w:rPr>
            <w:t>–</w:t>
          </w:r>
          <w:r>
            <w:rPr>
              <w:lang w:val="en-US" w:eastAsia="ru-RU"/>
            </w:rPr>
            <w:t>IV</w:t>
          </w:r>
        </w:p>
      </w:docPartBody>
    </w:docPart>
    <w:docPart>
      <w:docPartPr>
        <w:name w:val="E8B39368B72E4F44B6EF5F98DF02199C"/>
        <w:category>
          <w:name w:val="Общие"/>
          <w:gallery w:val="placeholder"/>
        </w:category>
        <w:types>
          <w:type w:val="bbPlcHdr"/>
        </w:types>
        <w:behaviors>
          <w:behavior w:val="content"/>
        </w:behaviors>
        <w:guid w:val="{D0CE9ECA-EFE4-4DE7-B83E-73659A7C3F80}"/>
      </w:docPartPr>
      <w:docPartBody>
        <w:p w:rsidR="00BF3213" w:rsidRDefault="00BF3213" w:rsidP="00BF3213">
          <w:pPr>
            <w:pStyle w:val="E8B39368B72E4F44B6EF5F98DF02199C"/>
          </w:pPr>
          <w:r w:rsidRPr="00F36CDD">
            <w:rPr>
              <w:rStyle w:val="PlaceholderText"/>
            </w:rPr>
            <w:t>Место для ввода текста.</w:t>
          </w:r>
        </w:p>
      </w:docPartBody>
    </w:docPart>
    <w:docPart>
      <w:docPartPr>
        <w:name w:val="B4173BCBB01247EEB92B939F9F8114A2"/>
        <w:category>
          <w:name w:val="Общие"/>
          <w:gallery w:val="placeholder"/>
        </w:category>
        <w:types>
          <w:type w:val="bbPlcHdr"/>
        </w:types>
        <w:behaviors>
          <w:behavior w:val="content"/>
        </w:behaviors>
        <w:guid w:val="{6B15B095-1B96-407D-8621-3C9C4420C6B7}"/>
      </w:docPartPr>
      <w:docPartBody>
        <w:p w:rsidR="00BF3213" w:rsidRDefault="00BF3213" w:rsidP="00BF3213">
          <w:pPr>
            <w:pStyle w:val="B4173BCBB01247EEB92B939F9F8114A2"/>
          </w:pPr>
          <w:r w:rsidRPr="00FC0203">
            <w:rPr>
              <w:rStyle w:val="PlaceholderText"/>
            </w:rPr>
            <w:t>Место для ввода текста.</w:t>
          </w:r>
        </w:p>
      </w:docPartBody>
    </w:docPart>
    <w:docPart>
      <w:docPartPr>
        <w:name w:val="162710C58EDA49BCA7E6B41996416895"/>
        <w:category>
          <w:name w:val="Общие"/>
          <w:gallery w:val="placeholder"/>
        </w:category>
        <w:types>
          <w:type w:val="bbPlcHdr"/>
        </w:types>
        <w:behaviors>
          <w:behavior w:val="content"/>
        </w:behaviors>
        <w:guid w:val="{07ACEC5D-FC86-49CB-A386-CFAD4815DCF9}"/>
      </w:docPartPr>
      <w:docPartBody>
        <w:p w:rsidR="00BF3213" w:rsidRDefault="00BF3213" w:rsidP="00BF3213">
          <w:pPr>
            <w:pStyle w:val="162710C58EDA49BCA7E6B41996416895"/>
          </w:pPr>
          <w:r w:rsidRPr="00FC0203">
            <w:rPr>
              <w:rStyle w:val="PlaceholderText"/>
            </w:rPr>
            <w:t>Место для ввода текста.</w:t>
          </w:r>
        </w:p>
      </w:docPartBody>
    </w:docPart>
    <w:docPart>
      <w:docPartPr>
        <w:name w:val="3146126B43F94A29800A2A276BCF2DC0"/>
        <w:category>
          <w:name w:val="Общие"/>
          <w:gallery w:val="placeholder"/>
        </w:category>
        <w:types>
          <w:type w:val="bbPlcHdr"/>
        </w:types>
        <w:behaviors>
          <w:behavior w:val="content"/>
        </w:behaviors>
        <w:guid w:val="{DDC3968D-9E8D-483D-AB26-D9FC61C1FA09}"/>
      </w:docPartPr>
      <w:docPartBody>
        <w:p w:rsidR="00BF3213" w:rsidRDefault="000A6771" w:rsidP="000A6771">
          <w:pPr>
            <w:pStyle w:val="3146126B43F94A29800A2A276BCF2DC02"/>
          </w:pPr>
          <w:r w:rsidRPr="00FC0203">
            <w:rPr>
              <w:rStyle w:val="PlaceholderText"/>
            </w:rPr>
            <w:t>Место для ввода текста.</w:t>
          </w:r>
        </w:p>
      </w:docPartBody>
    </w:docPart>
    <w:docPart>
      <w:docPartPr>
        <w:name w:val="8371E8439B86420E951257FDB2167ED2"/>
        <w:category>
          <w:name w:val="Общие"/>
          <w:gallery w:val="placeholder"/>
        </w:category>
        <w:types>
          <w:type w:val="bbPlcHdr"/>
        </w:types>
        <w:behaviors>
          <w:behavior w:val="content"/>
        </w:behaviors>
        <w:guid w:val="{92AFA2FE-7065-4979-A7F8-D5B05EAC3472}"/>
      </w:docPartPr>
      <w:docPartBody>
        <w:p w:rsidR="00BF3213" w:rsidRDefault="00BF3213" w:rsidP="00BF3213">
          <w:pPr>
            <w:pStyle w:val="8371E8439B86420E951257FDB2167ED2"/>
          </w:pPr>
          <w:r w:rsidRPr="00FC0203">
            <w:rPr>
              <w:rStyle w:val="PlaceholderText"/>
            </w:rPr>
            <w:t>Место для ввода текста.</w:t>
          </w:r>
        </w:p>
      </w:docPartBody>
    </w:docPart>
    <w:docPart>
      <w:docPartPr>
        <w:name w:val="85004051257C49BB8AC946D44029EA63"/>
        <w:category>
          <w:name w:val="Общие"/>
          <w:gallery w:val="placeholder"/>
        </w:category>
        <w:types>
          <w:type w:val="bbPlcHdr"/>
        </w:types>
        <w:behaviors>
          <w:behavior w:val="content"/>
        </w:behaviors>
        <w:guid w:val="{B81FF7B1-21C1-410F-97EF-697EC26B0BE9}"/>
      </w:docPartPr>
      <w:docPartBody>
        <w:p w:rsidR="00BF3213" w:rsidRDefault="00BF3213" w:rsidP="00BF3213">
          <w:pPr>
            <w:pStyle w:val="85004051257C49BB8AC946D44029EA63"/>
          </w:pPr>
          <w:r w:rsidRPr="00FC0203">
            <w:rPr>
              <w:rStyle w:val="PlaceholderText"/>
            </w:rPr>
            <w:t>Место для ввода текста.</w:t>
          </w:r>
        </w:p>
      </w:docPartBody>
    </w:docPart>
    <w:docPart>
      <w:docPartPr>
        <w:name w:val="034B7A770E8649ABB1D4C952F514C304"/>
        <w:category>
          <w:name w:val="Общие"/>
          <w:gallery w:val="placeholder"/>
        </w:category>
        <w:types>
          <w:type w:val="bbPlcHdr"/>
        </w:types>
        <w:behaviors>
          <w:behavior w:val="content"/>
        </w:behaviors>
        <w:guid w:val="{AF27245F-833C-4A06-840E-F54CB9DDDC3F}"/>
      </w:docPartPr>
      <w:docPartBody>
        <w:p w:rsidR="00F45058" w:rsidRDefault="000A6771" w:rsidP="000A6771">
          <w:pPr>
            <w:pStyle w:val="034B7A770E8649ABB1D4C952F514C3041"/>
          </w:pPr>
          <m:oMathPara>
            <m:oMath>
              <m:r>
                <m:rPr>
                  <m:sty m:val="p"/>
                </m:rPr>
                <w:rPr>
                  <w:rFonts w:ascii="Cambria Math" w:hAnsi="Cambria Math"/>
                  <w:lang w:eastAsia="ru-RU"/>
                </w:rPr>
                <m:t xml:space="preserve">Общая доза </m:t>
              </m:r>
              <m:d>
                <m:dPr>
                  <m:ctrlPr>
                    <w:rPr>
                      <w:rFonts w:ascii="Cambria Math" w:hAnsi="Cambria Math"/>
                      <w:i/>
                      <w:lang w:eastAsia="ru-RU"/>
                    </w:rPr>
                  </m:ctrlPr>
                </m:dPr>
                <m:e>
                  <m:r>
                    <m:rPr>
                      <m:sty m:val="p"/>
                    </m:rPr>
                    <w:rPr>
                      <w:rFonts w:ascii="Cambria Math" w:hAnsi="Cambria Math"/>
                      <w:lang w:eastAsia="ru-RU"/>
                    </w:rPr>
                    <m:t>мг</m:t>
                  </m:r>
                </m:e>
              </m:d>
              <m:r>
                <m:rPr>
                  <m:sty m:val="p"/>
                </m:rPr>
                <w:rPr>
                  <w:rFonts w:ascii="Cambria Math" w:hAnsi="Cambria Math"/>
                  <w:lang w:eastAsia="ru-RU"/>
                </w:rPr>
                <m:t xml:space="preserve"> = </m:t>
              </m:r>
              <m:r>
                <m:rPr>
                  <m:sty m:val="p"/>
                </m:rPr>
                <w:rPr>
                  <w:rFonts w:ascii="Cambria Math" w:hAnsi="Cambria Math"/>
                  <w:lang w:val="en-US" w:eastAsia="ru-RU"/>
                </w:rPr>
                <m:t>AUC ×(</m:t>
              </m:r>
              <m:r>
                <m:rPr>
                  <m:sty m:val="p"/>
                </m:rPr>
                <w:rPr>
                  <w:rFonts w:ascii="Cambria Math" w:hAnsi="Cambria Math"/>
                  <w:lang w:eastAsia="ru-RU"/>
                </w:rPr>
                <m:t>СКФ+25)</m:t>
              </m:r>
            </m:oMath>
          </m:oMathPara>
        </w:p>
      </w:docPartBody>
    </w:docPart>
    <w:docPart>
      <w:docPartPr>
        <w:name w:val="570DFC6CBD844040AC0102022BE69013"/>
        <w:category>
          <w:name w:val="Общие"/>
          <w:gallery w:val="placeholder"/>
        </w:category>
        <w:types>
          <w:type w:val="bbPlcHdr"/>
        </w:types>
        <w:behaviors>
          <w:behavior w:val="content"/>
        </w:behaviors>
        <w:guid w:val="{FEA432FC-4552-4187-9D0C-7B92D65B126F}"/>
      </w:docPartPr>
      <w:docPartBody>
        <w:p w:rsidR="00B02DB6" w:rsidRDefault="00866F60" w:rsidP="00866F60">
          <w:pPr>
            <w:pStyle w:val="570DFC6CBD844040AC0102022BE69013"/>
          </w:pPr>
          <w:r w:rsidRPr="00FC0203">
            <w:rPr>
              <w:rStyle w:val="PlaceholderText"/>
            </w:rPr>
            <w:t>Место для ввода текста.</w:t>
          </w:r>
        </w:p>
      </w:docPartBody>
    </w:docPart>
    <w:docPart>
      <w:docPartPr>
        <w:name w:val="43770E2BAE934AEE9BAEC16CFDE78516"/>
        <w:category>
          <w:name w:val="Общие"/>
          <w:gallery w:val="placeholder"/>
        </w:category>
        <w:types>
          <w:type w:val="bbPlcHdr"/>
        </w:types>
        <w:behaviors>
          <w:behavior w:val="content"/>
        </w:behaviors>
        <w:guid w:val="{115CB96A-C377-4CE8-A280-E9F62F91A681}"/>
      </w:docPartPr>
      <w:docPartBody>
        <w:p w:rsidR="00B02DB6" w:rsidRDefault="00866F60" w:rsidP="00866F60">
          <w:pPr>
            <w:pStyle w:val="43770E2BAE934AEE9BAEC16CFDE78516"/>
          </w:pPr>
          <w:r w:rsidRPr="0025247C">
            <w:rPr>
              <w:rStyle w:val="PlaceholderText"/>
              <w:highlight w:val="red"/>
            </w:rPr>
            <w:t>Место для ввода текста.</w:t>
          </w:r>
        </w:p>
      </w:docPartBody>
    </w:docPart>
    <w:docPart>
      <w:docPartPr>
        <w:name w:val="5857E79C19DE4E3590E1903092F602CB"/>
        <w:category>
          <w:name w:val="Общие"/>
          <w:gallery w:val="placeholder"/>
        </w:category>
        <w:types>
          <w:type w:val="bbPlcHdr"/>
        </w:types>
        <w:behaviors>
          <w:behavior w:val="content"/>
        </w:behaviors>
        <w:guid w:val="{75E283F4-65AD-4C6D-85D3-773CEBDDBA63}"/>
      </w:docPartPr>
      <w:docPartBody>
        <w:p w:rsidR="00B02DB6" w:rsidRDefault="00866F60" w:rsidP="00866F60">
          <w:pPr>
            <w:pStyle w:val="5857E79C19DE4E3590E1903092F602CB"/>
          </w:pPr>
          <w:r w:rsidRPr="00FC0203">
            <w:rPr>
              <w:rStyle w:val="PlaceholderText"/>
            </w:rPr>
            <w:t>Место для ввода текста.</w:t>
          </w:r>
        </w:p>
      </w:docPartBody>
    </w:docPart>
    <w:docPart>
      <w:docPartPr>
        <w:name w:val="8BFE4DD40510475A8B446AB039846235"/>
        <w:category>
          <w:name w:val="Общие"/>
          <w:gallery w:val="placeholder"/>
        </w:category>
        <w:types>
          <w:type w:val="bbPlcHdr"/>
        </w:types>
        <w:behaviors>
          <w:behavior w:val="content"/>
        </w:behaviors>
        <w:guid w:val="{EAB39CA8-1183-4423-B049-3051459649F0}"/>
      </w:docPartPr>
      <w:docPartBody>
        <w:p w:rsidR="00B02DB6" w:rsidRDefault="00866F60" w:rsidP="00866F60">
          <w:pPr>
            <w:pStyle w:val="8BFE4DD40510475A8B446AB039846235"/>
          </w:pPr>
          <w:r w:rsidRPr="00FC0203">
            <w:rPr>
              <w:rStyle w:val="PlaceholderText"/>
            </w:rPr>
            <w:t>Место для ввода текста.</w:t>
          </w:r>
        </w:p>
      </w:docPartBody>
    </w:docPart>
    <w:docPart>
      <w:docPartPr>
        <w:name w:val="0F600AD9F22C420BB4E0D473FD4F7EA8"/>
        <w:category>
          <w:name w:val="Общие"/>
          <w:gallery w:val="placeholder"/>
        </w:category>
        <w:types>
          <w:type w:val="bbPlcHdr"/>
        </w:types>
        <w:behaviors>
          <w:behavior w:val="content"/>
        </w:behaviors>
        <w:guid w:val="{5CBE8242-F2F5-49C1-92A4-2A4D54F37C81}"/>
      </w:docPartPr>
      <w:docPartBody>
        <w:p w:rsidR="00B02DB6" w:rsidRDefault="00866F60" w:rsidP="00866F60">
          <w:pPr>
            <w:pStyle w:val="0F600AD9F22C420BB4E0D473FD4F7EA8"/>
          </w:pPr>
          <w:r w:rsidRPr="00FC0203">
            <w:rPr>
              <w:rStyle w:val="PlaceholderText"/>
            </w:rPr>
            <w:t>Место для ввода текста.</w:t>
          </w:r>
        </w:p>
      </w:docPartBody>
    </w:docPart>
    <w:docPart>
      <w:docPartPr>
        <w:name w:val="28C10CAFD66842C2BFA8853D34030061"/>
        <w:category>
          <w:name w:val="Общие"/>
          <w:gallery w:val="placeholder"/>
        </w:category>
        <w:types>
          <w:type w:val="bbPlcHdr"/>
        </w:types>
        <w:behaviors>
          <w:behavior w:val="content"/>
        </w:behaviors>
        <w:guid w:val="{D2EF9D3E-6D79-4BB5-8375-F2FC633DE321}"/>
      </w:docPartPr>
      <w:docPartBody>
        <w:p w:rsidR="00B02DB6" w:rsidRDefault="00866F60" w:rsidP="00866F60">
          <w:pPr>
            <w:pStyle w:val="28C10CAFD66842C2BFA8853D34030061"/>
          </w:pPr>
          <w:r w:rsidRPr="00FC0203">
            <w:rPr>
              <w:rStyle w:val="PlaceholderText"/>
            </w:rPr>
            <w:t>Место для ввода текста.</w:t>
          </w:r>
        </w:p>
      </w:docPartBody>
    </w:docPart>
    <w:docPart>
      <w:docPartPr>
        <w:name w:val="74206543B2E449938FA3DA4649B993FC"/>
        <w:category>
          <w:name w:val="Общие"/>
          <w:gallery w:val="placeholder"/>
        </w:category>
        <w:types>
          <w:type w:val="bbPlcHdr"/>
        </w:types>
        <w:behaviors>
          <w:behavior w:val="content"/>
        </w:behaviors>
        <w:guid w:val="{526B940B-6773-409A-95B7-B61B3FB16709}"/>
      </w:docPartPr>
      <w:docPartBody>
        <w:p w:rsidR="00B02DB6" w:rsidRDefault="00866F60" w:rsidP="00866F60">
          <w:pPr>
            <w:pStyle w:val="74206543B2E449938FA3DA4649B993FC"/>
          </w:pPr>
          <w:r w:rsidRPr="00FC0203">
            <w:rPr>
              <w:rStyle w:val="PlaceholderText"/>
            </w:rPr>
            <w:t>Место для ввода текста.</w:t>
          </w:r>
        </w:p>
      </w:docPartBody>
    </w:docPart>
    <w:docPart>
      <w:docPartPr>
        <w:name w:val="DE36365E3B9D4D63AECCDDDFC87B12EB"/>
        <w:category>
          <w:name w:val="Общие"/>
          <w:gallery w:val="placeholder"/>
        </w:category>
        <w:types>
          <w:type w:val="bbPlcHdr"/>
        </w:types>
        <w:behaviors>
          <w:behavior w:val="content"/>
        </w:behaviors>
        <w:guid w:val="{6BB6D2DA-6B63-446B-AEF6-70CD48DCE4AA}"/>
      </w:docPartPr>
      <w:docPartBody>
        <w:p w:rsidR="00B02DB6" w:rsidRDefault="00866F60" w:rsidP="00866F60">
          <w:pPr>
            <w:pStyle w:val="DE36365E3B9D4D63AECCDDDFC87B12EB"/>
          </w:pPr>
          <w:r w:rsidRPr="00FC0203">
            <w:rPr>
              <w:rStyle w:val="PlaceholderText"/>
            </w:rPr>
            <w:t>Место для ввода текста.</w:t>
          </w:r>
        </w:p>
      </w:docPartBody>
    </w:docPart>
    <w:docPart>
      <w:docPartPr>
        <w:name w:val="7143642B71A74773A31A8F8F787E6341"/>
        <w:category>
          <w:name w:val="Общие"/>
          <w:gallery w:val="placeholder"/>
        </w:category>
        <w:types>
          <w:type w:val="bbPlcHdr"/>
        </w:types>
        <w:behaviors>
          <w:behavior w:val="content"/>
        </w:behaviors>
        <w:guid w:val="{DDA6F28E-AAB2-4ACB-A080-3D71C072D071}"/>
      </w:docPartPr>
      <w:docPartBody>
        <w:p w:rsidR="00B02DB6" w:rsidRDefault="00866F60" w:rsidP="00866F60">
          <w:pPr>
            <w:pStyle w:val="7143642B71A74773A31A8F8F787E6341"/>
          </w:pPr>
          <w:r w:rsidRPr="00FC0203">
            <w:rPr>
              <w:rStyle w:val="PlaceholderText"/>
            </w:rPr>
            <w:t>Место для ввода текста.</w:t>
          </w:r>
        </w:p>
      </w:docPartBody>
    </w:docPart>
    <w:docPart>
      <w:docPartPr>
        <w:name w:val="0ACBF6F629B8465ABD63D65D003C490B"/>
        <w:category>
          <w:name w:val="Общие"/>
          <w:gallery w:val="placeholder"/>
        </w:category>
        <w:types>
          <w:type w:val="bbPlcHdr"/>
        </w:types>
        <w:behaviors>
          <w:behavior w:val="content"/>
        </w:behaviors>
        <w:guid w:val="{A1CC3AE6-5118-4CFE-A825-C7F4B85BA7CC}"/>
      </w:docPartPr>
      <w:docPartBody>
        <w:p w:rsidR="006307CF" w:rsidRDefault="00CB5EC4" w:rsidP="00CB5EC4">
          <w:pPr>
            <w:pStyle w:val="0ACBF6F629B8465ABD63D65D003C490B"/>
          </w:pPr>
          <w:r w:rsidRPr="00FC0203">
            <w:rPr>
              <w:rStyle w:val="PlaceholderText"/>
            </w:rPr>
            <w:t>Место для ввода текста.</w:t>
          </w:r>
        </w:p>
      </w:docPartBody>
    </w:docPart>
    <w:docPart>
      <w:docPartPr>
        <w:name w:val="44A78374739645A98B6C95AE7F23F5D4"/>
        <w:category>
          <w:name w:val="Общие"/>
          <w:gallery w:val="placeholder"/>
        </w:category>
        <w:types>
          <w:type w:val="bbPlcHdr"/>
        </w:types>
        <w:behaviors>
          <w:behavior w:val="content"/>
        </w:behaviors>
        <w:guid w:val="{38A5CD4D-5341-4AA0-B22E-103857A83209}"/>
      </w:docPartPr>
      <w:docPartBody>
        <w:p w:rsidR="006307CF" w:rsidRDefault="00CB5EC4" w:rsidP="00CB5EC4">
          <w:pPr>
            <w:pStyle w:val="44A78374739645A98B6C95AE7F23F5D4"/>
          </w:pPr>
          <w:r w:rsidRPr="00F36CDD">
            <w:rPr>
              <w:rStyle w:val="PlaceholderText"/>
            </w:rPr>
            <w:t>Место для ввода текста.</w:t>
          </w:r>
        </w:p>
      </w:docPartBody>
    </w:docPart>
    <w:docPart>
      <w:docPartPr>
        <w:name w:val="4278AB0F890D49CFB8BC88FE553C92BB"/>
        <w:category>
          <w:name w:val="Общие"/>
          <w:gallery w:val="placeholder"/>
        </w:category>
        <w:types>
          <w:type w:val="bbPlcHdr"/>
        </w:types>
        <w:behaviors>
          <w:behavior w:val="content"/>
        </w:behaviors>
        <w:guid w:val="{C7545136-1A56-456C-95F1-02F6B194EFAF}"/>
      </w:docPartPr>
      <w:docPartBody>
        <w:p w:rsidR="006307CF" w:rsidRDefault="00CB5EC4" w:rsidP="00CB5EC4">
          <w:pPr>
            <w:pStyle w:val="4278AB0F890D49CFB8BC88FE553C92BB"/>
          </w:pPr>
          <w:r w:rsidRPr="00F36CDD">
            <w:rPr>
              <w:rStyle w:val="PlaceholderText"/>
            </w:rPr>
            <w:t>Место для ввода текста.</w:t>
          </w:r>
        </w:p>
      </w:docPartBody>
    </w:docPart>
    <w:docPart>
      <w:docPartPr>
        <w:name w:val="EE4F9A0C89DE4B2A82DCD4BEFEA2E7A4"/>
        <w:category>
          <w:name w:val="Общие"/>
          <w:gallery w:val="placeholder"/>
        </w:category>
        <w:types>
          <w:type w:val="bbPlcHdr"/>
        </w:types>
        <w:behaviors>
          <w:behavior w:val="content"/>
        </w:behaviors>
        <w:guid w:val="{DAF48B9F-0B17-48F8-9508-972D7478A59D}"/>
      </w:docPartPr>
      <w:docPartBody>
        <w:p w:rsidR="006307CF" w:rsidRDefault="00CB5EC4" w:rsidP="00CB5EC4">
          <w:pPr>
            <w:pStyle w:val="EE4F9A0C89DE4B2A82DCD4BEFEA2E7A4"/>
          </w:pPr>
          <w:r w:rsidRPr="00F36CDD">
            <w:rPr>
              <w:rStyle w:val="PlaceholderText"/>
            </w:rPr>
            <w:t>Место для ввода текста.</w:t>
          </w:r>
        </w:p>
      </w:docPartBody>
    </w:docPart>
    <w:docPart>
      <w:docPartPr>
        <w:name w:val="FC426E75CB144BB2B2EAB21D333C26CE"/>
        <w:category>
          <w:name w:val="Общие"/>
          <w:gallery w:val="placeholder"/>
        </w:category>
        <w:types>
          <w:type w:val="bbPlcHdr"/>
        </w:types>
        <w:behaviors>
          <w:behavior w:val="content"/>
        </w:behaviors>
        <w:guid w:val="{E116072B-7E5D-4BA6-AE4A-5F199C49E237}"/>
      </w:docPartPr>
      <w:docPartBody>
        <w:p w:rsidR="006307CF" w:rsidRDefault="00CB5EC4" w:rsidP="00CB5EC4">
          <w:pPr>
            <w:pStyle w:val="FC426E75CB144BB2B2EAB21D333C26CE"/>
          </w:pPr>
          <w:r w:rsidRPr="00F36CDD">
            <w:rPr>
              <w:rStyle w:val="PlaceholderText"/>
            </w:rPr>
            <w:t>Место для ввода текста.</w:t>
          </w:r>
        </w:p>
      </w:docPartBody>
    </w:docPart>
    <w:docPart>
      <w:docPartPr>
        <w:name w:val="28418660935B49F89930004E428B1AEF"/>
        <w:category>
          <w:name w:val="Общие"/>
          <w:gallery w:val="placeholder"/>
        </w:category>
        <w:types>
          <w:type w:val="bbPlcHdr"/>
        </w:types>
        <w:behaviors>
          <w:behavior w:val="content"/>
        </w:behaviors>
        <w:guid w:val="{4088E8D3-5C2B-4219-B54C-76003B52090F}"/>
      </w:docPartPr>
      <w:docPartBody>
        <w:p w:rsidR="006307CF" w:rsidRDefault="00CB5EC4" w:rsidP="00CB5EC4">
          <w:pPr>
            <w:pStyle w:val="28418660935B49F89930004E428B1AEF"/>
          </w:pPr>
          <w:r w:rsidRPr="00FC0203">
            <w:rPr>
              <w:rStyle w:val="PlaceholderText"/>
            </w:rPr>
            <w:t>Место для ввода текста.</w:t>
          </w:r>
        </w:p>
      </w:docPartBody>
    </w:docPart>
    <w:docPart>
      <w:docPartPr>
        <w:name w:val="22ACF9FA9CF44DE8AE3E43EF90D56011"/>
        <w:category>
          <w:name w:val="Общие"/>
          <w:gallery w:val="placeholder"/>
        </w:category>
        <w:types>
          <w:type w:val="bbPlcHdr"/>
        </w:types>
        <w:behaviors>
          <w:behavior w:val="content"/>
        </w:behaviors>
        <w:guid w:val="{D943DEB9-D1C5-40CB-B6ED-1FA77AA300A6}"/>
      </w:docPartPr>
      <w:docPartBody>
        <w:p w:rsidR="006307CF" w:rsidRDefault="00CB5EC4" w:rsidP="00CB5EC4">
          <w:pPr>
            <w:pStyle w:val="22ACF9FA9CF44DE8AE3E43EF90D56011"/>
          </w:pPr>
          <w:r w:rsidRPr="00F36CDD">
            <w:rPr>
              <w:rStyle w:val="PlaceholderText"/>
            </w:rPr>
            <w:t>Место для ввода текста.</w:t>
          </w:r>
        </w:p>
      </w:docPartBody>
    </w:docPart>
    <w:docPart>
      <w:docPartPr>
        <w:name w:val="61359440748E4F81A9B12D40F06577AD"/>
        <w:category>
          <w:name w:val="Общие"/>
          <w:gallery w:val="placeholder"/>
        </w:category>
        <w:types>
          <w:type w:val="bbPlcHdr"/>
        </w:types>
        <w:behaviors>
          <w:behavior w:val="content"/>
        </w:behaviors>
        <w:guid w:val="{B298222B-8A20-4754-AEF5-51CA9A8C803C}"/>
      </w:docPartPr>
      <w:docPartBody>
        <w:p w:rsidR="006307CF" w:rsidRDefault="00CB5EC4" w:rsidP="00CB5EC4">
          <w:pPr>
            <w:pStyle w:val="61359440748E4F81A9B12D40F06577AD"/>
          </w:pPr>
          <w:r w:rsidRPr="00F36CDD">
            <w:rPr>
              <w:rStyle w:val="PlaceholderText"/>
            </w:rPr>
            <w:t>Место для ввода текста.</w:t>
          </w:r>
        </w:p>
      </w:docPartBody>
    </w:docPart>
    <w:docPart>
      <w:docPartPr>
        <w:name w:val="DEAB425185044F7DA70EB1C1FCDC50D3"/>
        <w:category>
          <w:name w:val="Общие"/>
          <w:gallery w:val="placeholder"/>
        </w:category>
        <w:types>
          <w:type w:val="bbPlcHdr"/>
        </w:types>
        <w:behaviors>
          <w:behavior w:val="content"/>
        </w:behaviors>
        <w:guid w:val="{2C6EF0E1-04B4-4F66-A8DE-D8EE1937E34E}"/>
      </w:docPartPr>
      <w:docPartBody>
        <w:p w:rsidR="006307CF" w:rsidRDefault="00CB5EC4" w:rsidP="00CB5EC4">
          <w:pPr>
            <w:pStyle w:val="DEAB425185044F7DA70EB1C1FCDC50D3"/>
          </w:pPr>
          <w:r w:rsidRPr="00FC0203">
            <w:rPr>
              <w:rStyle w:val="PlaceholderText"/>
            </w:rPr>
            <w:t>Место для ввода текста.</w:t>
          </w:r>
        </w:p>
      </w:docPartBody>
    </w:docPart>
    <w:docPart>
      <w:docPartPr>
        <w:name w:val="274D9268D5D34B52ADD036FB6FBEB8DF"/>
        <w:category>
          <w:name w:val="Общие"/>
          <w:gallery w:val="placeholder"/>
        </w:category>
        <w:types>
          <w:type w:val="bbPlcHdr"/>
        </w:types>
        <w:behaviors>
          <w:behavior w:val="content"/>
        </w:behaviors>
        <w:guid w:val="{9AE91276-9A5D-4720-8004-15C93C38EFBF}"/>
      </w:docPartPr>
      <w:docPartBody>
        <w:p w:rsidR="006307CF" w:rsidRDefault="00CB5EC4" w:rsidP="00CB5EC4">
          <w:pPr>
            <w:pStyle w:val="274D9268D5D34B52ADD036FB6FBEB8DF"/>
          </w:pPr>
          <w:r w:rsidRPr="00FC0203">
            <w:rPr>
              <w:rStyle w:val="PlaceholderText"/>
            </w:rPr>
            <w:t>Место для ввода текста.</w:t>
          </w:r>
        </w:p>
      </w:docPartBody>
    </w:docPart>
    <w:docPart>
      <w:docPartPr>
        <w:name w:val="0A731B5D98BD4E1491678898789791D7"/>
        <w:category>
          <w:name w:val="Общие"/>
          <w:gallery w:val="placeholder"/>
        </w:category>
        <w:types>
          <w:type w:val="bbPlcHdr"/>
        </w:types>
        <w:behaviors>
          <w:behavior w:val="content"/>
        </w:behaviors>
        <w:guid w:val="{8EC07274-EB32-444D-9276-075F69524F9C}"/>
      </w:docPartPr>
      <w:docPartBody>
        <w:p w:rsidR="006307CF" w:rsidRDefault="00CB5EC4" w:rsidP="00CB5EC4">
          <w:pPr>
            <w:pStyle w:val="0A731B5D98BD4E1491678898789791D7"/>
          </w:pPr>
          <w:r w:rsidRPr="00FC0203">
            <w:rPr>
              <w:rStyle w:val="PlaceholderText"/>
            </w:rPr>
            <w:t>Место для ввода текста.</w:t>
          </w:r>
        </w:p>
      </w:docPartBody>
    </w:docPart>
    <w:docPart>
      <w:docPartPr>
        <w:name w:val="60414C76FF7448D7A5FD691C62E97D2B"/>
        <w:category>
          <w:name w:val="Общие"/>
          <w:gallery w:val="placeholder"/>
        </w:category>
        <w:types>
          <w:type w:val="bbPlcHdr"/>
        </w:types>
        <w:behaviors>
          <w:behavior w:val="content"/>
        </w:behaviors>
        <w:guid w:val="{E9C5A8D5-FAFB-4CAC-9BAD-E7E40ABF245A}"/>
      </w:docPartPr>
      <w:docPartBody>
        <w:p w:rsidR="006307CF" w:rsidRDefault="00CB5EC4" w:rsidP="00CB5EC4">
          <w:pPr>
            <w:pStyle w:val="60414C76FF7448D7A5FD691C62E97D2B"/>
          </w:pPr>
          <w:r w:rsidRPr="00FC0203">
            <w:rPr>
              <w:rStyle w:val="PlaceholderText"/>
            </w:rPr>
            <w:t>Место для ввода текста.</w:t>
          </w:r>
        </w:p>
      </w:docPartBody>
    </w:docPart>
    <w:docPart>
      <w:docPartPr>
        <w:name w:val="86257A7B376F49EBB0BFB6B58408C479"/>
        <w:category>
          <w:name w:val="Общие"/>
          <w:gallery w:val="placeholder"/>
        </w:category>
        <w:types>
          <w:type w:val="bbPlcHdr"/>
        </w:types>
        <w:behaviors>
          <w:behavior w:val="content"/>
        </w:behaviors>
        <w:guid w:val="{0EF67333-24C8-47C7-AF4A-6E6A94B47997}"/>
      </w:docPartPr>
      <w:docPartBody>
        <w:p w:rsidR="006307CF" w:rsidRDefault="00CB5EC4" w:rsidP="00CB5EC4">
          <w:pPr>
            <w:pStyle w:val="86257A7B376F49EBB0BFB6B58408C479"/>
          </w:pPr>
          <w:r w:rsidRPr="00FC0203">
            <w:rPr>
              <w:rStyle w:val="PlaceholderText"/>
            </w:rPr>
            <w:t>Место для ввода текста.</w:t>
          </w:r>
        </w:p>
      </w:docPartBody>
    </w:docPart>
    <w:docPart>
      <w:docPartPr>
        <w:name w:val="71A18B80EC234F13B1B00DA73A3C9504"/>
        <w:category>
          <w:name w:val="Общие"/>
          <w:gallery w:val="placeholder"/>
        </w:category>
        <w:types>
          <w:type w:val="bbPlcHdr"/>
        </w:types>
        <w:behaviors>
          <w:behavior w:val="content"/>
        </w:behaviors>
        <w:guid w:val="{BF0EDA93-0064-404D-935E-98DCFE39C28D}"/>
      </w:docPartPr>
      <w:docPartBody>
        <w:p w:rsidR="006307CF" w:rsidRDefault="00CB5EC4" w:rsidP="00CB5EC4">
          <w:pPr>
            <w:pStyle w:val="71A18B80EC234F13B1B00DA73A3C9504"/>
          </w:pPr>
          <w:r w:rsidRPr="00FC0203">
            <w:rPr>
              <w:rStyle w:val="PlaceholderText"/>
            </w:rPr>
            <w:t>Место для ввода текста.</w:t>
          </w:r>
        </w:p>
      </w:docPartBody>
    </w:docPart>
    <w:docPart>
      <w:docPartPr>
        <w:name w:val="6B39A45DADE2429B9F49F0EF785AAF79"/>
        <w:category>
          <w:name w:val="Общие"/>
          <w:gallery w:val="placeholder"/>
        </w:category>
        <w:types>
          <w:type w:val="bbPlcHdr"/>
        </w:types>
        <w:behaviors>
          <w:behavior w:val="content"/>
        </w:behaviors>
        <w:guid w:val="{AAAD3B25-AE5A-415A-9244-46DC789F3B87}"/>
      </w:docPartPr>
      <w:docPartBody>
        <w:p w:rsidR="006307CF" w:rsidRDefault="00CB5EC4" w:rsidP="00CB5EC4">
          <w:pPr>
            <w:pStyle w:val="6B39A45DADE2429B9F49F0EF785AAF79"/>
          </w:pPr>
          <w:r w:rsidRPr="00FC0203">
            <w:rPr>
              <w:rStyle w:val="PlaceholderText"/>
            </w:rPr>
            <w:t>Место для ввода текста.</w:t>
          </w:r>
        </w:p>
      </w:docPartBody>
    </w:docPart>
    <w:docPart>
      <w:docPartPr>
        <w:name w:val="061A5370EF20464686AEE5C3CF11C6B9"/>
        <w:category>
          <w:name w:val="Общие"/>
          <w:gallery w:val="placeholder"/>
        </w:category>
        <w:types>
          <w:type w:val="bbPlcHdr"/>
        </w:types>
        <w:behaviors>
          <w:behavior w:val="content"/>
        </w:behaviors>
        <w:guid w:val="{F28BE9FD-A75C-4489-8247-1EA1A07C3417}"/>
      </w:docPartPr>
      <w:docPartBody>
        <w:p w:rsidR="006307CF" w:rsidRDefault="00CB5EC4" w:rsidP="00CB5EC4">
          <w:pPr>
            <w:pStyle w:val="061A5370EF20464686AEE5C3CF11C6B9"/>
          </w:pPr>
          <w:r w:rsidRPr="00FC0203">
            <w:rPr>
              <w:rStyle w:val="PlaceholderText"/>
            </w:rPr>
            <w:t>Место для ввода текста.</w:t>
          </w:r>
        </w:p>
      </w:docPartBody>
    </w:docPart>
    <w:docPart>
      <w:docPartPr>
        <w:name w:val="A0D7861DBC9041868180A15E5D6F9EEF"/>
        <w:category>
          <w:name w:val="Общие"/>
          <w:gallery w:val="placeholder"/>
        </w:category>
        <w:types>
          <w:type w:val="bbPlcHdr"/>
        </w:types>
        <w:behaviors>
          <w:behavior w:val="content"/>
        </w:behaviors>
        <w:guid w:val="{35C1C1AB-4F3C-426C-B2B4-86474989CBC5}"/>
      </w:docPartPr>
      <w:docPartBody>
        <w:p w:rsidR="006307CF" w:rsidRDefault="00CB5EC4" w:rsidP="00CB5EC4">
          <w:pPr>
            <w:pStyle w:val="A0D7861DBC9041868180A15E5D6F9EEF"/>
          </w:pPr>
          <w:r w:rsidRPr="00FC0203">
            <w:rPr>
              <w:rStyle w:val="PlaceholderText"/>
            </w:rPr>
            <w:t>Место для ввода текста.</w:t>
          </w:r>
        </w:p>
      </w:docPartBody>
    </w:docPart>
    <w:docPart>
      <w:docPartPr>
        <w:name w:val="A7B1C47CD0CE4391BA0FB2D3ABFB25C4"/>
        <w:category>
          <w:name w:val="Общие"/>
          <w:gallery w:val="placeholder"/>
        </w:category>
        <w:types>
          <w:type w:val="bbPlcHdr"/>
        </w:types>
        <w:behaviors>
          <w:behavior w:val="content"/>
        </w:behaviors>
        <w:guid w:val="{87862A4B-3777-4F28-9A76-7CEE78D28578}"/>
      </w:docPartPr>
      <w:docPartBody>
        <w:p w:rsidR="006307CF" w:rsidRDefault="00CB5EC4" w:rsidP="00CB5EC4">
          <w:pPr>
            <w:pStyle w:val="A7B1C47CD0CE4391BA0FB2D3ABFB25C4"/>
          </w:pPr>
          <w:r w:rsidRPr="00FC0203">
            <w:rPr>
              <w:rStyle w:val="PlaceholderText"/>
            </w:rPr>
            <w:t>Место для ввода текста.</w:t>
          </w:r>
        </w:p>
      </w:docPartBody>
    </w:docPart>
    <w:docPart>
      <w:docPartPr>
        <w:name w:val="9D6CBF175BC449BDB3ED9449A26A8E54"/>
        <w:category>
          <w:name w:val="Общие"/>
          <w:gallery w:val="placeholder"/>
        </w:category>
        <w:types>
          <w:type w:val="bbPlcHdr"/>
        </w:types>
        <w:behaviors>
          <w:behavior w:val="content"/>
        </w:behaviors>
        <w:guid w:val="{57212C3C-73B6-4E81-B7F7-30D74BD1E739}"/>
      </w:docPartPr>
      <w:docPartBody>
        <w:p w:rsidR="006307CF" w:rsidRDefault="00CB5EC4" w:rsidP="00CB5EC4">
          <w:pPr>
            <w:pStyle w:val="9D6CBF175BC449BDB3ED9449A26A8E54"/>
          </w:pPr>
          <w:r w:rsidRPr="00FC0203">
            <w:rPr>
              <w:rStyle w:val="PlaceholderText"/>
            </w:rPr>
            <w:t>Место для ввода текста.</w:t>
          </w:r>
        </w:p>
      </w:docPartBody>
    </w:docPart>
    <w:docPart>
      <w:docPartPr>
        <w:name w:val="F1ED9DE4F74D4E0A84C7E56BB9DCCBEB"/>
        <w:category>
          <w:name w:val="Общие"/>
          <w:gallery w:val="placeholder"/>
        </w:category>
        <w:types>
          <w:type w:val="bbPlcHdr"/>
        </w:types>
        <w:behaviors>
          <w:behavior w:val="content"/>
        </w:behaviors>
        <w:guid w:val="{3F0CB74D-F7F5-43BE-9679-7131FDA0922C}"/>
      </w:docPartPr>
      <w:docPartBody>
        <w:p w:rsidR="006307CF" w:rsidRDefault="00CB5EC4" w:rsidP="00CB5EC4">
          <w:pPr>
            <w:pStyle w:val="F1ED9DE4F74D4E0A84C7E56BB9DCCBEB"/>
          </w:pPr>
          <w:r w:rsidRPr="00FC0203">
            <w:rPr>
              <w:rStyle w:val="PlaceholderText"/>
            </w:rPr>
            <w:t>Место для ввода текста.</w:t>
          </w:r>
        </w:p>
      </w:docPartBody>
    </w:docPart>
    <w:docPart>
      <w:docPartPr>
        <w:name w:val="FED8CC2A71F8441CB89BFA8EC6F6E9E5"/>
        <w:category>
          <w:name w:val="Общие"/>
          <w:gallery w:val="placeholder"/>
        </w:category>
        <w:types>
          <w:type w:val="bbPlcHdr"/>
        </w:types>
        <w:behaviors>
          <w:behavior w:val="content"/>
        </w:behaviors>
        <w:guid w:val="{BBDBCCCE-8D0D-424D-B5AA-995B99B94BB2}"/>
      </w:docPartPr>
      <w:docPartBody>
        <w:p w:rsidR="006307CF" w:rsidRDefault="00CB5EC4" w:rsidP="00CB5EC4">
          <w:pPr>
            <w:pStyle w:val="FED8CC2A71F8441CB89BFA8EC6F6E9E5"/>
          </w:pPr>
          <w:r w:rsidRPr="00FC0203">
            <w:rPr>
              <w:rStyle w:val="PlaceholderText"/>
            </w:rPr>
            <w:t>Место для ввода текста.</w:t>
          </w:r>
        </w:p>
      </w:docPartBody>
    </w:docPart>
    <w:docPart>
      <w:docPartPr>
        <w:name w:val="401B7E51441749D6BC0CB2285271C9BF"/>
        <w:category>
          <w:name w:val="Общие"/>
          <w:gallery w:val="placeholder"/>
        </w:category>
        <w:types>
          <w:type w:val="bbPlcHdr"/>
        </w:types>
        <w:behaviors>
          <w:behavior w:val="content"/>
        </w:behaviors>
        <w:guid w:val="{7B55B272-FEA8-46A7-82A3-6D59F1CFD166}"/>
      </w:docPartPr>
      <w:docPartBody>
        <w:p w:rsidR="006307CF" w:rsidRDefault="00CB5EC4" w:rsidP="00CB5EC4">
          <w:pPr>
            <w:pStyle w:val="401B7E51441749D6BC0CB2285271C9BF"/>
          </w:pPr>
          <w:r w:rsidRPr="00FC0203">
            <w:rPr>
              <w:rStyle w:val="PlaceholderText"/>
            </w:rPr>
            <w:t>Место для ввода текста.</w:t>
          </w:r>
        </w:p>
      </w:docPartBody>
    </w:docPart>
    <w:docPart>
      <w:docPartPr>
        <w:name w:val="36B982DE889A42B8B888DFD7B88E85E9"/>
        <w:category>
          <w:name w:val="Общие"/>
          <w:gallery w:val="placeholder"/>
        </w:category>
        <w:types>
          <w:type w:val="bbPlcHdr"/>
        </w:types>
        <w:behaviors>
          <w:behavior w:val="content"/>
        </w:behaviors>
        <w:guid w:val="{7B462D5C-D7CF-4F15-907A-868699986A5E}"/>
      </w:docPartPr>
      <w:docPartBody>
        <w:p w:rsidR="006307CF" w:rsidRDefault="00CB5EC4" w:rsidP="00CB5EC4">
          <w:pPr>
            <w:pStyle w:val="36B982DE889A42B8B888DFD7B88E85E9"/>
          </w:pPr>
          <w:r w:rsidRPr="00FC0203">
            <w:rPr>
              <w:rStyle w:val="PlaceholderText"/>
            </w:rPr>
            <w:t>Место для ввода текста.</w:t>
          </w:r>
        </w:p>
      </w:docPartBody>
    </w:docPart>
    <w:docPart>
      <w:docPartPr>
        <w:name w:val="C587B18EE2CE46D7BD0F12E122AF8645"/>
        <w:category>
          <w:name w:val="Общие"/>
          <w:gallery w:val="placeholder"/>
        </w:category>
        <w:types>
          <w:type w:val="bbPlcHdr"/>
        </w:types>
        <w:behaviors>
          <w:behavior w:val="content"/>
        </w:behaviors>
        <w:guid w:val="{74D6BE75-0843-487D-ACC3-0D2B37D3F2B8}"/>
      </w:docPartPr>
      <w:docPartBody>
        <w:p w:rsidR="006307CF" w:rsidRDefault="00CB5EC4" w:rsidP="00CB5EC4">
          <w:pPr>
            <w:pStyle w:val="C587B18EE2CE46D7BD0F12E122AF8645"/>
          </w:pPr>
          <w:r w:rsidRPr="00FC0203">
            <w:rPr>
              <w:rStyle w:val="PlaceholderText"/>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43"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7A0C"/>
    <w:rsid w:val="00012972"/>
    <w:rsid w:val="00013869"/>
    <w:rsid w:val="000514DF"/>
    <w:rsid w:val="00052A0B"/>
    <w:rsid w:val="000755C6"/>
    <w:rsid w:val="0007575D"/>
    <w:rsid w:val="00085DC8"/>
    <w:rsid w:val="000A09BA"/>
    <w:rsid w:val="000A6771"/>
    <w:rsid w:val="000E122C"/>
    <w:rsid w:val="001057CF"/>
    <w:rsid w:val="00121033"/>
    <w:rsid w:val="00123C65"/>
    <w:rsid w:val="00130A42"/>
    <w:rsid w:val="00137E85"/>
    <w:rsid w:val="0014605A"/>
    <w:rsid w:val="001D18C8"/>
    <w:rsid w:val="001E23D5"/>
    <w:rsid w:val="001F345F"/>
    <w:rsid w:val="00202539"/>
    <w:rsid w:val="00225890"/>
    <w:rsid w:val="00227AB7"/>
    <w:rsid w:val="00237F9E"/>
    <w:rsid w:val="0026750A"/>
    <w:rsid w:val="00271969"/>
    <w:rsid w:val="0027731E"/>
    <w:rsid w:val="00282CFC"/>
    <w:rsid w:val="002A68A8"/>
    <w:rsid w:val="002C79DC"/>
    <w:rsid w:val="002F3A96"/>
    <w:rsid w:val="002F65FB"/>
    <w:rsid w:val="00312E67"/>
    <w:rsid w:val="00315671"/>
    <w:rsid w:val="00323425"/>
    <w:rsid w:val="0032747C"/>
    <w:rsid w:val="003726C0"/>
    <w:rsid w:val="00376082"/>
    <w:rsid w:val="00380DDF"/>
    <w:rsid w:val="00382804"/>
    <w:rsid w:val="003B4860"/>
    <w:rsid w:val="003D6106"/>
    <w:rsid w:val="003F20F7"/>
    <w:rsid w:val="0045201F"/>
    <w:rsid w:val="00482D1A"/>
    <w:rsid w:val="0049777B"/>
    <w:rsid w:val="004C3310"/>
    <w:rsid w:val="004D0C83"/>
    <w:rsid w:val="004E19D5"/>
    <w:rsid w:val="00517355"/>
    <w:rsid w:val="00542DE7"/>
    <w:rsid w:val="005A3420"/>
    <w:rsid w:val="005B4012"/>
    <w:rsid w:val="005C33FD"/>
    <w:rsid w:val="005D0E1B"/>
    <w:rsid w:val="005D5BA0"/>
    <w:rsid w:val="005D697A"/>
    <w:rsid w:val="006033D4"/>
    <w:rsid w:val="00627CBF"/>
    <w:rsid w:val="006307CF"/>
    <w:rsid w:val="00653722"/>
    <w:rsid w:val="0066721C"/>
    <w:rsid w:val="006A22E2"/>
    <w:rsid w:val="006A6588"/>
    <w:rsid w:val="006C27EE"/>
    <w:rsid w:val="006C493F"/>
    <w:rsid w:val="006D6D65"/>
    <w:rsid w:val="0070176D"/>
    <w:rsid w:val="00720F4E"/>
    <w:rsid w:val="007260E4"/>
    <w:rsid w:val="00760521"/>
    <w:rsid w:val="00774FE2"/>
    <w:rsid w:val="007B36EB"/>
    <w:rsid w:val="007B4B56"/>
    <w:rsid w:val="007C3724"/>
    <w:rsid w:val="007E5920"/>
    <w:rsid w:val="00804A03"/>
    <w:rsid w:val="008133CF"/>
    <w:rsid w:val="008169BA"/>
    <w:rsid w:val="008220EE"/>
    <w:rsid w:val="0084662E"/>
    <w:rsid w:val="00851943"/>
    <w:rsid w:val="00862556"/>
    <w:rsid w:val="00866F60"/>
    <w:rsid w:val="00871BB9"/>
    <w:rsid w:val="00890207"/>
    <w:rsid w:val="00890561"/>
    <w:rsid w:val="008A5BFF"/>
    <w:rsid w:val="008E4968"/>
    <w:rsid w:val="0091527E"/>
    <w:rsid w:val="00922DD0"/>
    <w:rsid w:val="0092692F"/>
    <w:rsid w:val="00951E66"/>
    <w:rsid w:val="00975BC2"/>
    <w:rsid w:val="009836A5"/>
    <w:rsid w:val="00985633"/>
    <w:rsid w:val="009A61BD"/>
    <w:rsid w:val="009B0AAC"/>
    <w:rsid w:val="009C40CC"/>
    <w:rsid w:val="009D7434"/>
    <w:rsid w:val="009E0CC3"/>
    <w:rsid w:val="009E1B5E"/>
    <w:rsid w:val="00A27264"/>
    <w:rsid w:val="00A27567"/>
    <w:rsid w:val="00A47246"/>
    <w:rsid w:val="00A67AD4"/>
    <w:rsid w:val="00AA6534"/>
    <w:rsid w:val="00AA7EE6"/>
    <w:rsid w:val="00B02DB6"/>
    <w:rsid w:val="00B26C02"/>
    <w:rsid w:val="00B33B59"/>
    <w:rsid w:val="00B51696"/>
    <w:rsid w:val="00B973F5"/>
    <w:rsid w:val="00BA1907"/>
    <w:rsid w:val="00BA7E21"/>
    <w:rsid w:val="00BC27C9"/>
    <w:rsid w:val="00BF3213"/>
    <w:rsid w:val="00C07945"/>
    <w:rsid w:val="00C3261B"/>
    <w:rsid w:val="00C34DBA"/>
    <w:rsid w:val="00C5087B"/>
    <w:rsid w:val="00C726FB"/>
    <w:rsid w:val="00C8206B"/>
    <w:rsid w:val="00C85027"/>
    <w:rsid w:val="00CB037B"/>
    <w:rsid w:val="00CB597A"/>
    <w:rsid w:val="00CB5EC4"/>
    <w:rsid w:val="00CC39A3"/>
    <w:rsid w:val="00CC5D52"/>
    <w:rsid w:val="00CC68BC"/>
    <w:rsid w:val="00CC7775"/>
    <w:rsid w:val="00CD6933"/>
    <w:rsid w:val="00CE21C9"/>
    <w:rsid w:val="00D66867"/>
    <w:rsid w:val="00D73AF8"/>
    <w:rsid w:val="00D75FA0"/>
    <w:rsid w:val="00D7733E"/>
    <w:rsid w:val="00D959D8"/>
    <w:rsid w:val="00D96CB4"/>
    <w:rsid w:val="00E03172"/>
    <w:rsid w:val="00E13BD7"/>
    <w:rsid w:val="00E3309A"/>
    <w:rsid w:val="00E453A5"/>
    <w:rsid w:val="00E530F6"/>
    <w:rsid w:val="00E7499E"/>
    <w:rsid w:val="00E81257"/>
    <w:rsid w:val="00E97A0C"/>
    <w:rsid w:val="00EA7A1D"/>
    <w:rsid w:val="00EB6FE8"/>
    <w:rsid w:val="00EE772D"/>
    <w:rsid w:val="00EF6FC8"/>
    <w:rsid w:val="00F043FD"/>
    <w:rsid w:val="00F115A8"/>
    <w:rsid w:val="00F24AA2"/>
    <w:rsid w:val="00F45058"/>
    <w:rsid w:val="00F61DDA"/>
    <w:rsid w:val="00F9165C"/>
    <w:rsid w:val="00FB6ACA"/>
    <w:rsid w:val="00FC4030"/>
    <w:rsid w:val="00FD4917"/>
    <w:rsid w:val="00FD4A6F"/>
    <w:rsid w:val="00FF0BCD"/>
    <w:rsid w:val="00FF115D"/>
    <w:rsid w:val="00FF5B89"/>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07CF"/>
    <w:rPr>
      <w:color w:val="808080"/>
    </w:rPr>
  </w:style>
  <w:style w:type="paragraph" w:customStyle="1" w:styleId="F7F4514C38364158BCCE3283B975504D">
    <w:name w:val="F7F4514C38364158BCCE3283B975504D"/>
    <w:rsid w:val="006C493F"/>
  </w:style>
  <w:style w:type="paragraph" w:customStyle="1" w:styleId="C33E8210116849CD989C7A626BC0409F">
    <w:name w:val="C33E8210116849CD989C7A626BC0409F"/>
    <w:rsid w:val="006C493F"/>
  </w:style>
  <w:style w:type="paragraph" w:customStyle="1" w:styleId="A11381EF122F4B50A444AA8B3D56E202">
    <w:name w:val="A11381EF122F4B50A444AA8B3D56E202"/>
    <w:rsid w:val="006C493F"/>
  </w:style>
  <w:style w:type="paragraph" w:customStyle="1" w:styleId="FFC3F02904D14899B46BAAF727D27C1A">
    <w:name w:val="FFC3F02904D14899B46BAAF727D27C1A"/>
    <w:rsid w:val="006C493F"/>
  </w:style>
  <w:style w:type="paragraph" w:customStyle="1" w:styleId="12D2BE05EFC445E8BE6BC116C2182C56">
    <w:name w:val="12D2BE05EFC445E8BE6BC116C2182C56"/>
    <w:rsid w:val="006C493F"/>
  </w:style>
  <w:style w:type="paragraph" w:customStyle="1" w:styleId="621D8BDDD8CE43D6BB8BA78627557CA3">
    <w:name w:val="621D8BDDD8CE43D6BB8BA78627557CA3"/>
    <w:rsid w:val="006C493F"/>
  </w:style>
  <w:style w:type="paragraph" w:customStyle="1" w:styleId="E5676C8573974760AB2E513643EE56254">
    <w:name w:val="E5676C8573974760AB2E513643EE56254"/>
    <w:rsid w:val="00121033"/>
    <w:pPr>
      <w:spacing w:line="276" w:lineRule="auto"/>
      <w:jc w:val="both"/>
    </w:pPr>
    <w:rPr>
      <w:rFonts w:ascii="Times New Roman" w:eastAsiaTheme="minorHAnsi" w:hAnsi="Times New Roman"/>
      <w:sz w:val="24"/>
      <w:lang w:eastAsia="en-US"/>
    </w:rPr>
  </w:style>
  <w:style w:type="paragraph" w:customStyle="1" w:styleId="EFF81C2C6ACB48CF81869568BCE81D41">
    <w:name w:val="EFF81C2C6ACB48CF81869568BCE81D41"/>
    <w:rsid w:val="00121033"/>
  </w:style>
  <w:style w:type="paragraph" w:customStyle="1" w:styleId="D1348293D5A1496884051BBB4267500619">
    <w:name w:val="D1348293D5A1496884051BBB4267500619"/>
    <w:rsid w:val="00C07945"/>
    <w:pPr>
      <w:spacing w:after="0" w:line="276" w:lineRule="auto"/>
      <w:jc w:val="both"/>
    </w:pPr>
    <w:rPr>
      <w:rFonts w:ascii="Times New Roman" w:eastAsiaTheme="majorEastAsia" w:hAnsi="Times New Roman" w:cs="Times New Roman"/>
      <w:color w:val="000000" w:themeColor="text1"/>
      <w:sz w:val="24"/>
      <w:szCs w:val="32"/>
    </w:rPr>
  </w:style>
  <w:style w:type="paragraph" w:customStyle="1" w:styleId="E8B39368B72E4F44B6EF5F98DF02199C">
    <w:name w:val="E8B39368B72E4F44B6EF5F98DF02199C"/>
    <w:rsid w:val="00BF3213"/>
  </w:style>
  <w:style w:type="paragraph" w:customStyle="1" w:styleId="B4173BCBB01247EEB92B939F9F8114A2">
    <w:name w:val="B4173BCBB01247EEB92B939F9F8114A2"/>
    <w:rsid w:val="00BF3213"/>
  </w:style>
  <w:style w:type="paragraph" w:customStyle="1" w:styleId="162710C58EDA49BCA7E6B41996416895">
    <w:name w:val="162710C58EDA49BCA7E6B41996416895"/>
    <w:rsid w:val="00BF3213"/>
  </w:style>
  <w:style w:type="paragraph" w:customStyle="1" w:styleId="8371E8439B86420E951257FDB2167ED2">
    <w:name w:val="8371E8439B86420E951257FDB2167ED2"/>
    <w:rsid w:val="00BF3213"/>
    <w:pPr>
      <w:spacing w:line="276" w:lineRule="auto"/>
      <w:jc w:val="both"/>
    </w:pPr>
    <w:rPr>
      <w:rFonts w:ascii="Times New Roman" w:eastAsiaTheme="minorHAnsi" w:hAnsi="Times New Roman"/>
      <w:sz w:val="24"/>
      <w:lang w:eastAsia="en-US"/>
    </w:rPr>
  </w:style>
  <w:style w:type="paragraph" w:customStyle="1" w:styleId="85004051257C49BB8AC946D44029EA63">
    <w:name w:val="85004051257C49BB8AC946D44029EA63"/>
    <w:rsid w:val="00BF3213"/>
    <w:pPr>
      <w:spacing w:line="276" w:lineRule="auto"/>
      <w:jc w:val="both"/>
    </w:pPr>
    <w:rPr>
      <w:rFonts w:ascii="Times New Roman" w:eastAsiaTheme="minorHAnsi" w:hAnsi="Times New Roman"/>
      <w:sz w:val="24"/>
      <w:lang w:eastAsia="en-US"/>
    </w:rPr>
  </w:style>
  <w:style w:type="paragraph" w:customStyle="1" w:styleId="3146126B43F94A29800A2A276BCF2DC02">
    <w:name w:val="3146126B43F94A29800A2A276BCF2DC02"/>
    <w:rsid w:val="000A6771"/>
    <w:pPr>
      <w:spacing w:after="0" w:line="276" w:lineRule="auto"/>
      <w:jc w:val="both"/>
    </w:pPr>
    <w:rPr>
      <w:rFonts w:ascii="Times New Roman" w:eastAsiaTheme="majorEastAsia" w:hAnsi="Times New Roman" w:cs="Times New Roman"/>
      <w:color w:val="000000" w:themeColor="text1"/>
      <w:sz w:val="24"/>
      <w:szCs w:val="32"/>
    </w:rPr>
  </w:style>
  <w:style w:type="paragraph" w:customStyle="1" w:styleId="DF3542474D704B8FBE081AE31EFDA90A3">
    <w:name w:val="DF3542474D704B8FBE081AE31EFDA90A3"/>
    <w:rsid w:val="000A6771"/>
    <w:pPr>
      <w:spacing w:line="276" w:lineRule="auto"/>
      <w:jc w:val="both"/>
    </w:pPr>
    <w:rPr>
      <w:rFonts w:ascii="Times New Roman" w:eastAsiaTheme="minorHAnsi" w:hAnsi="Times New Roman"/>
      <w:sz w:val="24"/>
      <w:lang w:eastAsia="en-US"/>
    </w:rPr>
  </w:style>
  <w:style w:type="paragraph" w:customStyle="1" w:styleId="034B7A770E8649ABB1D4C952F514C3041">
    <w:name w:val="034B7A770E8649ABB1D4C952F514C3041"/>
    <w:rsid w:val="000A6771"/>
    <w:pPr>
      <w:spacing w:line="276" w:lineRule="auto"/>
      <w:jc w:val="both"/>
    </w:pPr>
    <w:rPr>
      <w:rFonts w:ascii="Times New Roman" w:eastAsiaTheme="minorHAnsi" w:hAnsi="Times New Roman"/>
      <w:sz w:val="24"/>
      <w:lang w:eastAsia="en-US"/>
    </w:rPr>
  </w:style>
  <w:style w:type="paragraph" w:customStyle="1" w:styleId="570DFC6CBD844040AC0102022BE69013">
    <w:name w:val="570DFC6CBD844040AC0102022BE69013"/>
    <w:rsid w:val="00866F60"/>
  </w:style>
  <w:style w:type="paragraph" w:customStyle="1" w:styleId="43770E2BAE934AEE9BAEC16CFDE78516">
    <w:name w:val="43770E2BAE934AEE9BAEC16CFDE78516"/>
    <w:rsid w:val="00866F60"/>
  </w:style>
  <w:style w:type="paragraph" w:customStyle="1" w:styleId="5857E79C19DE4E3590E1903092F602CB">
    <w:name w:val="5857E79C19DE4E3590E1903092F602CB"/>
    <w:rsid w:val="00866F60"/>
  </w:style>
  <w:style w:type="paragraph" w:customStyle="1" w:styleId="8BFE4DD40510475A8B446AB039846235">
    <w:name w:val="8BFE4DD40510475A8B446AB039846235"/>
    <w:rsid w:val="00866F60"/>
  </w:style>
  <w:style w:type="paragraph" w:customStyle="1" w:styleId="0F600AD9F22C420BB4E0D473FD4F7EA8">
    <w:name w:val="0F600AD9F22C420BB4E0D473FD4F7EA8"/>
    <w:rsid w:val="00866F60"/>
  </w:style>
  <w:style w:type="paragraph" w:customStyle="1" w:styleId="28C10CAFD66842C2BFA8853D34030061">
    <w:name w:val="28C10CAFD66842C2BFA8853D34030061"/>
    <w:rsid w:val="00866F60"/>
  </w:style>
  <w:style w:type="paragraph" w:customStyle="1" w:styleId="74206543B2E449938FA3DA4649B993FC">
    <w:name w:val="74206543B2E449938FA3DA4649B993FC"/>
    <w:rsid w:val="00866F60"/>
  </w:style>
  <w:style w:type="paragraph" w:customStyle="1" w:styleId="DE36365E3B9D4D63AECCDDDFC87B12EB">
    <w:name w:val="DE36365E3B9D4D63AECCDDDFC87B12EB"/>
    <w:rsid w:val="00866F60"/>
  </w:style>
  <w:style w:type="paragraph" w:customStyle="1" w:styleId="7143642B71A74773A31A8F8F787E6341">
    <w:name w:val="7143642B71A74773A31A8F8F787E6341"/>
    <w:rsid w:val="00866F60"/>
  </w:style>
  <w:style w:type="paragraph" w:customStyle="1" w:styleId="0ACBF6F629B8465ABD63D65D003C490B">
    <w:name w:val="0ACBF6F629B8465ABD63D65D003C490B"/>
    <w:rsid w:val="00CB5EC4"/>
  </w:style>
  <w:style w:type="paragraph" w:customStyle="1" w:styleId="44A78374739645A98B6C95AE7F23F5D4">
    <w:name w:val="44A78374739645A98B6C95AE7F23F5D4"/>
    <w:rsid w:val="00CB5EC4"/>
  </w:style>
  <w:style w:type="paragraph" w:customStyle="1" w:styleId="4278AB0F890D49CFB8BC88FE553C92BB">
    <w:name w:val="4278AB0F890D49CFB8BC88FE553C92BB"/>
    <w:rsid w:val="00CB5EC4"/>
  </w:style>
  <w:style w:type="paragraph" w:customStyle="1" w:styleId="EE4F9A0C89DE4B2A82DCD4BEFEA2E7A4">
    <w:name w:val="EE4F9A0C89DE4B2A82DCD4BEFEA2E7A4"/>
    <w:rsid w:val="00CB5EC4"/>
  </w:style>
  <w:style w:type="paragraph" w:customStyle="1" w:styleId="FC426E75CB144BB2B2EAB21D333C26CE">
    <w:name w:val="FC426E75CB144BB2B2EAB21D333C26CE"/>
    <w:rsid w:val="00CB5EC4"/>
  </w:style>
  <w:style w:type="paragraph" w:customStyle="1" w:styleId="28418660935B49F89930004E428B1AEF">
    <w:name w:val="28418660935B49F89930004E428B1AEF"/>
    <w:rsid w:val="00CB5EC4"/>
  </w:style>
  <w:style w:type="paragraph" w:customStyle="1" w:styleId="22ACF9FA9CF44DE8AE3E43EF90D56011">
    <w:name w:val="22ACF9FA9CF44DE8AE3E43EF90D56011"/>
    <w:rsid w:val="00CB5EC4"/>
  </w:style>
  <w:style w:type="paragraph" w:customStyle="1" w:styleId="61359440748E4F81A9B12D40F06577AD">
    <w:name w:val="61359440748E4F81A9B12D40F06577AD"/>
    <w:rsid w:val="00CB5EC4"/>
  </w:style>
  <w:style w:type="paragraph" w:customStyle="1" w:styleId="DEAB425185044F7DA70EB1C1FCDC50D3">
    <w:name w:val="DEAB425185044F7DA70EB1C1FCDC50D3"/>
    <w:rsid w:val="00CB5EC4"/>
  </w:style>
  <w:style w:type="paragraph" w:customStyle="1" w:styleId="274D9268D5D34B52ADD036FB6FBEB8DF">
    <w:name w:val="274D9268D5D34B52ADD036FB6FBEB8DF"/>
    <w:rsid w:val="00CB5EC4"/>
  </w:style>
  <w:style w:type="paragraph" w:customStyle="1" w:styleId="0A731B5D98BD4E1491678898789791D7">
    <w:name w:val="0A731B5D98BD4E1491678898789791D7"/>
    <w:rsid w:val="00CB5EC4"/>
  </w:style>
  <w:style w:type="paragraph" w:customStyle="1" w:styleId="60414C76FF7448D7A5FD691C62E97D2B">
    <w:name w:val="60414C76FF7448D7A5FD691C62E97D2B"/>
    <w:rsid w:val="00CB5EC4"/>
  </w:style>
  <w:style w:type="paragraph" w:customStyle="1" w:styleId="86257A7B376F49EBB0BFB6B58408C479">
    <w:name w:val="86257A7B376F49EBB0BFB6B58408C479"/>
    <w:rsid w:val="00CB5EC4"/>
  </w:style>
  <w:style w:type="paragraph" w:customStyle="1" w:styleId="71A18B80EC234F13B1B00DA73A3C9504">
    <w:name w:val="71A18B80EC234F13B1B00DA73A3C9504"/>
    <w:rsid w:val="00CB5EC4"/>
  </w:style>
  <w:style w:type="paragraph" w:customStyle="1" w:styleId="6B39A45DADE2429B9F49F0EF785AAF79">
    <w:name w:val="6B39A45DADE2429B9F49F0EF785AAF79"/>
    <w:rsid w:val="00CB5EC4"/>
  </w:style>
  <w:style w:type="paragraph" w:customStyle="1" w:styleId="061A5370EF20464686AEE5C3CF11C6B9">
    <w:name w:val="061A5370EF20464686AEE5C3CF11C6B9"/>
    <w:rsid w:val="00CB5EC4"/>
  </w:style>
  <w:style w:type="paragraph" w:customStyle="1" w:styleId="A0D7861DBC9041868180A15E5D6F9EEF">
    <w:name w:val="A0D7861DBC9041868180A15E5D6F9EEF"/>
    <w:rsid w:val="00CB5EC4"/>
  </w:style>
  <w:style w:type="paragraph" w:customStyle="1" w:styleId="A7B1C47CD0CE4391BA0FB2D3ABFB25C4">
    <w:name w:val="A7B1C47CD0CE4391BA0FB2D3ABFB25C4"/>
    <w:rsid w:val="00CB5EC4"/>
  </w:style>
  <w:style w:type="paragraph" w:customStyle="1" w:styleId="9D6CBF175BC449BDB3ED9449A26A8E54">
    <w:name w:val="9D6CBF175BC449BDB3ED9449A26A8E54"/>
    <w:rsid w:val="00CB5EC4"/>
  </w:style>
  <w:style w:type="paragraph" w:customStyle="1" w:styleId="F1ED9DE4F74D4E0A84C7E56BB9DCCBEB">
    <w:name w:val="F1ED9DE4F74D4E0A84C7E56BB9DCCBEB"/>
    <w:rsid w:val="00CB5EC4"/>
  </w:style>
  <w:style w:type="paragraph" w:customStyle="1" w:styleId="FED8CC2A71F8441CB89BFA8EC6F6E9E5">
    <w:name w:val="FED8CC2A71F8441CB89BFA8EC6F6E9E5"/>
    <w:rsid w:val="00CB5EC4"/>
  </w:style>
  <w:style w:type="paragraph" w:customStyle="1" w:styleId="401B7E51441749D6BC0CB2285271C9BF">
    <w:name w:val="401B7E51441749D6BC0CB2285271C9BF"/>
    <w:rsid w:val="00CB5EC4"/>
  </w:style>
  <w:style w:type="paragraph" w:customStyle="1" w:styleId="36B982DE889A42B8B888DFD7B88E85E9">
    <w:name w:val="36B982DE889A42B8B888DFD7B88E85E9"/>
    <w:rsid w:val="00CB5EC4"/>
  </w:style>
  <w:style w:type="paragraph" w:customStyle="1" w:styleId="C587B18EE2CE46D7BD0F12E122AF8645">
    <w:name w:val="C587B18EE2CE46D7BD0F12E122AF8645"/>
    <w:rsid w:val="00CB5E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A8C788E9C4717A45BDC988167AD35D18" ma:contentTypeVersion="9" ma:contentTypeDescription="Создание документа." ma:contentTypeScope="" ma:versionID="7b7b77c812da85ad24566a03e7b42ef9">
  <xsd:schema xmlns:xsd="http://www.w3.org/2001/XMLSchema" xmlns:xs="http://www.w3.org/2001/XMLSchema" xmlns:p="http://schemas.microsoft.com/office/2006/metadata/properties" xmlns:ns2="ab78cf57-e744-4b67-bd20-a9c2cdcc08e2" xmlns:ns3="bd901bdd-a242-43f8-8f53-a4000e373014" targetNamespace="http://schemas.microsoft.com/office/2006/metadata/properties" ma:root="true" ma:fieldsID="af317f5f6e3c9573cd2294d0ebabc3ce" ns2:_="" ns3:_="">
    <xsd:import namespace="ab78cf57-e744-4b67-bd20-a9c2cdcc08e2"/>
    <xsd:import namespace="bd901bdd-a242-43f8-8f53-a4000e373014"/>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8cf57-e744-4b67-bd20-a9c2cdcc08e2"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description="" ma:internalName="SharedWithDetails" ma:readOnly="true">
      <xsd:simpleType>
        <xsd:restriction base="dms:Note">
          <xsd:maxLength value="255"/>
        </xsd:restriction>
      </xsd:simpleType>
    </xsd:element>
    <xsd:element name="LastSharedByUser" ma:index="10" nillable="true" ma:displayName="По автору публикации" ma:description="" ma:internalName="LastSharedByUser" ma:readOnly="true">
      <xsd:simpleType>
        <xsd:restriction base="dms:Note">
          <xsd:maxLength value="255"/>
        </xsd:restriction>
      </xsd:simpleType>
    </xsd:element>
    <xsd:element name="LastSharedByTime" ma:index="11" nillable="true" ma:displayName="По дате публикации"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d901bdd-a242-43f8-8f53-a4000e373014"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Vancouver.XSL" StyleName="Vancouver" Version="1"/>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EE5E46-416B-4DBB-BC50-15C86002A1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8cf57-e744-4b67-bd20-a9c2cdcc08e2"/>
    <ds:schemaRef ds:uri="bd901bdd-a242-43f8-8f53-a4000e3730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8E11E2-7370-4A26-9146-AE0399165466}">
  <ds:schemaRefs>
    <ds:schemaRef ds:uri="http://schemas.openxmlformats.org/officeDocument/2006/bibliography"/>
  </ds:schemaRefs>
</ds:datastoreItem>
</file>

<file path=customXml/itemProps3.xml><?xml version="1.0" encoding="utf-8"?>
<ds:datastoreItem xmlns:ds="http://schemas.openxmlformats.org/officeDocument/2006/customXml" ds:itemID="{18B43A03-E620-4889-A88C-906A55716E39}">
  <ds:schemaRefs>
    <ds:schemaRef ds:uri="http://schemas.microsoft.com/sharepoint/v3/contenttype/forms"/>
  </ds:schemaRefs>
</ds:datastoreItem>
</file>

<file path=customXml/itemProps4.xml><?xml version="1.0" encoding="utf-8"?>
<ds:datastoreItem xmlns:ds="http://schemas.openxmlformats.org/officeDocument/2006/customXml" ds:itemID="{5E85AFE3-EEFE-4C1F-BFA3-2BACB79131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62254</Words>
  <Characters>354854</Characters>
  <Application>Microsoft Office Word</Application>
  <DocSecurity>0</DocSecurity>
  <Lines>2957</Lines>
  <Paragraphs>832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LinksUpToDate>false</LinksUpToDate>
  <CharactersWithSpaces>416276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2023-03-03T14:48:00Z</dcterms:created>
  <dcterms:modified xsi:type="dcterms:W3CDTF">2024-12-29T13:37:00Z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zotero-version="5.0.73"&gt;&lt;session id="fGhGzCjK"/&gt;&lt;style id="http://www.zotero.org/styles/gost-r-7-0-5-2008-numeric" hasBibliography="1" bibliographyStyleHasBeenSet="1"/&gt;&lt;prefs&gt;&lt;pref name="fieldType" value="Field"/&gt;&lt;pref name="storeRe</vt:lpwstr>
  </property>
  <property fmtid="{D5CDD505-2E9C-101B-9397-08002B2CF9AE}" pid="3" name="ZOTERO_PREF_2">
    <vt:lpwstr>ferences" value="true"/&gt;&lt;pref name="automaticJournalAbbreviations" value="true"/&gt;&lt;pref name="dontAskDelayCitationUpdates" value="true"/&gt;&lt;/prefs&gt;&lt;/data&gt;</vt:lpwstr>
  </property>
  <property fmtid="{D5CDD505-2E9C-101B-9397-08002B2CF9AE}" pid="4" name="ContentTypeId">
    <vt:lpwstr>0x010100A8C788E9C4717A45BDC988167AD35D18</vt:lpwstr>
  </property>
</Properties>
</file>